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hint="eastAsia"/>
                <w:bCs/>
                <w:lang w:eastAsia="zh-CN"/>
              </w:rPr>
            </w:pPr>
            <w:r>
              <w:rPr>
                <w:rFonts w:eastAsiaTheme="minorEastAsia"/>
                <w:bCs/>
                <w:lang w:eastAsia="zh-CN"/>
              </w:rPr>
              <w:t>Ericsson</w:t>
            </w:r>
          </w:p>
        </w:tc>
        <w:tc>
          <w:tcPr>
            <w:tcW w:w="7627" w:type="dxa"/>
          </w:tcPr>
          <w:p w14:paraId="059D8BD4" w14:textId="77777777" w:rsidR="00A24A8F" w:rsidRDefault="00A24A8F" w:rsidP="002240FA">
            <w:pPr>
              <w:spacing w:after="0"/>
              <w:rPr>
                <w:rFonts w:hint="eastAsia"/>
                <w:lang w:eastAsia="zh-CN"/>
              </w:rPr>
            </w:pPr>
            <w:r>
              <w:rPr>
                <w:lang w:eastAsia="zh-CN"/>
              </w:rPr>
              <w:t>Support</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lastRenderedPageBreak/>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lastRenderedPageBreak/>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rFonts w:hint="eastAsia"/>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rFonts w:hint="eastAsia"/>
                <w:lang w:eastAsia="zh-CN"/>
              </w:rPr>
            </w:pP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EE06EF" w14:paraId="30C5A01E" w14:textId="77777777">
        <w:tc>
          <w:tcPr>
            <w:tcW w:w="2335" w:type="dxa"/>
          </w:tcPr>
          <w:p w14:paraId="73D141AE" w14:textId="77777777" w:rsidR="00EE06EF" w:rsidRDefault="00EE06EF">
            <w:pPr>
              <w:spacing w:after="0"/>
              <w:rPr>
                <w:rFonts w:eastAsia="Malgun Gothic"/>
                <w:bCs/>
                <w:lang w:eastAsia="ko-KR"/>
              </w:rPr>
            </w:pPr>
          </w:p>
        </w:tc>
        <w:tc>
          <w:tcPr>
            <w:tcW w:w="7627" w:type="dxa"/>
          </w:tcPr>
          <w:p w14:paraId="3DD1B2D0" w14:textId="77777777" w:rsidR="00EE06EF" w:rsidRDefault="00EE06EF">
            <w:pPr>
              <w:spacing w:after="0"/>
              <w:rPr>
                <w:bCs/>
                <w:lang w:eastAsia="zh-CN"/>
              </w:rPr>
            </w:pP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lastRenderedPageBreak/>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rFonts w:hint="eastAsia"/>
                <w:bCs/>
                <w:lang w:eastAsia="zh-CN"/>
              </w:rPr>
            </w:pPr>
            <w:r>
              <w:rPr>
                <w:bCs/>
                <w:lang w:eastAsia="zh-CN"/>
              </w:rPr>
              <w:t>Ericsson</w:t>
            </w:r>
          </w:p>
        </w:tc>
        <w:tc>
          <w:tcPr>
            <w:tcW w:w="7627" w:type="dxa"/>
          </w:tcPr>
          <w:p w14:paraId="0FC152F5" w14:textId="77777777" w:rsidR="00A24A8F" w:rsidRDefault="00A24A8F" w:rsidP="002240FA">
            <w:pPr>
              <w:spacing w:after="0"/>
              <w:rPr>
                <w:rFonts w:hint="eastAsia"/>
                <w:lang w:eastAsia="zh-CN"/>
              </w:rPr>
            </w:pPr>
            <w:r>
              <w:rPr>
                <w:lang w:eastAsia="zh-CN"/>
              </w:rPr>
              <w:t>Support</w:t>
            </w:r>
          </w:p>
        </w:tc>
      </w:tr>
      <w:tr w:rsidR="00A24A8F" w14:paraId="346F1AE5" w14:textId="77777777">
        <w:tc>
          <w:tcPr>
            <w:tcW w:w="2335" w:type="dxa"/>
          </w:tcPr>
          <w:p w14:paraId="27B9B92E" w14:textId="77777777" w:rsidR="00A24A8F" w:rsidRDefault="00A24A8F" w:rsidP="00E6217D">
            <w:pPr>
              <w:spacing w:after="0"/>
              <w:rPr>
                <w:bCs/>
              </w:rPr>
            </w:pPr>
          </w:p>
        </w:tc>
        <w:tc>
          <w:tcPr>
            <w:tcW w:w="7627" w:type="dxa"/>
          </w:tcPr>
          <w:p w14:paraId="1B01F05F" w14:textId="77777777" w:rsidR="00A24A8F" w:rsidRDefault="00A24A8F" w:rsidP="00E6217D">
            <w:pPr>
              <w:spacing w:after="0"/>
              <w:rPr>
                <w:lang w:eastAsia="zh-CN"/>
              </w:rPr>
            </w:pP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lastRenderedPageBreak/>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lastRenderedPageBreak/>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rFonts w:hint="eastAsia"/>
                <w:bCs/>
                <w:lang w:eastAsia="zh-CN"/>
              </w:rPr>
            </w:pPr>
            <w:r>
              <w:rPr>
                <w:bCs/>
                <w:lang w:eastAsia="zh-CN"/>
              </w:rPr>
              <w:t>Ericsson</w:t>
            </w:r>
          </w:p>
        </w:tc>
        <w:tc>
          <w:tcPr>
            <w:tcW w:w="7627" w:type="dxa"/>
          </w:tcPr>
          <w:p w14:paraId="303185B0" w14:textId="77777777" w:rsidR="00A24A8F" w:rsidRDefault="00A24A8F" w:rsidP="002240FA">
            <w:pPr>
              <w:spacing w:after="0"/>
              <w:rPr>
                <w:rFonts w:hint="eastAsia"/>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lastRenderedPageBreak/>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w:t>
            </w:r>
            <w:r>
              <w:rPr>
                <w:rFonts w:eastAsia="MS Mincho"/>
                <w:lang w:eastAsia="ja-JP"/>
              </w:rPr>
              <w:lastRenderedPageBreak/>
              <w:t xml:space="preserve">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lastRenderedPageBreak/>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w:t>
            </w:r>
            <w:r>
              <w:rPr>
                <w:sz w:val="21"/>
                <w:szCs w:val="21"/>
                <w:lang w:eastAsia="zh-CN"/>
              </w:rPr>
              <w:lastRenderedPageBreak/>
              <w:t xml:space="preserve">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lastRenderedPageBreak/>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t>
            </w:r>
            <w:r>
              <w:rPr>
                <w:rFonts w:eastAsiaTheme="minorEastAsia"/>
                <w:lang w:eastAsia="zh-CN"/>
              </w:rPr>
              <w:lastRenderedPageBreak/>
              <w:t xml:space="preserve">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rFonts w:hint="eastAsia"/>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 xml:space="preserve">Similarly, different UEs in a cell could support different maximum durations or not support DMRS bundling, while on the other hand UEs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UEs that do and do not support JCE. </w:t>
            </w:r>
          </w:p>
          <w:p w14:paraId="78210095" w14:textId="77777777" w:rsidR="00A24A8F" w:rsidRDefault="00A24A8F" w:rsidP="002240FA">
            <w:pPr>
              <w:rPr>
                <w:lang w:eastAsia="zh-CN"/>
              </w:rPr>
            </w:pPr>
            <w:r>
              <w:rPr>
                <w:lang w:eastAsia="zh-CN"/>
              </w:rPr>
              <w:t xml:space="preserve">Regarding the design of the mechanism itself, we think a simple one can be straightforward </w:t>
            </w:r>
            <w:r>
              <w:rPr>
                <w:lang w:eastAsia="zh-CN"/>
              </w:rPr>
              <w:lastRenderedPageBreak/>
              <w:t>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rFonts w:hint="eastAsia"/>
                <w:lang w:eastAsia="zh-CN"/>
              </w:rPr>
            </w:pPr>
          </w:p>
        </w:tc>
      </w:tr>
    </w:tbl>
    <w:p w14:paraId="36A378ED" w14:textId="77777777" w:rsidR="00F27BB7" w:rsidRDefault="00F27BB7">
      <w:pPr>
        <w:spacing w:after="0"/>
        <w:jc w:val="left"/>
        <w:rPr>
          <w:highlight w:val="yellow"/>
        </w:rPr>
      </w:pPr>
    </w:p>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lastRenderedPageBreak/>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lastRenderedPageBreak/>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lastRenderedPageBreak/>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lastRenderedPageBreak/>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lastRenderedPageBreak/>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lastRenderedPageBreak/>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lastRenderedPageBreak/>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rFonts w:hint="eastAsia"/>
                <w:bCs/>
                <w:lang w:eastAsia="zh-CN"/>
              </w:rPr>
            </w:pPr>
            <w:r>
              <w:rPr>
                <w:bCs/>
                <w:lang w:eastAsia="zh-CN"/>
              </w:rPr>
              <w:t>Ericsson</w:t>
            </w:r>
          </w:p>
        </w:tc>
        <w:tc>
          <w:tcPr>
            <w:tcW w:w="3207" w:type="dxa"/>
          </w:tcPr>
          <w:p w14:paraId="260FC4C5" w14:textId="77777777" w:rsidR="00A24A8F" w:rsidRDefault="00A24A8F" w:rsidP="002240FA">
            <w:pPr>
              <w:spacing w:after="0"/>
              <w:rPr>
                <w:rFonts w:hint="eastAsia"/>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 xml:space="preserve">Forces UE specific hopping patterns, since the CTDW </w:t>
            </w:r>
            <w:r>
              <w:rPr>
                <w:lang w:eastAsia="zh-CN"/>
              </w:rPr>
              <w:lastRenderedPageBreak/>
              <w:t>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rFonts w:hint="eastAsia"/>
                <w:lang w:eastAsia="zh-CN"/>
              </w:rPr>
            </w:pPr>
          </w:p>
        </w:tc>
        <w:tc>
          <w:tcPr>
            <w:tcW w:w="2642" w:type="dxa"/>
          </w:tcPr>
          <w:p w14:paraId="3CA660AD" w14:textId="77777777" w:rsidR="00A24A8F" w:rsidRDefault="00A24A8F" w:rsidP="002240FA">
            <w:pPr>
              <w:spacing w:after="0"/>
              <w:rPr>
                <w:lang w:eastAsia="zh-CN"/>
              </w:rPr>
            </w:pPr>
            <w:r>
              <w:rPr>
                <w:lang w:eastAsia="zh-CN"/>
              </w:rPr>
              <w:lastRenderedPageBreak/>
              <w:t>Pros:</w:t>
            </w:r>
          </w:p>
          <w:p w14:paraId="55D7B30D" w14:textId="77777777" w:rsidR="00A24A8F" w:rsidRDefault="00A24A8F" w:rsidP="002240FA">
            <w:pPr>
              <w:spacing w:after="0"/>
              <w:rPr>
                <w:lang w:eastAsia="zh-CN"/>
              </w:rPr>
            </w:pPr>
            <w:r>
              <w:rPr>
                <w:lang w:eastAsia="zh-CN"/>
              </w:rPr>
              <w:t xml:space="preserve">Allows cell specific FH operation, where UEs can hop </w:t>
            </w:r>
            <w:r>
              <w:rPr>
                <w:lang w:eastAsia="zh-CN"/>
              </w:rPr>
              <w:lastRenderedPageBreak/>
              <w:t>in the same pattern to improve resource efficiency.</w:t>
            </w:r>
          </w:p>
          <w:p w14:paraId="4EFCCA45" w14:textId="77777777" w:rsidR="00A24A8F" w:rsidRDefault="00A24A8F" w:rsidP="002240FA">
            <w:pPr>
              <w:spacing w:after="0"/>
              <w:rPr>
                <w:rFonts w:hint="eastAsia"/>
                <w:lang w:eastAsia="zh-CN"/>
              </w:rPr>
            </w:pPr>
            <w:r>
              <w:rPr>
                <w:lang w:eastAsia="zh-CN"/>
              </w:rPr>
              <w:t>Allows more tradeoffs of diversity vs. channel estimation gain.</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lastRenderedPageBreak/>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F3515">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F3515">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F3515">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F3515">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F3515">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EF3515">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F3515">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F3515">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F3515">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F3515">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F3515">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F3515">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F3515">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F3515">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F3515">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EF3515">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F3515">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F3515">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F3515">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F3515">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F3515">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F3515">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F3515">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F3515">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145D" w14:textId="77777777" w:rsidR="00EF3515" w:rsidRDefault="00EF3515">
      <w:pPr>
        <w:spacing w:line="240" w:lineRule="auto"/>
      </w:pPr>
      <w:r>
        <w:separator/>
      </w:r>
    </w:p>
  </w:endnote>
  <w:endnote w:type="continuationSeparator" w:id="0">
    <w:p w14:paraId="0CD580A9" w14:textId="77777777" w:rsidR="00EF3515" w:rsidRDefault="00EF3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777777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78774" w14:textId="77777777" w:rsidR="00EF3515" w:rsidRDefault="00EF3515">
      <w:pPr>
        <w:spacing w:after="0" w:line="240" w:lineRule="auto"/>
      </w:pPr>
      <w:r>
        <w:separator/>
      </w:r>
    </w:p>
  </w:footnote>
  <w:footnote w:type="continuationSeparator" w:id="0">
    <w:p w14:paraId="1ED49B74" w14:textId="77777777" w:rsidR="00EF3515" w:rsidRDefault="00EF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4"/>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20</Pages>
  <Words>7582</Words>
  <Characters>43224</Characters>
  <Application>Microsoft Office Word</Application>
  <DocSecurity>0</DocSecurity>
  <Lines>360</Lines>
  <Paragraphs>101</Paragraphs>
  <ScaleCrop>false</ScaleCrop>
  <Company>Qualcomm Inc.</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28</cp:revision>
  <cp:lastPrinted>2014-11-07T05:38:00Z</cp:lastPrinted>
  <dcterms:created xsi:type="dcterms:W3CDTF">2021-11-11T13:35:00Z</dcterms:created>
  <dcterms:modified xsi:type="dcterms:W3CDTF">2021-11-11T18:10:00Z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