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6.55pt" o:ole="">
                  <v:imagedata r:id="rId8" o:title=""/>
                </v:shape>
                <o:OLEObject Type="Embed" ProgID="Equation.3" ShapeID="_x0000_i1025" DrawAspect="Content" ObjectID="_1698251529"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65pt;height:19.05pt" o:ole="">
            <v:imagedata r:id="rId10" o:title=""/>
          </v:shape>
          <o:OLEObject Type="Embed" ProgID="Equation.3" ShapeID="_x0000_i1026" DrawAspect="Content" ObjectID="_1698251530"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5pt;height:14.9pt" o:ole="">
            <v:imagedata r:id="rId12" o:title=""/>
          </v:shape>
          <o:OLEObject Type="Embed" ProgID="Equation.3" ShapeID="_x0000_i1027" DrawAspect="Content" ObjectID="_1698251531"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C92961">
        <w:tc>
          <w:tcPr>
            <w:tcW w:w="1650" w:type="dxa"/>
          </w:tcPr>
          <w:p w14:paraId="1BEE227E" w14:textId="77777777" w:rsidR="00C130D6" w:rsidRDefault="00C130D6" w:rsidP="00C92961">
            <w:pPr>
              <w:rPr>
                <w:lang w:eastAsia="ko-KR"/>
              </w:rPr>
            </w:pPr>
            <w:r>
              <w:rPr>
                <w:lang w:eastAsia="ko-KR"/>
              </w:rPr>
              <w:t>vivo</w:t>
            </w:r>
          </w:p>
        </w:tc>
        <w:tc>
          <w:tcPr>
            <w:tcW w:w="7979" w:type="dxa"/>
          </w:tcPr>
          <w:p w14:paraId="19AE0F65" w14:textId="77777777" w:rsidR="00C130D6" w:rsidRDefault="00C130D6" w:rsidP="00C92961">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C92961">
            <w:pPr>
              <w:pStyle w:val="4"/>
            </w:pPr>
            <w:r>
              <w:t>Question</w:t>
            </w:r>
            <w:r w:rsidRPr="00CC348B">
              <w:t xml:space="preserve"> 2.</w:t>
            </w:r>
            <w:r>
              <w:t>1</w:t>
            </w:r>
            <w:r w:rsidRPr="00CC348B">
              <w:t>-</w:t>
            </w:r>
            <w:r>
              <w:t>6</w:t>
            </w:r>
          </w:p>
          <w:p w14:paraId="75C71937" w14:textId="77777777" w:rsidR="00C130D6" w:rsidRPr="006C67EF" w:rsidRDefault="00C130D6" w:rsidP="00C92961">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C92961">
            <w:pPr>
              <w:pStyle w:val="4"/>
            </w:pPr>
            <w:r>
              <w:t>Question</w:t>
            </w:r>
            <w:r w:rsidRPr="00CC348B">
              <w:t xml:space="preserve"> 2.</w:t>
            </w:r>
            <w:r>
              <w:t>1</w:t>
            </w:r>
            <w:r w:rsidRPr="00CC348B">
              <w:t>-</w:t>
            </w:r>
            <w:r>
              <w:t>8</w:t>
            </w:r>
          </w:p>
          <w:p w14:paraId="36204B53" w14:textId="77777777" w:rsidR="00C130D6" w:rsidRPr="006C67EF" w:rsidRDefault="00C130D6" w:rsidP="00C92961">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C92961">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C92961">
        <w:tc>
          <w:tcPr>
            <w:tcW w:w="1650" w:type="dxa"/>
          </w:tcPr>
          <w:p w14:paraId="493CB99B" w14:textId="60401293" w:rsidR="00F033BB" w:rsidRDefault="00F033BB" w:rsidP="00F033BB">
            <w:pPr>
              <w:rPr>
                <w:lang w:eastAsia="ko-KR"/>
              </w:rPr>
            </w:pPr>
            <w:proofErr w:type="spellStart"/>
            <w:r>
              <w:rPr>
                <w:rFonts w:eastAsia="等线" w:hint="eastAsia"/>
                <w:lang w:eastAsia="zh-CN"/>
              </w:rPr>
              <w:lastRenderedPageBreak/>
              <w:t>MediaTe</w:t>
            </w:r>
            <w:r>
              <w:rPr>
                <w:rFonts w:eastAsia="等线"/>
                <w:lang w:eastAsia="zh-CN"/>
              </w:rPr>
              <w:t>k</w:t>
            </w:r>
            <w:proofErr w:type="spellEnd"/>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 xml:space="preserve">Working assumption: Alt 2 (from previous agreement) is supported for broadcast reception with </w:t>
      </w:r>
      <w:r>
        <w:lastRenderedPageBreak/>
        <w:t>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r>
      <w:r w:rsidR="0081238E">
        <w:lastRenderedPageBreak/>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C92961">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C92961">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lastRenderedPageBreak/>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lastRenderedPageBreak/>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lastRenderedPageBreak/>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C92961">
            <w:pPr>
              <w:rPr>
                <w:rFonts w:eastAsia="等线"/>
                <w:lang w:eastAsia="zh-CN"/>
              </w:rPr>
            </w:pPr>
            <w:r>
              <w:rPr>
                <w:rFonts w:eastAsia="等线" w:hint="eastAsia"/>
                <w:lang w:eastAsia="zh-CN"/>
              </w:rPr>
              <w:t>v</w:t>
            </w:r>
            <w:r>
              <w:rPr>
                <w:rFonts w:eastAsia="等线"/>
                <w:lang w:eastAsia="zh-CN"/>
              </w:rPr>
              <w:t>ivo</w:t>
            </w:r>
          </w:p>
        </w:tc>
        <w:tc>
          <w:tcPr>
            <w:tcW w:w="8520" w:type="dxa"/>
          </w:tcPr>
          <w:p w14:paraId="57592B52" w14:textId="77777777" w:rsidR="00C130D6" w:rsidRDefault="00C130D6" w:rsidP="00C92961">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等线" w:hint="eastAsia"/>
                <w:lang w:eastAsia="zh-CN"/>
              </w:rPr>
            </w:pPr>
            <w:proofErr w:type="spellStart"/>
            <w:r>
              <w:rPr>
                <w:rFonts w:eastAsia="等线"/>
                <w:lang w:eastAsia="zh-CN"/>
              </w:rPr>
              <w:t>MediaTek</w:t>
            </w:r>
            <w:proofErr w:type="spellEnd"/>
          </w:p>
        </w:tc>
        <w:tc>
          <w:tcPr>
            <w:tcW w:w="85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lastRenderedPageBreak/>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C92961">
            <w:pPr>
              <w:pStyle w:val="4"/>
            </w:pPr>
            <w:r w:rsidRPr="002A3A4A">
              <w:t>Question 2.5-1</w:t>
            </w:r>
            <w:r>
              <w:t xml:space="preserve">: </w:t>
            </w:r>
            <w:r w:rsidRPr="00E30388">
              <w:rPr>
                <w:b w:val="0"/>
              </w:rPr>
              <w:t>option 2</w:t>
            </w:r>
          </w:p>
          <w:p w14:paraId="187DB156" w14:textId="77777777" w:rsidR="00C130D6" w:rsidRDefault="00C130D6" w:rsidP="00C92961">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C92961">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C92961"/>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lastRenderedPageBreak/>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lastRenderedPageBreak/>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lastRenderedPageBreak/>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lastRenderedPageBreak/>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C92961">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C92961">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hint="eastAsia"/>
                <w:lang w:eastAsia="zh-CN"/>
              </w:rPr>
            </w:pPr>
            <w:proofErr w:type="spellStart"/>
            <w:r>
              <w:rPr>
                <w:rFonts w:eastAsia="等线"/>
                <w:lang w:eastAsia="zh-CN"/>
              </w:rPr>
              <w:t>MediaTek</w:t>
            </w:r>
            <w:proofErr w:type="spellEnd"/>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DD5C49">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lastRenderedPageBreak/>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lastRenderedPageBreak/>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lastRenderedPageBreak/>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lastRenderedPageBreak/>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C92961">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C92961">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C92961">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hint="eastAsia"/>
                <w:lang w:eastAsia="zh-CN"/>
              </w:rPr>
            </w:pPr>
            <w:proofErr w:type="spellStart"/>
            <w:r>
              <w:rPr>
                <w:rFonts w:eastAsia="等线"/>
                <w:lang w:eastAsia="zh-CN"/>
              </w:rPr>
              <w:t>MediaTek</w:t>
            </w:r>
            <w:proofErr w:type="spellEnd"/>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lastRenderedPageBreak/>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lastRenderedPageBreak/>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lastRenderedPageBreak/>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C92961">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w:t>
      </w:r>
      <w:r w:rsidR="00C05E08">
        <w:lastRenderedPageBreak/>
        <w:t xml:space="preserve">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hint="eastAsia"/>
                <w:lang w:eastAsia="zh-CN"/>
              </w:rPr>
            </w:pPr>
            <w:bookmarkStart w:id="10" w:name="_GoBack" w:colFirst="0" w:colLast="0"/>
            <w:proofErr w:type="spellStart"/>
            <w:r>
              <w:rPr>
                <w:rFonts w:eastAsia="等线"/>
                <w:lang w:eastAsia="zh-CN"/>
              </w:rPr>
              <w:t>MediaTek</w:t>
            </w:r>
            <w:proofErr w:type="spellEnd"/>
          </w:p>
        </w:tc>
        <w:tc>
          <w:tcPr>
            <w:tcW w:w="7985" w:type="dxa"/>
          </w:tcPr>
          <w:p w14:paraId="0360EE54" w14:textId="081E8B69" w:rsidR="008C52F7" w:rsidRDefault="008C52F7" w:rsidP="008C52F7">
            <w:pPr>
              <w:rPr>
                <w:rFonts w:eastAsia="等线" w:hint="eastAsia"/>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bookmarkEnd w:id="10"/>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lastRenderedPageBreak/>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lastRenderedPageBreak/>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07B1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07B1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07B15"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07B15"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07B15"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07B15"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ACCD" w14:textId="77777777" w:rsidR="00B07B15" w:rsidRDefault="00B07B15">
      <w:pPr>
        <w:spacing w:after="0"/>
      </w:pPr>
      <w:r>
        <w:separator/>
      </w:r>
    </w:p>
  </w:endnote>
  <w:endnote w:type="continuationSeparator" w:id="0">
    <w:p w14:paraId="17DA77E1" w14:textId="77777777" w:rsidR="00B07B15" w:rsidRDefault="00B07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981739F" w:rsidR="004D1B77" w:rsidRDefault="004D1B77">
    <w:pPr>
      <w:pStyle w:val="a9"/>
    </w:pPr>
    <w:r>
      <w:rPr>
        <w:noProof w:val="0"/>
      </w:rPr>
      <w:fldChar w:fldCharType="begin"/>
    </w:r>
    <w:r>
      <w:instrText xml:space="preserve"> PAGE   \* MERGEFORMAT </w:instrText>
    </w:r>
    <w:r>
      <w:rPr>
        <w:noProof w:val="0"/>
      </w:rPr>
      <w:fldChar w:fldCharType="separate"/>
    </w:r>
    <w:r w:rsidR="008C52F7">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CFA58" w14:textId="77777777" w:rsidR="00B07B15" w:rsidRDefault="00B07B15">
      <w:pPr>
        <w:spacing w:after="0"/>
      </w:pPr>
      <w:r>
        <w:separator/>
      </w:r>
    </w:p>
  </w:footnote>
  <w:footnote w:type="continuationSeparator" w:id="0">
    <w:p w14:paraId="4FFC7140" w14:textId="77777777" w:rsidR="00B07B15" w:rsidRDefault="00B07B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521-85EE-4497-A1BC-2DA7A6B4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77</Pages>
  <Words>34164</Words>
  <Characters>194739</Characters>
  <Application>Microsoft Office Word</Application>
  <DocSecurity>0</DocSecurity>
  <Lines>1622</Lines>
  <Paragraphs>456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9</cp:revision>
  <cp:lastPrinted>2019-08-16T08:11:00Z</cp:lastPrinted>
  <dcterms:created xsi:type="dcterms:W3CDTF">2021-11-12T09:22:00Z</dcterms:created>
  <dcterms:modified xsi:type="dcterms:W3CDTF">2021-11-12T11:44:00Z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