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Futurewei,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w:t>
            </w:r>
            <w:proofErr w:type="gramStart"/>
            <w:r>
              <w:rPr>
                <w:rFonts w:eastAsia="Microsoft YaHei"/>
                <w:sz w:val="20"/>
                <w:szCs w:val="20"/>
              </w:rPr>
              <w:t>depend</w:t>
            </w:r>
            <w:proofErr w:type="gramEnd"/>
            <w:r>
              <w:rPr>
                <w:rFonts w:eastAsia="Microsoft YaHei"/>
                <w:sz w:val="20"/>
                <w:szCs w:val="20"/>
              </w:rPr>
              <w:t xml:space="preserve">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w:t>
            </w:r>
            <w:proofErr w:type="gramStart"/>
            <w:r>
              <w:rPr>
                <w:rFonts w:eastAsia="Malgun Gothic"/>
                <w:sz w:val="20"/>
                <w:szCs w:val="20"/>
                <w:lang w:eastAsia="ko-KR"/>
              </w:rPr>
              <w:t>dropping</w:t>
            </w:r>
            <w:proofErr w:type="gramEnd"/>
            <w:r>
              <w:rPr>
                <w:rFonts w:eastAsia="Malgun Gothic"/>
                <w:sz w:val="20"/>
                <w:szCs w:val="20"/>
                <w:lang w:eastAsia="ko-KR"/>
              </w:rPr>
              <w:t xml:space="preserve">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Microsoft YaHei"/>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FD7C178" w14:textId="77777777" w:rsidR="00016D49" w:rsidRDefault="00016D49" w:rsidP="00920D2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collision handling involving R17 SRS with available slot </w:t>
            </w:r>
            <w:proofErr w:type="gramStart"/>
            <w:r>
              <w:rPr>
                <w:rFonts w:eastAsia="Malgun Gothic"/>
                <w:sz w:val="20"/>
                <w:szCs w:val="20"/>
                <w:lang w:eastAsia="ko-KR"/>
              </w:rPr>
              <w:t>offset, and</w:t>
            </w:r>
            <w:proofErr w:type="gramEnd"/>
            <w:r>
              <w:rPr>
                <w:rFonts w:eastAsia="Malgun Gothic"/>
                <w:sz w:val="20"/>
                <w:szCs w:val="20"/>
                <w:lang w:eastAsia="ko-KR"/>
              </w:rPr>
              <w:t xml:space="preserve"> leave SRS without available slot offset untouched. In our view:</w:t>
            </w:r>
          </w:p>
          <w:p w14:paraId="2325FCDA" w14:textId="77777777" w:rsidR="00016D49" w:rsidRDefault="00016D49" w:rsidP="00920D22">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920D22">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920D22">
            <w:pPr>
              <w:widowControl w:val="0"/>
              <w:snapToGrid w:val="0"/>
              <w:spacing w:before="120" w:after="120" w:line="240" w:lineRule="auto"/>
              <w:jc w:val="both"/>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what is the motivation for introducing collision handling that will all AP SRS, regardless of with or without available slot offset? This would affect R15/16 behavior.</w:t>
            </w:r>
          </w:p>
          <w:p w14:paraId="7B3E3BF3" w14:textId="77777777" w:rsidR="00016D49" w:rsidRDefault="00016D49" w:rsidP="00920D2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920D22">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920D2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Since the view from Futurewei,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 xml:space="preserve">When SRS is triggered by DCI format 0_1/0_2 without scheduling PUSCH and without CSI Request, the existing BWP indicator field carried by the DCI could be used to switch the BWP for the triggered </w:t>
            </w:r>
            <w:r w:rsidRPr="00491F1C">
              <w:rPr>
                <w:rFonts w:eastAsia="Microsoft YaHei"/>
                <w:sz w:val="20"/>
                <w:szCs w:val="20"/>
                <w:lang w:val="en-GB"/>
              </w:rPr>
              <w:lastRenderedPageBreak/>
              <w:t>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w:t>
            </w:r>
            <w:proofErr w:type="spellStart"/>
            <w:r>
              <w:rPr>
                <w:rFonts w:eastAsia="Microsoft YaHei"/>
                <w:sz w:val="20"/>
                <w:szCs w:val="20"/>
              </w:rPr>
              <w:t>HiSilicon</w:t>
            </w:r>
            <w:proofErr w:type="spellEnd"/>
            <w:r>
              <w:rPr>
                <w:rFonts w:eastAsia="Microsoft YaHei"/>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4A6A8BA" w14:textId="77777777" w:rsidR="00016D49" w:rsidRDefault="00016D49" w:rsidP="00920D22">
            <w:pPr>
              <w:widowControl w:val="0"/>
              <w:snapToGrid w:val="0"/>
              <w:spacing w:before="120" w:after="120" w:line="240" w:lineRule="auto"/>
              <w:rPr>
                <w:rFonts w:eastAsia="Microsoft YaHei"/>
                <w:sz w:val="20"/>
                <w:szCs w:val="20"/>
              </w:rPr>
            </w:pPr>
            <w:r>
              <w:rPr>
                <w:rFonts w:eastAsia="Microsoft YaHei"/>
                <w:sz w:val="20"/>
                <w:szCs w:val="20"/>
              </w:rPr>
              <w:t xml:space="preserve">Agree with DOCOMO on TPC command. The spec impact is so </w:t>
            </w:r>
            <w:proofErr w:type="gramStart"/>
            <w:r>
              <w:rPr>
                <w:rFonts w:eastAsia="Microsoft YaHei"/>
                <w:sz w:val="20"/>
                <w:szCs w:val="20"/>
              </w:rPr>
              <w:t>small</w:t>
            </w:r>
            <w:proofErr w:type="gramEnd"/>
            <w:r>
              <w:rPr>
                <w:rFonts w:eastAsia="Microsoft YaHei"/>
                <w:sz w:val="20"/>
                <w:szCs w:val="20"/>
              </w:rPr>
              <w:t xml:space="preserve"> and the benefit is so clear, so we do not see why this should be dropped.</w:t>
            </w:r>
          </w:p>
          <w:p w14:paraId="68A3CFB8" w14:textId="77777777" w:rsidR="00016D49" w:rsidRDefault="00016D49" w:rsidP="00920D22">
            <w:pPr>
              <w:widowControl w:val="0"/>
              <w:snapToGrid w:val="0"/>
              <w:spacing w:before="120" w:after="120" w:line="240" w:lineRule="auto"/>
              <w:rPr>
                <w:rFonts w:eastAsia="Microsoft YaHei"/>
                <w:sz w:val="20"/>
                <w:szCs w:val="20"/>
              </w:rPr>
            </w:pPr>
            <w:r>
              <w:rPr>
                <w:rFonts w:eastAsia="Microsoft YaHei"/>
                <w:sz w:val="20"/>
                <w:szCs w:val="20"/>
              </w:rPr>
              <w:t xml:space="preserve">For BWP indicator field and CIF, as we mentioned before, existing specs specify that they apply to SRS. We think this should be </w:t>
            </w:r>
            <w:proofErr w:type="gramStart"/>
            <w:r>
              <w:rPr>
                <w:rFonts w:eastAsia="Microsoft YaHei"/>
                <w:sz w:val="20"/>
                <w:szCs w:val="20"/>
              </w:rPr>
              <w:t>clarify</w:t>
            </w:r>
            <w:proofErr w:type="gramEnd"/>
            <w:r>
              <w:rPr>
                <w:rFonts w:eastAsia="Microsoft YaHei"/>
                <w:sz w:val="20"/>
                <w:szCs w:val="20"/>
              </w:rPr>
              <w:t xml:space="preserve"> to align companies’ understanding. Please let us know if we missed anything.</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 xml:space="preserve">SRS triggered by GC DCI (format 2_3). Hence FL suggests </w:t>
      </w:r>
      <w:proofErr w:type="gramStart"/>
      <w:r w:rsidR="00C84816">
        <w:rPr>
          <w:rFonts w:eastAsia="Microsoft YaHei"/>
          <w:sz w:val="20"/>
          <w:szCs w:val="20"/>
        </w:rPr>
        <w:t>to focus</w:t>
      </w:r>
      <w:proofErr w:type="gramEnd"/>
      <w:r w:rsidR="00C84816">
        <w:rPr>
          <w:rFonts w:eastAsia="Microsoft YaHei"/>
          <w:sz w:val="20"/>
          <w:szCs w:val="20"/>
        </w:rPr>
        <w:t xml:space="preserve">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lastRenderedPageBreak/>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r w:rsidR="003666A3" w:rsidRPr="00734319">
              <w:rPr>
                <w:rFonts w:eastAsia="Microsoft YaHei"/>
                <w:sz w:val="20"/>
                <w:szCs w:val="20"/>
              </w:rPr>
              <w:t>Futurewei</w:t>
            </w:r>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w:t>
            </w:r>
            <w:proofErr w:type="spellStart"/>
            <w:r w:rsidRPr="00404C7F">
              <w:rPr>
                <w:rFonts w:eastAsia="Microsoft YaHei"/>
                <w:sz w:val="20"/>
                <w:szCs w:val="20"/>
              </w:rPr>
              <w:t>HiSilicon</w:t>
            </w:r>
            <w:proofErr w:type="spellEnd"/>
            <w:r w:rsidRPr="00404C7F">
              <w:rPr>
                <w:rFonts w:eastAsia="Microsoft YaHei"/>
                <w:sz w:val="20"/>
                <w:szCs w:val="20"/>
              </w:rPr>
              <w:t>,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F03FB1" w14:paraId="1B3CDB15" w14:textId="77777777" w:rsidTr="00920D22">
        <w:tc>
          <w:tcPr>
            <w:tcW w:w="2405" w:type="dxa"/>
          </w:tcPr>
          <w:p w14:paraId="6856AD22" w14:textId="77777777" w:rsidR="00F03FB1" w:rsidRPr="00581295" w:rsidRDefault="00F03FB1"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03CE57D" w14:textId="77777777" w:rsidR="00F03FB1" w:rsidRPr="00581295" w:rsidRDefault="00F03FB1"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81295" w14:paraId="604C8F05" w14:textId="77777777" w:rsidTr="00515754">
        <w:tc>
          <w:tcPr>
            <w:tcW w:w="2405" w:type="dxa"/>
          </w:tcPr>
          <w:p w14:paraId="42661580" w14:textId="32E55412" w:rsidR="00581295" w:rsidRPr="00581295" w:rsidRDefault="00581295" w:rsidP="003D6908">
            <w:pPr>
              <w:widowControl w:val="0"/>
              <w:snapToGrid w:val="0"/>
              <w:spacing w:before="120" w:after="120" w:line="240" w:lineRule="auto"/>
              <w:rPr>
                <w:rFonts w:eastAsia="Malgun Gothic"/>
                <w:sz w:val="20"/>
                <w:szCs w:val="20"/>
                <w:lang w:eastAsia="ko-KR"/>
              </w:rPr>
            </w:pPr>
          </w:p>
        </w:tc>
        <w:tc>
          <w:tcPr>
            <w:tcW w:w="6945" w:type="dxa"/>
          </w:tcPr>
          <w:p w14:paraId="6153A0CC" w14:textId="3B687F38" w:rsidR="00581295" w:rsidRPr="00581295" w:rsidRDefault="00581295" w:rsidP="003D6908">
            <w:pPr>
              <w:widowControl w:val="0"/>
              <w:snapToGrid w:val="0"/>
              <w:spacing w:before="120" w:after="120" w:line="240" w:lineRule="auto"/>
              <w:rPr>
                <w:rFonts w:eastAsia="Malgun Gothic"/>
                <w:sz w:val="20"/>
                <w:szCs w:val="20"/>
                <w:lang w:eastAsia="ko-KR"/>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920D22">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021FBDC0" w14:textId="77777777" w:rsidR="00AC54B7" w:rsidRDefault="00AC54B7" w:rsidP="00920D22">
            <w:pPr>
              <w:widowControl w:val="0"/>
              <w:snapToGrid w:val="0"/>
              <w:spacing w:before="120" w:after="120" w:line="240" w:lineRule="auto"/>
              <w:rPr>
                <w:rFonts w:eastAsia="Microsoft YaHei"/>
                <w:sz w:val="20"/>
                <w:szCs w:val="20"/>
              </w:rPr>
            </w:pPr>
            <w:r>
              <w:rPr>
                <w:rFonts w:eastAsia="Microsoft YaHei"/>
                <w:sz w:val="20"/>
                <w:szCs w:val="20"/>
              </w:rPr>
              <w:t>Not needed.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 xml:space="preserve">Support UE reporting of the preferred antenna </w:t>
            </w:r>
            <w:r w:rsidRPr="008B0D8E">
              <w:rPr>
                <w:rFonts w:eastAsia="Microsoft YaHei"/>
                <w:sz w:val="20"/>
                <w:szCs w:val="20"/>
              </w:rPr>
              <w:lastRenderedPageBreak/>
              <w:t>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lastRenderedPageBreak/>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xml:space="preserv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w:t>
      </w:r>
      <w:proofErr w:type="spellStart"/>
      <w:r>
        <w:rPr>
          <w:rFonts w:eastAsia="Microsoft YaHei"/>
          <w:sz w:val="20"/>
          <w:szCs w:val="20"/>
        </w:rPr>
        <w:t>HiSilicon</w:t>
      </w:r>
      <w:proofErr w:type="spellEnd"/>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 Samsung, QC, CMCC, Futurewei,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w:t>
            </w:r>
            <w:r>
              <w:rPr>
                <w:rFonts w:eastAsia="MS Mincho"/>
                <w:sz w:val="20"/>
                <w:szCs w:val="20"/>
                <w:lang w:eastAsia="ja-JP"/>
              </w:rPr>
              <w:lastRenderedPageBreak/>
              <w:t xml:space="preserve">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w:t>
            </w:r>
            <w:proofErr w:type="gramStart"/>
            <w:r>
              <w:rPr>
                <w:rFonts w:eastAsia="Microsoft YaHei"/>
                <w:sz w:val="20"/>
                <w:szCs w:val="20"/>
              </w:rPr>
              <w:t>no any</w:t>
            </w:r>
            <w:proofErr w:type="gramEnd"/>
            <w:r>
              <w:rPr>
                <w:rFonts w:eastAsia="Microsoft YaHei"/>
                <w:sz w:val="20"/>
                <w:szCs w:val="20"/>
              </w:rPr>
              <w:t xml:space="preserve">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Microsoft YaHei"/>
                <w:sz w:val="20"/>
                <w:szCs w:val="20"/>
              </w:rPr>
              <w:t xml:space="preserve">/Ericsson. </w:t>
            </w:r>
          </w:p>
        </w:tc>
      </w:tr>
      <w:tr w:rsidR="00BC3B4C" w14:paraId="7B450D3F" w14:textId="77777777" w:rsidTr="00BC3B4C">
        <w:tc>
          <w:tcPr>
            <w:tcW w:w="2405" w:type="dxa"/>
          </w:tcPr>
          <w:p w14:paraId="508F66B8" w14:textId="77777777" w:rsidR="00BC3B4C" w:rsidRDefault="00BC3B4C" w:rsidP="00920D22">
            <w:pPr>
              <w:widowControl w:val="0"/>
              <w:snapToGrid w:val="0"/>
              <w:spacing w:before="120" w:after="120" w:line="240" w:lineRule="auto"/>
              <w:rPr>
                <w:rFonts w:eastAsia="Microsoft YaHei" w:hint="eastAsia"/>
                <w:sz w:val="20"/>
                <w:szCs w:val="20"/>
              </w:rPr>
            </w:pPr>
            <w:r>
              <w:rPr>
                <w:rFonts w:eastAsia="Microsoft YaHei"/>
                <w:sz w:val="20"/>
                <w:szCs w:val="20"/>
              </w:rPr>
              <w:t>Futurewei</w:t>
            </w:r>
          </w:p>
        </w:tc>
        <w:tc>
          <w:tcPr>
            <w:tcW w:w="6945" w:type="dxa"/>
          </w:tcPr>
          <w:p w14:paraId="28647417"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Microsoft YaHei"/>
                <w:sz w:val="20"/>
                <w:szCs w:val="20"/>
              </w:rPr>
              <w:t>”.</w:t>
            </w:r>
          </w:p>
          <w:p w14:paraId="30C668A1"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 xml:space="preserve">We still have concern about the usefulness of UE reporting one preferred antenna configuration. </w:t>
            </w:r>
          </w:p>
          <w:p w14:paraId="46A8ACE6"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Note 1 is needed; Tx switching has not been fully discussed.</w:t>
            </w:r>
          </w:p>
          <w:p w14:paraId="4FFDC72D"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New application timing is not needed.</w:t>
            </w:r>
          </w:p>
          <w:p w14:paraId="55CED819"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Open to use DCI, but there is not enough time to complete this.</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Microsoft YaHei"/>
                <w:sz w:val="20"/>
                <w:szCs w:val="20"/>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 xml:space="preserve"> Not needed</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Microsoft YaHei"/>
                <w:sz w:val="20"/>
                <w:szCs w:val="20"/>
              </w:rPr>
              <w:t>Support Alt 1-0</w:t>
            </w: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w:t>
            </w:r>
            <w:proofErr w:type="spellStart"/>
            <w:r w:rsidRPr="00B45284">
              <w:rPr>
                <w:rFonts w:eastAsia="Microsoft YaHei"/>
                <w:sz w:val="20"/>
                <w:szCs w:val="20"/>
              </w:rPr>
              <w:t>HiSilicon</w:t>
            </w:r>
            <w:proofErr w:type="spellEnd"/>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w:t>
            </w:r>
            <w:proofErr w:type="gramStart"/>
            <w:r>
              <w:rPr>
                <w:rFonts w:eastAsia="Microsoft YaHei"/>
                <w:sz w:val="20"/>
                <w:szCs w:val="20"/>
              </w:rPr>
              <w:t>mis-understanding</w:t>
            </w:r>
            <w:proofErr w:type="gramEnd"/>
            <w:r>
              <w:rPr>
                <w:rFonts w:eastAsia="Microsoft YaHei"/>
                <w:sz w:val="20"/>
                <w:szCs w:val="20"/>
              </w:rPr>
              <w:t xml:space="preserve">,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w:t>
      </w:r>
      <w:r w:rsidRPr="00664FF9">
        <w:rPr>
          <w:rFonts w:eastAsia="Microsoft YaHei"/>
          <w:sz w:val="20"/>
          <w:szCs w:val="20"/>
          <w:vertAlign w:val="superscript"/>
        </w:rPr>
        <w:t>nd</w:t>
      </w:r>
      <w:r w:rsidRPr="00CB0160">
        <w:rPr>
          <w:rFonts w:eastAsia="Microsoft YaHei"/>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w:t>
            </w:r>
            <w:proofErr w:type="gramStart"/>
            <w:r w:rsidRPr="00664FF9">
              <w:rPr>
                <w:rFonts w:eastAsia="Microsoft YaHei"/>
                <w:sz w:val="20"/>
                <w:szCs w:val="20"/>
                <w:vertAlign w:val="superscript"/>
              </w:rPr>
              <w:t>st</w:t>
            </w:r>
            <w:r w:rsidRPr="000D023D">
              <w:rPr>
                <w:rFonts w:eastAsia="Microsoft YaHei"/>
                <w:sz w:val="20"/>
                <w:szCs w:val="20"/>
              </w:rPr>
              <w:t xml:space="preserve">  and</w:t>
            </w:r>
            <w:proofErr w:type="gramEnd"/>
            <w:r w:rsidRPr="000D023D">
              <w:rPr>
                <w:rFonts w:eastAsia="Microsoft YaHei"/>
                <w:sz w:val="20"/>
                <w:szCs w:val="20"/>
              </w:rPr>
              <w:t xml:space="preserve">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CMCC (1</w:t>
            </w:r>
            <w:r w:rsidRPr="00664FF9">
              <w:rPr>
                <w:rFonts w:eastAsia="Microsoft YaHei"/>
                <w:sz w:val="20"/>
                <w:szCs w:val="20"/>
                <w:vertAlign w:val="superscript"/>
              </w:rPr>
              <w:t>st</w:t>
            </w:r>
            <w:r w:rsidRPr="000D023D">
              <w:rPr>
                <w:rFonts w:eastAsia="Microsoft YaHei"/>
                <w:sz w:val="20"/>
                <w:szCs w:val="20"/>
              </w:rPr>
              <w:t xml:space="preserve">),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w:t>
      </w:r>
      <w:proofErr w:type="spellStart"/>
      <w:r w:rsidR="00BF2D1B" w:rsidRPr="00BF2D1B">
        <w:rPr>
          <w:rFonts w:eastAsia="Microsoft YaHei"/>
          <w:i/>
          <w:iCs/>
          <w:sz w:val="20"/>
          <w:szCs w:val="20"/>
        </w:rPr>
        <w:t>gNB</w:t>
      </w:r>
      <w:proofErr w:type="spellEnd"/>
      <w:r w:rsidR="00BF2D1B" w:rsidRPr="00BF2D1B">
        <w:rPr>
          <w:rFonts w:eastAsia="Microsoft YaHei"/>
          <w:i/>
          <w:iCs/>
          <w:sz w:val="20"/>
          <w:szCs w:val="20"/>
        </w:rPr>
        <w:t xml:space="preserve">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For SCS=120 </w:t>
      </w:r>
      <w:proofErr w:type="spellStart"/>
      <w:r w:rsidRPr="00BF2D1B">
        <w:rPr>
          <w:rFonts w:eastAsia="Microsoft YaHei"/>
          <w:i/>
          <w:sz w:val="20"/>
          <w:szCs w:val="20"/>
        </w:rPr>
        <w:t>KHz</w:t>
      </w:r>
      <w:proofErr w:type="spellEnd"/>
      <w:r w:rsidRPr="00BF2D1B">
        <w:rPr>
          <w:rFonts w:eastAsia="Microsoft YaHei"/>
          <w:i/>
          <w:sz w:val="20"/>
          <w:szCs w:val="20"/>
        </w:rPr>
        <w:t>: No guard symbols exist between the 1</w:t>
      </w:r>
      <w:proofErr w:type="gramStart"/>
      <w:r w:rsidRPr="00664FF9">
        <w:rPr>
          <w:rFonts w:eastAsia="Microsoft YaHei"/>
          <w:i/>
          <w:sz w:val="20"/>
          <w:szCs w:val="20"/>
          <w:vertAlign w:val="superscript"/>
        </w:rPr>
        <w:t>st</w:t>
      </w:r>
      <w:r w:rsidRPr="00BF2D1B">
        <w:rPr>
          <w:rFonts w:eastAsia="Microsoft YaHei"/>
          <w:i/>
          <w:sz w:val="20"/>
          <w:szCs w:val="20"/>
        </w:rPr>
        <w:t xml:space="preserve">  and</w:t>
      </w:r>
      <w:proofErr w:type="gramEnd"/>
      <w:r w:rsidRPr="00BF2D1B">
        <w:rPr>
          <w:rFonts w:eastAsia="Microsoft YaHei"/>
          <w:i/>
          <w:sz w:val="20"/>
          <w:szCs w:val="20"/>
        </w:rPr>
        <w:t xml:space="preserve">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To OPPO, why we need to differentiate Alt.2 and 2T6R? It is not design principle. </w:t>
            </w:r>
            <w:proofErr w:type="gramStart"/>
            <w:r>
              <w:rPr>
                <w:rFonts w:eastAsia="Microsoft YaHei"/>
                <w:sz w:val="20"/>
                <w:szCs w:val="20"/>
              </w:rPr>
              <w:t>A</w:t>
            </w:r>
            <w:r>
              <w:rPr>
                <w:rFonts w:eastAsia="Microsoft YaHei" w:hint="eastAsia"/>
                <w:sz w:val="20"/>
                <w:szCs w:val="20"/>
              </w:rPr>
              <w:t>ctuall</w:t>
            </w:r>
            <w:r>
              <w:rPr>
                <w:rFonts w:eastAsia="Microsoft YaHei"/>
                <w:sz w:val="20"/>
                <w:szCs w:val="20"/>
              </w:rPr>
              <w:t>y, Alt.</w:t>
            </w:r>
            <w:proofErr w:type="gramEnd"/>
            <w:r>
              <w:rPr>
                <w:rFonts w:eastAsia="Microsoft YaHei"/>
                <w:sz w:val="20"/>
                <w:szCs w:val="20"/>
              </w:rPr>
              <w: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920D22">
            <w:pPr>
              <w:widowControl w:val="0"/>
              <w:snapToGrid w:val="0"/>
              <w:spacing w:before="120" w:after="120" w:line="240" w:lineRule="auto"/>
              <w:rPr>
                <w:rFonts w:eastAsia="Microsoft YaHei" w:hint="eastAsia"/>
                <w:sz w:val="20"/>
                <w:szCs w:val="20"/>
              </w:rPr>
            </w:pPr>
            <w:r>
              <w:rPr>
                <w:rFonts w:eastAsia="Microsoft YaHei"/>
                <w:sz w:val="20"/>
                <w:szCs w:val="20"/>
              </w:rPr>
              <w:t>Futurewei</w:t>
            </w:r>
          </w:p>
        </w:tc>
        <w:tc>
          <w:tcPr>
            <w:tcW w:w="6945" w:type="dxa"/>
          </w:tcPr>
          <w:p w14:paraId="662243E7" w14:textId="63EBA712" w:rsidR="006645F6" w:rsidRDefault="006645F6" w:rsidP="00920D22">
            <w:pPr>
              <w:widowControl w:val="0"/>
              <w:snapToGrid w:val="0"/>
              <w:spacing w:before="120" w:after="120" w:line="240" w:lineRule="auto"/>
              <w:jc w:val="both"/>
              <w:rPr>
                <w:rFonts w:eastAsia="Microsoft YaHei"/>
                <w:sz w:val="20"/>
                <w:szCs w:val="20"/>
              </w:rPr>
            </w:pPr>
            <w:r>
              <w:rPr>
                <w:rFonts w:eastAsia="Microsoft YaHei"/>
                <w:sz w:val="20"/>
                <w:szCs w:val="20"/>
              </w:rPr>
              <w:t>Support Alt. 2 and have concerns on Alt. 1.</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w:t>
            </w:r>
            <w:r w:rsidRPr="004C0C51">
              <w:rPr>
                <w:rFonts w:eastAsia="Microsoft YaHei"/>
                <w:sz w:val="20"/>
                <w:szCs w:val="20"/>
              </w:rPr>
              <w:lastRenderedPageBreak/>
              <w:t>=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lastRenderedPageBreak/>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proofErr w:type="gramStart"/>
            <w:r w:rsidR="005D2C48">
              <w:rPr>
                <w:rFonts w:eastAsia="MS Mincho"/>
                <w:sz w:val="20"/>
                <w:szCs w:val="20"/>
                <w:lang w:eastAsia="ja-JP"/>
              </w:rPr>
              <w:t>reciprocity based</w:t>
            </w:r>
            <w:proofErr w:type="gramEnd"/>
            <w:r w:rsidR="005D2C48">
              <w:rPr>
                <w:rFonts w:eastAsia="MS Mincho"/>
                <w:sz w:val="20"/>
                <w:szCs w:val="20"/>
                <w:lang w:eastAsia="ja-JP"/>
              </w:rPr>
              <w:t xml:space="preserve">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w:t>
            </w:r>
            <w:proofErr w:type="gramStart"/>
            <w:r w:rsidR="00A95D44">
              <w:rPr>
                <w:rFonts w:eastAsia="MS Mincho"/>
                <w:sz w:val="20"/>
                <w:szCs w:val="20"/>
                <w:lang w:eastAsia="ja-JP"/>
              </w:rPr>
              <w:t>reciprocity based</w:t>
            </w:r>
            <w:proofErr w:type="gramEnd"/>
            <w:r w:rsidR="00A95D44">
              <w:rPr>
                <w:rFonts w:eastAsia="MS Mincho"/>
                <w:sz w:val="20"/>
                <w:szCs w:val="20"/>
                <w:lang w:eastAsia="ja-JP"/>
              </w:rPr>
              <w:t xml:space="preserve">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w:t>
            </w:r>
            <w:r w:rsidR="00D55937" w:rsidRPr="000251D7">
              <w:rPr>
                <w:rFonts w:eastAsia="Microsoft YaHei"/>
                <w:sz w:val="20"/>
                <w:szCs w:val="20"/>
                <w:lang w:val="en-GB"/>
              </w:rPr>
              <w:t>e</w:t>
            </w:r>
            <w:r w:rsidRPr="000251D7">
              <w:rPr>
                <w:rFonts w:eastAsia="Microsoft YaHei"/>
                <w:sz w:val="20"/>
                <w:szCs w:val="20"/>
                <w:lang w:val="en-GB"/>
              </w:rPr>
              <w:t>s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For antenna switching across multiple slots, restrict that the slots </w:t>
            </w:r>
            <w:r w:rsidRPr="000251D7">
              <w:rPr>
                <w:rFonts w:eastAsia="Microsoft YaHei"/>
                <w:sz w:val="20"/>
                <w:szCs w:val="20"/>
                <w:lang w:val="en-GB"/>
              </w:rPr>
              <w:lastRenderedPageBreak/>
              <w:t>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Add more P_F values: Futurewei, Huawei/</w:t>
      </w:r>
      <w:proofErr w:type="spellStart"/>
      <w:r>
        <w:rPr>
          <w:rFonts w:eastAsia="Microsoft YaHei"/>
          <w:sz w:val="20"/>
          <w:szCs w:val="20"/>
        </w:rPr>
        <w:t>HiSilicon</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proofErr w:type="gramStart"/>
            <w:r>
              <w:rPr>
                <w:rFonts w:eastAsia="MS Mincho"/>
                <w:sz w:val="20"/>
                <w:szCs w:val="20"/>
                <w:lang w:eastAsia="ja-JP"/>
              </w:rPr>
              <w:t>Still</w:t>
            </w:r>
            <w:proofErr w:type="gramEnd"/>
            <w:r>
              <w:rPr>
                <w:rFonts w:eastAsia="MS Mincho"/>
                <w:sz w:val="20"/>
                <w:szCs w:val="20"/>
                <w:lang w:eastAsia="ja-JP"/>
              </w:rPr>
              <w:t xml:space="preserve">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3CD918F" w14:textId="77777777" w:rsidR="00C40EA0" w:rsidRDefault="00C40EA0" w:rsidP="00920D2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lastRenderedPageBreak/>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w:t>
            </w:r>
            <w:proofErr w:type="gramStart"/>
            <w:r>
              <w:rPr>
                <w:rFonts w:eastAsia="Microsoft YaHei"/>
                <w:sz w:val="20"/>
                <w:szCs w:val="20"/>
              </w:rPr>
              <w:t>apply</w:t>
            </w:r>
            <w:proofErr w:type="gramEnd"/>
            <w:r>
              <w:rPr>
                <w:rFonts w:eastAsia="Microsoft YaHei"/>
                <w:sz w:val="20"/>
                <w:szCs w:val="20"/>
              </w:rPr>
              <w:t xml:space="preserve">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r>
              <w:rPr>
                <w:rFonts w:eastAsia="Microsoft YaHei"/>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920D22">
            <w:pPr>
              <w:widowControl w:val="0"/>
              <w:snapToGrid w:val="0"/>
              <w:spacing w:before="120" w:after="120" w:line="240" w:lineRule="auto"/>
              <w:rPr>
                <w:rFonts w:eastAsia="Microsoft YaHei" w:hint="eastAsia"/>
                <w:sz w:val="20"/>
                <w:szCs w:val="20"/>
              </w:rPr>
            </w:pPr>
            <w:r>
              <w:rPr>
                <w:rFonts w:eastAsia="Microsoft YaHei"/>
                <w:sz w:val="20"/>
                <w:szCs w:val="20"/>
              </w:rPr>
              <w:t>Futurewei</w:t>
            </w:r>
          </w:p>
        </w:tc>
        <w:tc>
          <w:tcPr>
            <w:tcW w:w="6945" w:type="dxa"/>
          </w:tcPr>
          <w:p w14:paraId="52B71F42" w14:textId="77777777" w:rsidR="00AA0331" w:rsidRPr="00490C76" w:rsidRDefault="00AA0331" w:rsidP="00920D22">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lastRenderedPageBreak/>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r w:rsidR="00AD7B89" w14:paraId="53F19D19" w14:textId="77777777" w:rsidTr="00AD7B89">
        <w:tc>
          <w:tcPr>
            <w:tcW w:w="2405" w:type="dxa"/>
          </w:tcPr>
          <w:p w14:paraId="755E34B1" w14:textId="77777777" w:rsidR="00AD7B89" w:rsidRDefault="00AD7B89" w:rsidP="00920D2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A185E97" w14:textId="77777777" w:rsidR="00AD7B89" w:rsidRDefault="00AD7B89" w:rsidP="00920D22">
            <w:pPr>
              <w:widowControl w:val="0"/>
              <w:snapToGrid w:val="0"/>
              <w:spacing w:before="120" w:after="120" w:line="240" w:lineRule="auto"/>
              <w:rPr>
                <w:rFonts w:eastAsia="Microsoft YaHei"/>
                <w:sz w:val="20"/>
                <w:szCs w:val="20"/>
              </w:rPr>
            </w:pPr>
            <w:r>
              <w:rPr>
                <w:rFonts w:eastAsia="Microsoft YaHei"/>
                <w:sz w:val="20"/>
                <w:szCs w:val="20"/>
              </w:rPr>
              <w:t xml:space="preserve">Can deprioritize </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F1F4D0E"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w:t>
            </w:r>
            <w:r>
              <w:rPr>
                <w:rFonts w:eastAsia="Malgun Gothic"/>
                <w:sz w:val="20"/>
                <w:szCs w:val="20"/>
                <w:lang w:eastAsia="ko-KR"/>
              </w:rPr>
              <w:t xml:space="preserve">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3DA2FB2"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w:t>
            </w:r>
            <w:proofErr w:type="gramStart"/>
            <w:r>
              <w:rPr>
                <w:rFonts w:eastAsia="MS Mincho"/>
                <w:sz w:val="20"/>
                <w:szCs w:val="20"/>
                <w:lang w:eastAsia="ja-JP"/>
              </w:rPr>
              <w:t>e.g.</w:t>
            </w:r>
            <w:proofErr w:type="gramEnd"/>
            <w:r>
              <w:rPr>
                <w:rFonts w:eastAsia="MS Mincho"/>
                <w:sz w:val="20"/>
                <w:szCs w:val="20"/>
                <w:lang w:eastAsia="ja-JP"/>
              </w:rPr>
              <w:t xml:space="preserve">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3F852DF"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MediaTek, NTT DOCOMO, Intel, OPPO, Futurewei,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Futurewei</w:t>
            </w:r>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w:t>
            </w:r>
            <w:proofErr w:type="gramStart"/>
            <w:r>
              <w:rPr>
                <w:rFonts w:eastAsiaTheme="minorEastAsia"/>
                <w:sz w:val="20"/>
                <w:szCs w:val="20"/>
              </w:rPr>
              <w:t>Actually</w:t>
            </w:r>
            <w:proofErr w:type="gramEnd"/>
            <w:r>
              <w:rPr>
                <w:rFonts w:eastAsiaTheme="minorEastAsia"/>
                <w:sz w:val="20"/>
                <w:szCs w:val="20"/>
              </w:rPr>
              <w:t xml:space="preserve">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920D22">
            <w:pPr>
              <w:widowControl w:val="0"/>
              <w:snapToGrid w:val="0"/>
              <w:spacing w:before="120" w:after="120" w:line="240" w:lineRule="auto"/>
              <w:rPr>
                <w:rFonts w:eastAsia="BatangChe"/>
                <w:sz w:val="20"/>
                <w:szCs w:val="20"/>
                <w:lang w:eastAsia="ko-KR"/>
              </w:rPr>
            </w:pPr>
            <w:r>
              <w:rPr>
                <w:rFonts w:eastAsia="BatangChe"/>
                <w:sz w:val="20"/>
                <w:szCs w:val="20"/>
                <w:lang w:eastAsia="ko-KR"/>
              </w:rPr>
              <w:t>Futurewei</w:t>
            </w:r>
          </w:p>
        </w:tc>
        <w:tc>
          <w:tcPr>
            <w:tcW w:w="7296" w:type="dxa"/>
          </w:tcPr>
          <w:p w14:paraId="0114F8DD" w14:textId="77777777" w:rsidR="00F75BAA" w:rsidRDefault="00F75BAA"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lastRenderedPageBreak/>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w:t>
            </w:r>
            <w:r w:rsidRPr="00A457BD">
              <w:rPr>
                <w:rStyle w:val="Emphasis"/>
                <w:i w:val="0"/>
                <w:sz w:val="20"/>
                <w:szCs w:val="20"/>
              </w:rPr>
              <w:lastRenderedPageBreak/>
              <w:t>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proofErr w:type="gramStart"/>
            <w:r w:rsidRPr="00A457BD">
              <w:rPr>
                <w:rStyle w:val="Emphasis"/>
                <w:i w:val="0"/>
                <w:sz w:val="20"/>
                <w:szCs w:val="20"/>
                <w:vertAlign w:val="superscript"/>
              </w:rPr>
              <w:t>st</w:t>
            </w:r>
            <w:r w:rsidRPr="00A457BD">
              <w:rPr>
                <w:rStyle w:val="Emphasis"/>
                <w:i w:val="0"/>
                <w:sz w:val="20"/>
                <w:szCs w:val="20"/>
              </w:rPr>
              <w:t>  and</w:t>
            </w:r>
            <w:proofErr w:type="gramEnd"/>
            <w:r w:rsidRPr="00A457BD">
              <w:rPr>
                <w:rStyle w:val="Emphasis"/>
                <w:i w:val="0"/>
                <w:sz w:val="20"/>
                <w:szCs w:val="20"/>
              </w:rPr>
              <w:t xml:space="preserve">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proofErr w:type="gramStart"/>
            <w:r w:rsidRPr="003F04B9">
              <w:rPr>
                <w:rFonts w:eastAsia="Microsoft YaHei"/>
                <w:sz w:val="20"/>
                <w:szCs w:val="20"/>
              </w:rPr>
              <w:t>means totally</w:t>
            </w:r>
            <w:proofErr w:type="gramEnd"/>
            <w:r w:rsidRPr="003F04B9">
              <w:rPr>
                <w:rFonts w:eastAsia="Microsoft YaHei"/>
                <w:sz w:val="20"/>
                <w:szCs w:val="20"/>
              </w:rPr>
              <w:t xml:space="preserve">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F767EB"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F767EB"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F767EB"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F767EB"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F767EB"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F767EB"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F767EB"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F767EB"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F767EB"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F767EB"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F767EB"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F767EB"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F767EB"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F767EB"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F767EB"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F767EB"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F767EB"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F767EB"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F767EB"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F767EB"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F767EB"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E062" w14:textId="77777777" w:rsidR="00F767EB" w:rsidRDefault="00F767EB" w:rsidP="0066336C">
      <w:pPr>
        <w:spacing w:after="0" w:line="240" w:lineRule="auto"/>
      </w:pPr>
      <w:r>
        <w:separator/>
      </w:r>
    </w:p>
  </w:endnote>
  <w:endnote w:type="continuationSeparator" w:id="0">
    <w:p w14:paraId="71027B64" w14:textId="77777777" w:rsidR="00F767EB" w:rsidRDefault="00F767E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CF09E7" w:rsidRDefault="00CF09E7">
    <w:pPr>
      <w:pStyle w:val="Footer"/>
    </w:pPr>
    <w:r>
      <w:rPr>
        <w:noProof/>
        <w:lang w:eastAsia="zh-TW"/>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D316" w14:textId="77777777" w:rsidR="00F767EB" w:rsidRDefault="00F767EB" w:rsidP="0066336C">
      <w:pPr>
        <w:spacing w:after="0" w:line="240" w:lineRule="auto"/>
      </w:pPr>
      <w:r>
        <w:separator/>
      </w:r>
    </w:p>
  </w:footnote>
  <w:footnote w:type="continuationSeparator" w:id="0">
    <w:p w14:paraId="037EA45D" w14:textId="77777777" w:rsidR="00F767EB" w:rsidRDefault="00F767E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721"/>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3C45B38-F9CB-4A56-A560-CABFB3C9ED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9754</Words>
  <Characters>55599</Characters>
  <Application>Microsoft Office Word</Application>
  <DocSecurity>0</DocSecurity>
  <Lines>463</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2021-11-15T23:19:00Z</dcterms:created>
  <dcterms:modified xsi:type="dcterms:W3CDTF">2021-11-15T23:19:00Z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