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313" w14:textId="323826F5"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F58F4">
        <w:rPr>
          <w:sz w:val="24"/>
          <w:lang w:eastAsia="zh-CN"/>
        </w:rPr>
        <w:t>7</w:t>
      </w:r>
      <w:r w:rsidRPr="00F001F6">
        <w:rPr>
          <w:rFonts w:hint="eastAsia"/>
          <w:sz w:val="24"/>
          <w:lang w:eastAsia="zh-CN"/>
        </w:rPr>
        <w:t>-e</w:t>
      </w:r>
      <w:r w:rsidRPr="00F001F6">
        <w:rPr>
          <w:bCs/>
          <w:sz w:val="24"/>
        </w:rPr>
        <w:tab/>
      </w:r>
      <w:r w:rsidRPr="003F58F4">
        <w:rPr>
          <w:sz w:val="24"/>
          <w:highlight w:val="yellow"/>
          <w:lang w:eastAsia="zh-CN"/>
        </w:rPr>
        <w:t>R1-21</w:t>
      </w:r>
      <w:r w:rsidR="005250F0" w:rsidRPr="003F58F4">
        <w:rPr>
          <w:sz w:val="24"/>
          <w:highlight w:val="yellow"/>
          <w:lang w:eastAsia="zh-CN"/>
        </w:rPr>
        <w:t>10687</w:t>
      </w:r>
    </w:p>
    <w:p w14:paraId="6654FEE9" w14:textId="4517DF06"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3F58F4">
        <w:rPr>
          <w:rFonts w:ascii="Arial" w:eastAsia="MS Mincho" w:hAnsi="Arial" w:cs="Arial"/>
          <w:b/>
          <w:bCs/>
          <w:sz w:val="24"/>
          <w:lang w:eastAsia="ja-JP"/>
        </w:rPr>
        <w:t>November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0A8428E8"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005250F0">
        <w:rPr>
          <w:rFonts w:ascii="Arial" w:hAnsi="Arial" w:cs="Arial"/>
          <w:b/>
          <w:bCs/>
          <w:sz w:val="24"/>
        </w:rPr>
        <w:t>WI r</w:t>
      </w:r>
      <w:r w:rsidR="00A1387E" w:rsidRPr="00FE2372">
        <w:rPr>
          <w:rFonts w:ascii="Arial" w:hAnsi="Arial" w:cs="Arial"/>
          <w:b/>
          <w:bCs/>
          <w:sz w:val="24"/>
        </w:rPr>
        <w:t>apporteur (</w:t>
      </w:r>
      <w:r w:rsidR="00A1387E">
        <w:rPr>
          <w:rFonts w:ascii="Arial" w:hAnsi="Arial" w:cs="Arial"/>
          <w:b/>
          <w:bCs/>
          <w:sz w:val="24"/>
        </w:rPr>
        <w:t>China Telecom</w:t>
      </w:r>
      <w:r w:rsidR="00A1387E" w:rsidRPr="00FE2372">
        <w:rPr>
          <w:rFonts w:ascii="Arial" w:hAnsi="Arial" w:cs="Arial"/>
          <w:b/>
          <w:bCs/>
          <w:sz w:val="24"/>
        </w:rPr>
        <w:t>)</w:t>
      </w:r>
    </w:p>
    <w:p w14:paraId="0C49B147" w14:textId="6896D90F"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C34A5">
        <w:rPr>
          <w:rFonts w:ascii="Arial" w:hAnsi="Arial" w:cs="Arial"/>
          <w:b/>
          <w:bCs/>
          <w:sz w:val="24"/>
        </w:rPr>
        <w:t xml:space="preserve">RAN1 </w:t>
      </w:r>
      <w:r w:rsidR="00E210A8">
        <w:rPr>
          <w:rFonts w:ascii="Arial" w:hAnsi="Arial" w:cs="Arial" w:hint="eastAsia"/>
          <w:b/>
          <w:bCs/>
          <w:sz w:val="24"/>
          <w:lang w:eastAsia="zh-CN"/>
        </w:rPr>
        <w:t>a</w:t>
      </w:r>
      <w:r w:rsidR="00297D70" w:rsidRPr="00297D70">
        <w:rPr>
          <w:rFonts w:ascii="Arial" w:hAnsi="Arial" w:cs="Arial"/>
          <w:b/>
          <w:bCs/>
          <w:sz w:val="24"/>
        </w:rPr>
        <w:t>greements for Rel-17 Tx switching</w:t>
      </w:r>
    </w:p>
    <w:p w14:paraId="0222BA74" w14:textId="06A1B06E" w:rsidR="003E2811" w:rsidRPr="00242FBB" w:rsidRDefault="00A1387E" w:rsidP="003E2811">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r>
      <w:r>
        <w:rPr>
          <w:rFonts w:ascii="Arial" w:hAnsi="Arial" w:cs="Arial" w:hint="eastAsia"/>
          <w:b/>
          <w:bCs/>
          <w:sz w:val="24"/>
          <w:lang w:eastAsia="zh-CN"/>
        </w:rPr>
        <w:t>Information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lastRenderedPageBreak/>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5C6CB8A4" w14:textId="593FA000" w:rsidR="00D01314" w:rsidRDefault="00D01314" w:rsidP="00D01314">
      <w:pPr>
        <w:spacing w:after="120" w:line="240" w:lineRule="auto"/>
        <w:rPr>
          <w:szCs w:val="21"/>
          <w:lang w:val="en-GB"/>
        </w:rPr>
      </w:pPr>
      <w:r w:rsidRPr="00EB3B3B">
        <w:rPr>
          <w:szCs w:val="21"/>
          <w:lang w:val="en-GB"/>
        </w:rPr>
        <w:t xml:space="preserve">This contribution is a summary of </w:t>
      </w:r>
      <w:r w:rsidR="00700263">
        <w:rPr>
          <w:szCs w:val="21"/>
          <w:lang w:val="en-GB"/>
        </w:rPr>
        <w:t xml:space="preserve">RAN1 </w:t>
      </w:r>
      <w:r w:rsidR="00437796">
        <w:rPr>
          <w:szCs w:val="21"/>
          <w:lang w:val="en-GB"/>
        </w:rPr>
        <w:t>agreements till RAN1 #107</w:t>
      </w:r>
      <w:bookmarkStart w:id="3" w:name="_GoBack"/>
      <w:bookmarkEnd w:id="3"/>
      <w:r>
        <w:rPr>
          <w:szCs w:val="21"/>
          <w:lang w:val="en-GB"/>
        </w:rPr>
        <w:t>-e</w:t>
      </w:r>
      <w:r w:rsidRPr="00EB3B3B">
        <w:rPr>
          <w:szCs w:val="21"/>
          <w:lang w:val="en-GB"/>
        </w:rPr>
        <w:t>.</w:t>
      </w:r>
    </w:p>
    <w:p w14:paraId="36202504" w14:textId="77777777" w:rsidR="005D117E" w:rsidRDefault="005D117E" w:rsidP="007A79B0">
      <w:pPr>
        <w:pStyle w:val="ad"/>
        <w:spacing w:beforeLines="50" w:before="120"/>
        <w:jc w:val="both"/>
        <w:rPr>
          <w:sz w:val="21"/>
          <w:szCs w:val="21"/>
          <w:lang w:eastAsia="zh-CN"/>
        </w:rPr>
      </w:pPr>
    </w:p>
    <w:p w14:paraId="77D063BE" w14:textId="354955A7" w:rsidR="003E2811" w:rsidRPr="0078053A" w:rsidRDefault="003E2811" w:rsidP="003E2811">
      <w:pPr>
        <w:pStyle w:val="1"/>
        <w:spacing w:line="240" w:lineRule="auto"/>
      </w:pPr>
      <w:r w:rsidRPr="0078053A">
        <w:t>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ad"/>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3EC4E7D3" w:rsidR="003E2811" w:rsidRDefault="003E2811" w:rsidP="003E2811">
      <w:pPr>
        <w:pStyle w:val="ad"/>
        <w:spacing w:beforeLines="50" w:before="120"/>
        <w:jc w:val="both"/>
        <w:rPr>
          <w:sz w:val="21"/>
          <w:szCs w:val="21"/>
          <w:lang w:eastAsia="zh-CN"/>
        </w:rPr>
      </w:pPr>
    </w:p>
    <w:p w14:paraId="50E35904" w14:textId="1E49C6D8" w:rsidR="00377132" w:rsidRPr="0078053A" w:rsidRDefault="00377132" w:rsidP="00377132">
      <w:pPr>
        <w:pStyle w:val="1"/>
        <w:spacing w:line="240" w:lineRule="auto"/>
      </w:pPr>
      <w:r>
        <w:t>RAN1#105</w:t>
      </w:r>
      <w:r w:rsidRPr="0078053A">
        <w:t>-e</w:t>
      </w:r>
    </w:p>
    <w:p w14:paraId="3CDAC572" w14:textId="77777777" w:rsidR="00377132" w:rsidRPr="0078053A" w:rsidRDefault="00377132" w:rsidP="00377132">
      <w:pPr>
        <w:rPr>
          <w:b/>
          <w:sz w:val="21"/>
          <w:szCs w:val="21"/>
          <w:highlight w:val="green"/>
        </w:rPr>
      </w:pPr>
      <w:r w:rsidRPr="0078053A">
        <w:rPr>
          <w:b/>
          <w:sz w:val="21"/>
          <w:szCs w:val="21"/>
          <w:highlight w:val="green"/>
        </w:rPr>
        <w:t>Agreements:</w:t>
      </w:r>
    </w:p>
    <w:p w14:paraId="2FD57BD5" w14:textId="77777777" w:rsidR="00377132" w:rsidRPr="00CB65A3" w:rsidRDefault="00377132" w:rsidP="00377132">
      <w:pPr>
        <w:pStyle w:val="aff"/>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2BFC76EB" w14:textId="77777777" w:rsidR="00377132" w:rsidRDefault="00377132" w:rsidP="00377132">
      <w:pPr>
        <w:snapToGrid w:val="0"/>
        <w:spacing w:after="100"/>
        <w:jc w:val="both"/>
        <w:rPr>
          <w:b/>
          <w:sz w:val="21"/>
          <w:szCs w:val="21"/>
          <w:highlight w:val="yellow"/>
          <w:lang w:val="en-GB" w:eastAsia="zh-CN"/>
        </w:rPr>
      </w:pPr>
    </w:p>
    <w:p w14:paraId="0F6AD55D" w14:textId="77777777" w:rsidR="00377132" w:rsidRPr="0078053A" w:rsidRDefault="00377132" w:rsidP="00377132">
      <w:pPr>
        <w:rPr>
          <w:b/>
          <w:sz w:val="21"/>
          <w:szCs w:val="21"/>
          <w:highlight w:val="green"/>
        </w:rPr>
      </w:pPr>
      <w:r w:rsidRPr="0078053A">
        <w:rPr>
          <w:b/>
          <w:sz w:val="21"/>
          <w:szCs w:val="21"/>
          <w:highlight w:val="green"/>
        </w:rPr>
        <w:t>Agreements:</w:t>
      </w:r>
    </w:p>
    <w:p w14:paraId="108808E9" w14:textId="77777777" w:rsidR="00377132" w:rsidRPr="00CB65A3" w:rsidRDefault="00377132" w:rsidP="00377132">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4DCA87FE" w14:textId="77777777" w:rsidR="00377132" w:rsidRPr="00CB65A3" w:rsidRDefault="00377132" w:rsidP="00377132">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6DD001B3" w14:textId="77777777" w:rsidR="00377132" w:rsidRDefault="00377132" w:rsidP="00377132">
      <w:pPr>
        <w:pStyle w:val="ad"/>
        <w:spacing w:beforeLines="50" w:before="120"/>
        <w:jc w:val="both"/>
        <w:rPr>
          <w:b/>
          <w:sz w:val="21"/>
          <w:szCs w:val="21"/>
          <w:highlight w:val="yellow"/>
        </w:rPr>
      </w:pPr>
    </w:p>
    <w:p w14:paraId="5FDE157B" w14:textId="77777777" w:rsidR="00377132" w:rsidRPr="0078053A" w:rsidRDefault="00377132" w:rsidP="00377132">
      <w:pPr>
        <w:rPr>
          <w:b/>
          <w:sz w:val="21"/>
          <w:szCs w:val="21"/>
          <w:highlight w:val="green"/>
        </w:rPr>
      </w:pPr>
      <w:r w:rsidRPr="0078053A">
        <w:rPr>
          <w:b/>
          <w:sz w:val="21"/>
          <w:szCs w:val="21"/>
          <w:highlight w:val="green"/>
        </w:rPr>
        <w:t>Agreements:</w:t>
      </w:r>
    </w:p>
    <w:p w14:paraId="65EAE76C" w14:textId="77777777" w:rsidR="00377132" w:rsidRPr="00CB65A3" w:rsidRDefault="00377132" w:rsidP="00377132">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7FBD0EF8" w14:textId="77777777" w:rsidR="00377132" w:rsidRPr="00CB65A3" w:rsidRDefault="00377132" w:rsidP="00377132">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12F44026" w14:textId="77777777" w:rsidR="00377132" w:rsidRPr="00CB65A3" w:rsidRDefault="00377132" w:rsidP="00377132">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3F4DB59D" w14:textId="77777777" w:rsidR="00377132" w:rsidRPr="00CB65A3" w:rsidRDefault="00377132" w:rsidP="00377132">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233D30A3" w14:textId="77777777" w:rsidR="00377132" w:rsidRPr="00CB65A3" w:rsidRDefault="00377132" w:rsidP="00377132">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7D7FA691" w14:textId="77777777" w:rsidR="00377132" w:rsidRPr="00CB65A3" w:rsidRDefault="00377132" w:rsidP="00377132">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25260236" w14:textId="77777777" w:rsidR="00377132" w:rsidRPr="00CB65A3" w:rsidRDefault="00377132" w:rsidP="00377132">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3E2F9D12" w14:textId="77777777" w:rsidR="00377132" w:rsidRPr="00CB65A3" w:rsidRDefault="00377132" w:rsidP="00377132">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43A99202" w14:textId="599E9D5F" w:rsidR="00377132" w:rsidRDefault="00377132" w:rsidP="00377132">
      <w:pPr>
        <w:pStyle w:val="ad"/>
        <w:spacing w:beforeLines="50" w:before="120"/>
        <w:jc w:val="both"/>
        <w:rPr>
          <w:sz w:val="21"/>
          <w:szCs w:val="21"/>
          <w:lang w:val="en-US" w:eastAsia="zh-CN"/>
        </w:rPr>
      </w:pPr>
    </w:p>
    <w:p w14:paraId="3508280B" w14:textId="77777777" w:rsidR="00A717D7" w:rsidRDefault="00A717D7" w:rsidP="00377132">
      <w:pPr>
        <w:pStyle w:val="ad"/>
        <w:spacing w:beforeLines="50" w:before="120"/>
        <w:jc w:val="both"/>
        <w:rPr>
          <w:sz w:val="21"/>
          <w:szCs w:val="21"/>
          <w:lang w:val="en-US" w:eastAsia="zh-CN"/>
        </w:rPr>
      </w:pPr>
    </w:p>
    <w:p w14:paraId="5B5321BA" w14:textId="77777777" w:rsidR="00377132" w:rsidRPr="00D06B57" w:rsidRDefault="00377132" w:rsidP="00377132">
      <w:pPr>
        <w:rPr>
          <w:b/>
          <w:sz w:val="21"/>
          <w:szCs w:val="21"/>
          <w:highlight w:val="green"/>
          <w:lang w:eastAsia="x-none"/>
        </w:rPr>
      </w:pPr>
      <w:r w:rsidRPr="00D06B57">
        <w:rPr>
          <w:b/>
          <w:sz w:val="21"/>
          <w:szCs w:val="21"/>
          <w:highlight w:val="green"/>
          <w:lang w:eastAsia="x-none"/>
        </w:rPr>
        <w:lastRenderedPageBreak/>
        <w:t>Agreement:</w:t>
      </w:r>
    </w:p>
    <w:p w14:paraId="1F41D5F5" w14:textId="77777777" w:rsidR="00377132" w:rsidRPr="00D06B57" w:rsidRDefault="00377132" w:rsidP="00377132">
      <w:pPr>
        <w:pStyle w:val="ad"/>
        <w:numPr>
          <w:ilvl w:val="0"/>
          <w:numId w:val="27"/>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3BB9D55F" w14:textId="77777777" w:rsidR="00377132" w:rsidRPr="00D06B57" w:rsidRDefault="00377132" w:rsidP="00377132">
      <w:pPr>
        <w:pStyle w:val="ad"/>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22FE4C6A" w14:textId="77AE7334" w:rsidR="00377132" w:rsidRDefault="00377132" w:rsidP="003E2811">
      <w:pPr>
        <w:pStyle w:val="ad"/>
        <w:spacing w:beforeLines="50" w:before="120"/>
        <w:jc w:val="both"/>
        <w:rPr>
          <w:sz w:val="21"/>
          <w:szCs w:val="21"/>
          <w:lang w:eastAsia="zh-CN"/>
        </w:rPr>
      </w:pPr>
    </w:p>
    <w:p w14:paraId="7860CE42" w14:textId="09198888" w:rsidR="00377132" w:rsidRPr="0078053A" w:rsidRDefault="00377132" w:rsidP="00377132">
      <w:pPr>
        <w:pStyle w:val="1"/>
        <w:spacing w:line="240" w:lineRule="auto"/>
      </w:pPr>
      <w:r>
        <w:t>RAN1#106</w:t>
      </w:r>
      <w:r w:rsidRPr="0078053A">
        <w:t>-e</w:t>
      </w:r>
    </w:p>
    <w:p w14:paraId="34D5C56B" w14:textId="77777777" w:rsidR="00377132" w:rsidRPr="0078053A" w:rsidRDefault="00377132" w:rsidP="00377132">
      <w:pPr>
        <w:rPr>
          <w:b/>
          <w:sz w:val="21"/>
          <w:szCs w:val="21"/>
          <w:highlight w:val="green"/>
        </w:rPr>
      </w:pPr>
      <w:r w:rsidRPr="0078053A">
        <w:rPr>
          <w:b/>
          <w:sz w:val="21"/>
          <w:szCs w:val="21"/>
          <w:highlight w:val="green"/>
        </w:rPr>
        <w:t>Agreements:</w:t>
      </w:r>
    </w:p>
    <w:p w14:paraId="08037510" w14:textId="77777777" w:rsidR="00377132" w:rsidRDefault="00377132" w:rsidP="00377132">
      <w:pPr>
        <w:numPr>
          <w:ilvl w:val="0"/>
          <w:numId w:val="29"/>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7AE9C77" w14:textId="77777777" w:rsidR="00377132" w:rsidRDefault="00377132" w:rsidP="00377132">
      <w:pPr>
        <w:pStyle w:val="ad"/>
        <w:spacing w:beforeLines="50" w:before="120"/>
        <w:jc w:val="both"/>
        <w:rPr>
          <w:sz w:val="21"/>
          <w:szCs w:val="21"/>
          <w:lang w:eastAsia="zh-CN"/>
        </w:rPr>
      </w:pPr>
    </w:p>
    <w:p w14:paraId="50B536CE" w14:textId="77777777" w:rsidR="00377132" w:rsidRPr="0078053A" w:rsidRDefault="00377132" w:rsidP="00377132">
      <w:pPr>
        <w:rPr>
          <w:b/>
          <w:sz w:val="21"/>
          <w:szCs w:val="21"/>
          <w:highlight w:val="green"/>
        </w:rPr>
      </w:pPr>
      <w:r w:rsidRPr="0078053A">
        <w:rPr>
          <w:b/>
          <w:sz w:val="21"/>
          <w:szCs w:val="21"/>
          <w:highlight w:val="green"/>
        </w:rPr>
        <w:t>Agreements:</w:t>
      </w:r>
    </w:p>
    <w:p w14:paraId="530451CE" w14:textId="77777777" w:rsidR="00377132" w:rsidRPr="00CB2840" w:rsidRDefault="00377132" w:rsidP="00377132">
      <w:pPr>
        <w:numPr>
          <w:ilvl w:val="0"/>
          <w:numId w:val="29"/>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67C324EC" w14:textId="77777777" w:rsidR="00377132" w:rsidRPr="00CB2840" w:rsidRDefault="00377132" w:rsidP="00377132">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446C70D0" w14:textId="77777777" w:rsidR="00377132" w:rsidRPr="00CB2840" w:rsidRDefault="00377132" w:rsidP="00377132">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F30B7CD" w14:textId="77777777" w:rsidR="00377132" w:rsidRPr="00CB2840" w:rsidRDefault="00377132" w:rsidP="00377132">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B07FDF3" w14:textId="77777777" w:rsidR="00377132" w:rsidRPr="00CB2840" w:rsidRDefault="00377132" w:rsidP="00377132">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5CA6423F" w14:textId="77777777" w:rsidR="00377132" w:rsidRDefault="00377132" w:rsidP="00377132">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71484519" w14:textId="77777777" w:rsidR="00377132" w:rsidRDefault="00377132" w:rsidP="00377132">
      <w:pPr>
        <w:pStyle w:val="ad"/>
        <w:spacing w:beforeLines="50" w:before="120"/>
        <w:jc w:val="both"/>
        <w:rPr>
          <w:sz w:val="21"/>
          <w:szCs w:val="21"/>
          <w:lang w:eastAsia="zh-CN"/>
        </w:rPr>
      </w:pPr>
    </w:p>
    <w:p w14:paraId="7C8FC498" w14:textId="77777777" w:rsidR="00377132" w:rsidRPr="0078053A" w:rsidRDefault="00377132" w:rsidP="00377132">
      <w:pPr>
        <w:rPr>
          <w:b/>
          <w:sz w:val="21"/>
          <w:szCs w:val="21"/>
          <w:highlight w:val="green"/>
        </w:rPr>
      </w:pPr>
      <w:r w:rsidRPr="0078053A">
        <w:rPr>
          <w:b/>
          <w:sz w:val="21"/>
          <w:szCs w:val="21"/>
          <w:highlight w:val="green"/>
        </w:rPr>
        <w:t>Agreements:</w:t>
      </w:r>
    </w:p>
    <w:p w14:paraId="3275E671" w14:textId="77777777" w:rsidR="00377132" w:rsidRPr="00770A7C" w:rsidRDefault="00377132" w:rsidP="00377132">
      <w:pPr>
        <w:numPr>
          <w:ilvl w:val="0"/>
          <w:numId w:val="29"/>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70165431" w14:textId="77777777" w:rsidR="00377132" w:rsidRPr="00FD1380" w:rsidRDefault="00377132" w:rsidP="00377132">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23A8BF28" w14:textId="77777777" w:rsidR="00377132" w:rsidRPr="00FD1380" w:rsidRDefault="00377132" w:rsidP="00377132">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1BBA35FA" w14:textId="77777777" w:rsidR="00377132" w:rsidRPr="00FD1380" w:rsidRDefault="00377132" w:rsidP="00377132">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1B5867F" w14:textId="77777777" w:rsidR="00377132" w:rsidRPr="00FD1380" w:rsidRDefault="00377132" w:rsidP="00377132">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BF58556" w14:textId="77777777" w:rsidR="00377132" w:rsidRPr="00FD1380" w:rsidRDefault="00377132" w:rsidP="00377132">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55090DDB" w14:textId="77777777" w:rsidR="00377132" w:rsidRPr="00FD1380" w:rsidRDefault="00377132" w:rsidP="00377132">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57656DB0" w14:textId="77777777" w:rsidR="00377132" w:rsidRDefault="00377132" w:rsidP="00377132">
      <w:pPr>
        <w:pStyle w:val="ad"/>
        <w:spacing w:beforeLines="50" w:before="120"/>
        <w:jc w:val="both"/>
        <w:rPr>
          <w:sz w:val="21"/>
          <w:szCs w:val="21"/>
          <w:lang w:eastAsia="zh-CN"/>
        </w:rPr>
      </w:pPr>
    </w:p>
    <w:p w14:paraId="692DDEB0" w14:textId="77777777" w:rsidR="00377132" w:rsidRPr="00651DC4" w:rsidRDefault="00377132" w:rsidP="00377132">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Pr="00B91B2B">
        <w:rPr>
          <w:b/>
          <w:sz w:val="21"/>
          <w:szCs w:val="21"/>
          <w:lang w:eastAsia="zh-CN"/>
        </w:rPr>
        <w:t>Down select one of the following options</w:t>
      </w:r>
      <w:r>
        <w:rPr>
          <w:b/>
          <w:sz w:val="21"/>
          <w:szCs w:val="21"/>
          <w:lang w:eastAsia="zh-CN"/>
        </w:rPr>
        <w:t xml:space="preserve"> in RAN1#106b-e</w:t>
      </w:r>
      <w:r w:rsidRPr="00B91B2B">
        <w:rPr>
          <w:b/>
          <w:sz w:val="21"/>
          <w:szCs w:val="21"/>
          <w:lang w:eastAsia="zh-CN"/>
        </w:rPr>
        <w:t>:</w:t>
      </w:r>
    </w:p>
    <w:p w14:paraId="1FC4F967" w14:textId="77777777" w:rsidR="00377132" w:rsidRPr="000C2A33" w:rsidRDefault="00377132" w:rsidP="00377132">
      <w:pPr>
        <w:pStyle w:val="ad"/>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62A0BABC" w14:textId="77777777" w:rsidR="00377132" w:rsidRPr="000C2A33" w:rsidRDefault="00377132" w:rsidP="00377132">
      <w:pPr>
        <w:pStyle w:val="ad"/>
        <w:numPr>
          <w:ilvl w:val="1"/>
          <w:numId w:val="28"/>
        </w:numPr>
        <w:spacing w:beforeLines="50" w:before="120"/>
        <w:jc w:val="both"/>
        <w:rPr>
          <w:sz w:val="21"/>
          <w:szCs w:val="21"/>
          <w:lang w:eastAsia="zh-CN"/>
        </w:rPr>
      </w:pPr>
      <w:r w:rsidRPr="000C2A33">
        <w:rPr>
          <w:sz w:val="21"/>
          <w:szCs w:val="21"/>
          <w:lang w:eastAsia="zh-CN"/>
        </w:rPr>
        <w:lastRenderedPageBreak/>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4B28A1BA" w14:textId="77777777" w:rsidR="00377132" w:rsidRPr="000C2A33" w:rsidRDefault="00377132" w:rsidP="00377132">
      <w:pPr>
        <w:pStyle w:val="ad"/>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70D137D5" w14:textId="77777777" w:rsidR="00377132" w:rsidRPr="008137F9" w:rsidRDefault="00377132" w:rsidP="00377132">
      <w:pPr>
        <w:pStyle w:val="ad"/>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557C95C" w14:textId="77777777" w:rsidR="00377132" w:rsidRPr="000C2A33" w:rsidRDefault="00377132" w:rsidP="00377132">
      <w:pPr>
        <w:pStyle w:val="ad"/>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33D4A650" w14:textId="77777777" w:rsidR="00377132" w:rsidRDefault="00377132" w:rsidP="00377132">
      <w:pPr>
        <w:pStyle w:val="ad"/>
        <w:spacing w:beforeLines="50" w:before="120"/>
        <w:jc w:val="both"/>
        <w:rPr>
          <w:sz w:val="21"/>
          <w:szCs w:val="21"/>
          <w:lang w:eastAsia="zh-CN"/>
        </w:rPr>
      </w:pPr>
    </w:p>
    <w:p w14:paraId="7FFD275F" w14:textId="77777777" w:rsidR="00377132" w:rsidRPr="00CF4D75" w:rsidRDefault="00377132" w:rsidP="00377132">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2DDC5F53" w14:textId="77777777" w:rsidR="00377132" w:rsidRPr="00440609" w:rsidRDefault="00377132" w:rsidP="00377132">
      <w:pPr>
        <w:rPr>
          <w:rFonts w:eastAsiaTheme="minorEastAsia"/>
          <w:b/>
          <w:sz w:val="21"/>
          <w:szCs w:val="21"/>
          <w:lang w:val="en-GB" w:eastAsia="zh-CN"/>
        </w:rPr>
      </w:pPr>
      <w:r>
        <w:rPr>
          <w:rFonts w:eastAsiaTheme="minorEastAsia"/>
          <w:b/>
          <w:sz w:val="21"/>
          <w:szCs w:val="21"/>
          <w:lang w:val="en-GB" w:eastAsia="zh-CN"/>
        </w:rPr>
        <w:t>Option 1:</w:t>
      </w:r>
    </w:p>
    <w:p w14:paraId="7A41B7B5" w14:textId="77777777" w:rsidR="00377132" w:rsidRPr="00BE159C" w:rsidRDefault="00377132" w:rsidP="00377132">
      <w:pPr>
        <w:pStyle w:val="aff"/>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631A2AC" w14:textId="77777777" w:rsidR="00377132" w:rsidRPr="00BE159C" w:rsidRDefault="00377132" w:rsidP="00377132">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793A8D80" w14:textId="77777777" w:rsidR="00377132" w:rsidRPr="00BE159C" w:rsidRDefault="00377132" w:rsidP="00377132">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565372B7" w14:textId="77777777" w:rsidR="00377132" w:rsidRPr="00BE159C" w:rsidRDefault="00377132" w:rsidP="00377132">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5A64C333" w14:textId="77777777" w:rsidR="00377132" w:rsidRDefault="00377132" w:rsidP="00377132">
      <w:pPr>
        <w:pStyle w:val="aff"/>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6A16ADE" w14:textId="77777777" w:rsidR="00377132" w:rsidRPr="00A373E5" w:rsidRDefault="00377132" w:rsidP="00377132">
      <w:pPr>
        <w:pStyle w:val="aff"/>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598DC3B4" w14:textId="77777777" w:rsidR="00377132" w:rsidRPr="00A373E5" w:rsidRDefault="00377132" w:rsidP="00377132">
      <w:pPr>
        <w:pStyle w:val="aff"/>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99B04D" w14:textId="77777777" w:rsidR="00377132" w:rsidRPr="00440609" w:rsidRDefault="00377132" w:rsidP="00377132">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590D40A1" w14:textId="77777777" w:rsidR="00377132" w:rsidRPr="0028306C" w:rsidRDefault="00377132" w:rsidP="00377132">
      <w:pPr>
        <w:pStyle w:val="ad"/>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7A867F5C" w14:textId="7B630B87" w:rsidR="00377132" w:rsidRDefault="00377132" w:rsidP="003E2811">
      <w:pPr>
        <w:pStyle w:val="ad"/>
        <w:spacing w:beforeLines="50" w:before="120"/>
        <w:jc w:val="both"/>
        <w:rPr>
          <w:sz w:val="21"/>
          <w:szCs w:val="21"/>
          <w:lang w:eastAsia="zh-CN"/>
        </w:rPr>
      </w:pPr>
    </w:p>
    <w:p w14:paraId="45954EE0" w14:textId="5DFB7B38" w:rsidR="004F6B64" w:rsidRPr="0078053A" w:rsidRDefault="004F6B64" w:rsidP="004F6B64">
      <w:pPr>
        <w:pStyle w:val="1"/>
        <w:spacing w:line="240" w:lineRule="auto"/>
      </w:pPr>
      <w:r>
        <w:t>RAN1#106b</w:t>
      </w:r>
      <w:r w:rsidRPr="0078053A">
        <w:t>-e</w:t>
      </w:r>
    </w:p>
    <w:p w14:paraId="0BFFBDFF" w14:textId="77777777" w:rsidR="004F6B64" w:rsidRPr="00085282" w:rsidRDefault="004F6B64" w:rsidP="004F6B64">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6D289236" w14:textId="77777777" w:rsidR="004F6B64" w:rsidRPr="004E2EA9" w:rsidRDefault="004F6B64" w:rsidP="004F6B64">
      <w:pPr>
        <w:pStyle w:val="ad"/>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487E12C2" w14:textId="77777777" w:rsidR="004F6B64" w:rsidRPr="004E2EA9" w:rsidRDefault="004F6B64" w:rsidP="004F6B64">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27A2811B" w14:textId="77777777" w:rsidR="004F6B64" w:rsidRPr="004E2EA9" w:rsidRDefault="004F6B64" w:rsidP="004F6B64">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1D032CF0" w14:textId="1F4EB693" w:rsidR="00377132" w:rsidRDefault="00377132" w:rsidP="003E2811">
      <w:pPr>
        <w:pStyle w:val="ad"/>
        <w:spacing w:beforeLines="50" w:before="120"/>
        <w:jc w:val="both"/>
        <w:rPr>
          <w:sz w:val="21"/>
          <w:szCs w:val="21"/>
          <w:lang w:eastAsia="zh-CN"/>
        </w:rPr>
      </w:pPr>
    </w:p>
    <w:p w14:paraId="0721DD49" w14:textId="77777777" w:rsidR="00994A39" w:rsidRPr="0078053A" w:rsidRDefault="00994A39" w:rsidP="00994A39">
      <w:pPr>
        <w:pStyle w:val="1"/>
        <w:spacing w:line="240" w:lineRule="auto"/>
      </w:pPr>
      <w:r>
        <w:t>RAN1#107</w:t>
      </w:r>
      <w:r w:rsidRPr="0078053A">
        <w:t>-e</w:t>
      </w:r>
    </w:p>
    <w:p w14:paraId="6D3B8631" w14:textId="77777777" w:rsidR="00A717D7" w:rsidRDefault="00A717D7" w:rsidP="00994A39">
      <w:pPr>
        <w:pStyle w:val="ad"/>
        <w:spacing w:beforeLines="50" w:before="120"/>
        <w:jc w:val="both"/>
        <w:rPr>
          <w:b/>
          <w:sz w:val="21"/>
          <w:szCs w:val="21"/>
          <w:lang w:eastAsia="zh-CN"/>
        </w:rPr>
      </w:pPr>
    </w:p>
    <w:p w14:paraId="3932DD7C" w14:textId="53C5FB03" w:rsidR="00994A39" w:rsidRPr="009870E5" w:rsidRDefault="00994A39" w:rsidP="00994A39">
      <w:pPr>
        <w:pStyle w:val="ad"/>
        <w:spacing w:beforeLines="50" w:before="120"/>
        <w:jc w:val="both"/>
        <w:rPr>
          <w:b/>
          <w:sz w:val="21"/>
          <w:szCs w:val="21"/>
          <w:lang w:eastAsia="zh-CN"/>
        </w:rPr>
      </w:pPr>
      <w:r w:rsidRPr="009E46E6">
        <w:rPr>
          <w:b/>
          <w:sz w:val="21"/>
          <w:szCs w:val="21"/>
          <w:lang w:eastAsia="zh-CN"/>
        </w:rPr>
        <w:lastRenderedPageBreak/>
        <w:t>Conclusion:</w:t>
      </w:r>
    </w:p>
    <w:p w14:paraId="6F67BF14" w14:textId="77777777" w:rsidR="00994A39" w:rsidRPr="002F38DD" w:rsidRDefault="00994A39" w:rsidP="00994A39">
      <w:pPr>
        <w:pStyle w:val="ad"/>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7A1A44B8" w14:textId="77777777" w:rsidR="00994A39" w:rsidRDefault="00994A39" w:rsidP="00994A39">
      <w:pPr>
        <w:pStyle w:val="ad"/>
        <w:spacing w:beforeLines="50" w:before="120"/>
        <w:jc w:val="both"/>
        <w:rPr>
          <w:sz w:val="21"/>
          <w:szCs w:val="21"/>
          <w:lang w:eastAsia="zh-CN"/>
        </w:rPr>
      </w:pPr>
    </w:p>
    <w:p w14:paraId="5CCB3AC2" w14:textId="77777777" w:rsidR="00994A39" w:rsidRPr="00085282" w:rsidRDefault="00994A39" w:rsidP="00994A39">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7B99FE50" w14:textId="77777777" w:rsidR="00994A39" w:rsidRPr="0014270E" w:rsidRDefault="00994A39" w:rsidP="00994A39">
      <w:pPr>
        <w:pStyle w:val="ad"/>
        <w:numPr>
          <w:ilvl w:val="0"/>
          <w:numId w:val="29"/>
        </w:numPr>
        <w:spacing w:beforeLines="50" w:before="120"/>
        <w:jc w:val="both"/>
        <w:rPr>
          <w:sz w:val="21"/>
          <w:szCs w:val="21"/>
        </w:rPr>
      </w:pPr>
      <w:r w:rsidRPr="0014270E">
        <w:rPr>
          <w:sz w:val="21"/>
          <w:szCs w:val="21"/>
        </w:rPr>
        <w:t xml:space="preserve">For a UE capable of 2Tx-2Tx switching and configured with UL Tx switching via </w:t>
      </w:r>
      <w:r w:rsidRPr="0014270E">
        <w:rPr>
          <w:i/>
          <w:iCs/>
          <w:sz w:val="21"/>
          <w:szCs w:val="21"/>
        </w:rPr>
        <w:t>uplinkTxSwitching</w:t>
      </w:r>
      <w:r w:rsidRPr="0014270E">
        <w:rPr>
          <w:sz w:val="21"/>
          <w:szCs w:val="21"/>
        </w:rPr>
        <w:t>, to differentiate the switching delay for 1Tx-2Tx switching from that for 2Tx-2Tx switching, a new RRC parameter is used to indicate 1Tx-2Tx switching mode or 2Tx-2Tx switching mode.</w:t>
      </w:r>
    </w:p>
    <w:p w14:paraId="5DBE3B19" w14:textId="77777777" w:rsidR="00994A39" w:rsidRPr="00326BAD" w:rsidRDefault="00994A39" w:rsidP="00994A39">
      <w:pPr>
        <w:pStyle w:val="aff"/>
        <w:numPr>
          <w:ilvl w:val="0"/>
          <w:numId w:val="31"/>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 one uplink (or one uplink band in case of intra-band) configured with </w:t>
      </w:r>
      <w:r w:rsidRPr="00326BAD">
        <w:rPr>
          <w:rFonts w:ascii="Times New Roman" w:hAnsi="Times New Roman"/>
          <w:i/>
          <w:iCs/>
          <w:sz w:val="21"/>
          <w:szCs w:val="21"/>
          <w:lang w:val="en-GB" w:eastAsia="zh-CN"/>
        </w:rPr>
        <w:t>uplinkTxSwitching</w:t>
      </w:r>
      <w:r w:rsidRPr="00326BAD">
        <w:rPr>
          <w:rFonts w:ascii="Times New Roman" w:hAnsi="Times New Roman"/>
          <w:sz w:val="21"/>
          <w:szCs w:val="21"/>
          <w:lang w:val="en-GB" w:eastAsia="zh-CN"/>
        </w:rPr>
        <w:t>, on which the maximum number of antenna ports among all configured P-SRS/A-SRS and activated SP-SRS resources should be 1 and non-codebook based UL MIMO is not configured. RAN1 assume the uplink is configured with RRC parameter “carrier1” by RAN2</w:t>
      </w:r>
      <w:r w:rsidRPr="00326BAD">
        <w:rPr>
          <w:rFonts w:ascii="Times New Roman" w:hAnsi="Times New Roman"/>
          <w:i/>
          <w:iCs/>
          <w:sz w:val="21"/>
          <w:szCs w:val="21"/>
          <w:lang w:val="en-GB" w:eastAsia="zh-CN"/>
        </w:rPr>
        <w:t>.</w:t>
      </w:r>
    </w:p>
    <w:p w14:paraId="65EE079F" w14:textId="77777777" w:rsidR="00994A39" w:rsidRPr="00326BAD" w:rsidRDefault="00994A39" w:rsidP="00994A39">
      <w:pPr>
        <w:pStyle w:val="aff"/>
        <w:numPr>
          <w:ilvl w:val="0"/>
          <w:numId w:val="31"/>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The default value of the new RRC parameter is 1Tx-2Tx switching mode.</w:t>
      </w:r>
    </w:p>
    <w:p w14:paraId="77A73AEC" w14:textId="77777777" w:rsidR="00994A39" w:rsidRPr="00326BAD" w:rsidRDefault="00994A39" w:rsidP="00994A39">
      <w:pPr>
        <w:pStyle w:val="aff"/>
        <w:numPr>
          <w:ilvl w:val="0"/>
          <w:numId w:val="31"/>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58C599B" w14:textId="77777777" w:rsidR="00994A39" w:rsidRPr="00BA17EC" w:rsidRDefault="00994A39" w:rsidP="00994A39">
      <w:pPr>
        <w:pStyle w:val="aff"/>
        <w:numPr>
          <w:ilvl w:val="0"/>
          <w:numId w:val="31"/>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Note: This RRC parameter doesn’t imply any restriction on application of non-codebook transmission together with UL Tx switching.</w:t>
      </w:r>
    </w:p>
    <w:p w14:paraId="14D562DB" w14:textId="77777777" w:rsidR="00994A39" w:rsidRDefault="00994A39" w:rsidP="003E2811">
      <w:pPr>
        <w:pStyle w:val="ad"/>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4"/>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5"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5"/>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1C11E" w14:textId="77777777" w:rsidR="00F660E3" w:rsidRDefault="00F660E3">
      <w:pPr>
        <w:spacing w:after="0" w:line="240" w:lineRule="auto"/>
      </w:pPr>
      <w:r>
        <w:separator/>
      </w:r>
    </w:p>
  </w:endnote>
  <w:endnote w:type="continuationSeparator" w:id="0">
    <w:p w14:paraId="62118CB5" w14:textId="77777777" w:rsidR="00F660E3" w:rsidRDefault="00F6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45C9F5C9" w:rsidR="008E49B9" w:rsidRDefault="008E49B9">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7796">
      <w:rPr>
        <w:rFonts w:ascii="Arial" w:hAnsi="Arial" w:cs="Arial"/>
        <w:b/>
        <w:noProof/>
        <w:sz w:val="18"/>
        <w:szCs w:val="18"/>
      </w:rPr>
      <w:t>2</w:t>
    </w:r>
    <w:r>
      <w:rPr>
        <w:rFonts w:ascii="Arial" w:hAnsi="Arial" w:cs="Arial"/>
        <w:b/>
        <w:sz w:val="18"/>
        <w:szCs w:val="18"/>
      </w:rPr>
      <w:fldChar w:fldCharType="end"/>
    </w:r>
  </w:p>
  <w:p w14:paraId="0ABDEC68" w14:textId="77777777" w:rsidR="008E49B9" w:rsidRDefault="008E49B9">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3CC6F" w14:textId="77777777" w:rsidR="00F660E3" w:rsidRDefault="00F660E3">
      <w:pPr>
        <w:spacing w:after="0" w:line="240" w:lineRule="auto"/>
      </w:pPr>
      <w:r>
        <w:separator/>
      </w:r>
    </w:p>
  </w:footnote>
  <w:footnote w:type="continuationSeparator" w:id="0">
    <w:p w14:paraId="149115A7" w14:textId="77777777" w:rsidR="00F660E3" w:rsidRDefault="00F66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4"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2"/>
  </w:num>
  <w:num w:numId="11">
    <w:abstractNumId w:val="30"/>
  </w:num>
  <w:num w:numId="12">
    <w:abstractNumId w:val="39"/>
  </w:num>
  <w:num w:numId="13">
    <w:abstractNumId w:val="38"/>
  </w:num>
  <w:num w:numId="14">
    <w:abstractNumId w:val="9"/>
  </w:num>
  <w:num w:numId="15">
    <w:abstractNumId w:val="27"/>
  </w:num>
  <w:num w:numId="16">
    <w:abstractNumId w:val="34"/>
  </w:num>
  <w:num w:numId="17">
    <w:abstractNumId w:val="6"/>
  </w:num>
  <w:num w:numId="18">
    <w:abstractNumId w:val="33"/>
  </w:num>
  <w:num w:numId="19">
    <w:abstractNumId w:val="20"/>
  </w:num>
  <w:num w:numId="20">
    <w:abstractNumId w:val="12"/>
  </w:num>
  <w:num w:numId="21">
    <w:abstractNumId w:val="31"/>
  </w:num>
  <w:num w:numId="22">
    <w:abstractNumId w:val="4"/>
  </w:num>
  <w:num w:numId="23">
    <w:abstractNumId w:val="14"/>
  </w:num>
  <w:num w:numId="24">
    <w:abstractNumId w:val="24"/>
  </w:num>
  <w:num w:numId="25">
    <w:abstractNumId w:val="2"/>
  </w:num>
  <w:num w:numId="26">
    <w:abstractNumId w:val="15"/>
  </w:num>
  <w:num w:numId="27">
    <w:abstractNumId w:val="8"/>
  </w:num>
  <w:num w:numId="28">
    <w:abstractNumId w:val="5"/>
  </w:num>
  <w:num w:numId="29">
    <w:abstractNumId w:val="3"/>
  </w:num>
  <w:num w:numId="30">
    <w:abstractNumId w:val="35"/>
  </w:num>
  <w:num w:numId="31">
    <w:abstractNumId w:val="22"/>
  </w:num>
  <w:num w:numId="32">
    <w:abstractNumId w:val="23"/>
  </w:num>
  <w:num w:numId="33">
    <w:abstractNumId w:val="37"/>
  </w:num>
  <w:num w:numId="34">
    <w:abstractNumId w:val="19"/>
  </w:num>
  <w:num w:numId="35">
    <w:abstractNumId w:val="10"/>
  </w:num>
  <w:num w:numId="36">
    <w:abstractNumId w:val="36"/>
  </w:num>
  <w:num w:numId="37">
    <w:abstractNumId w:val="13"/>
  </w:num>
  <w:num w:numId="38">
    <w:abstractNumId w:val="7"/>
  </w:num>
  <w:num w:numId="39">
    <w:abstractNumId w:val="21"/>
  </w:num>
  <w:num w:numId="40">
    <w:abstractNumId w:val="11"/>
  </w:num>
  <w:num w:numId="41">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F6"/>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382A"/>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187"/>
    <w:rsid w:val="00185284"/>
    <w:rsid w:val="00185460"/>
    <w:rsid w:val="00185878"/>
    <w:rsid w:val="00185A33"/>
    <w:rsid w:val="00185E51"/>
    <w:rsid w:val="00185E65"/>
    <w:rsid w:val="00186243"/>
    <w:rsid w:val="0018630E"/>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CF9"/>
    <w:rsid w:val="001C7D28"/>
    <w:rsid w:val="001C7E3C"/>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97D70"/>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B02B2"/>
    <w:rsid w:val="002B08B5"/>
    <w:rsid w:val="002B099E"/>
    <w:rsid w:val="002B0C19"/>
    <w:rsid w:val="002B0E32"/>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8F6"/>
    <w:rsid w:val="002C2A5D"/>
    <w:rsid w:val="002C2BA1"/>
    <w:rsid w:val="002C2FCA"/>
    <w:rsid w:val="002C34A5"/>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1C6"/>
    <w:rsid w:val="003445E0"/>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4D4"/>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212"/>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13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E1A"/>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8F4"/>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1FE"/>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6E5"/>
    <w:rsid w:val="004277F3"/>
    <w:rsid w:val="00427979"/>
    <w:rsid w:val="00427C23"/>
    <w:rsid w:val="00427C76"/>
    <w:rsid w:val="00427E39"/>
    <w:rsid w:val="00427E77"/>
    <w:rsid w:val="00427ECA"/>
    <w:rsid w:val="00427F2C"/>
    <w:rsid w:val="0043000A"/>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79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07"/>
    <w:rsid w:val="00456A24"/>
    <w:rsid w:val="00456D77"/>
    <w:rsid w:val="004571DE"/>
    <w:rsid w:val="0045775B"/>
    <w:rsid w:val="00457AF7"/>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8CD"/>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B64"/>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0F0"/>
    <w:rsid w:val="00525327"/>
    <w:rsid w:val="005253B2"/>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AE7"/>
    <w:rsid w:val="00531CBC"/>
    <w:rsid w:val="00531E34"/>
    <w:rsid w:val="0053225C"/>
    <w:rsid w:val="00532541"/>
    <w:rsid w:val="005327A1"/>
    <w:rsid w:val="005329A4"/>
    <w:rsid w:val="00532D18"/>
    <w:rsid w:val="00532DAD"/>
    <w:rsid w:val="00532DD1"/>
    <w:rsid w:val="00532F44"/>
    <w:rsid w:val="005330A5"/>
    <w:rsid w:val="005333A2"/>
    <w:rsid w:val="00533E58"/>
    <w:rsid w:val="0053413E"/>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1D1F"/>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3FB9"/>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6F0"/>
    <w:rsid w:val="006A3764"/>
    <w:rsid w:val="006A3DBB"/>
    <w:rsid w:val="006A3E06"/>
    <w:rsid w:val="006A427E"/>
    <w:rsid w:val="006A44B3"/>
    <w:rsid w:val="006A46C3"/>
    <w:rsid w:val="006A46EE"/>
    <w:rsid w:val="006A4A2D"/>
    <w:rsid w:val="006A4B4D"/>
    <w:rsid w:val="006A4BAB"/>
    <w:rsid w:val="006A4C40"/>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263"/>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1"/>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4BB"/>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274"/>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91B"/>
    <w:rsid w:val="00886B60"/>
    <w:rsid w:val="00886E5B"/>
    <w:rsid w:val="00886F10"/>
    <w:rsid w:val="008870C6"/>
    <w:rsid w:val="008870D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3B8"/>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F31"/>
    <w:rsid w:val="00960F65"/>
    <w:rsid w:val="00960F6B"/>
    <w:rsid w:val="00960FF5"/>
    <w:rsid w:val="009611F0"/>
    <w:rsid w:val="009611FA"/>
    <w:rsid w:val="0096140B"/>
    <w:rsid w:val="0096169F"/>
    <w:rsid w:val="009617E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39"/>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87E"/>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D7"/>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A46"/>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A6A"/>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0BC"/>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E34"/>
    <w:rsid w:val="00B373B7"/>
    <w:rsid w:val="00B376F8"/>
    <w:rsid w:val="00B378D6"/>
    <w:rsid w:val="00B37DC9"/>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019"/>
    <w:rsid w:val="00B97367"/>
    <w:rsid w:val="00B9750B"/>
    <w:rsid w:val="00B977A9"/>
    <w:rsid w:val="00B97CCF"/>
    <w:rsid w:val="00BA0350"/>
    <w:rsid w:val="00BA0AB0"/>
    <w:rsid w:val="00BA0BF2"/>
    <w:rsid w:val="00BA0EBF"/>
    <w:rsid w:val="00BA0F26"/>
    <w:rsid w:val="00BA0FE9"/>
    <w:rsid w:val="00BA102C"/>
    <w:rsid w:val="00BA10C1"/>
    <w:rsid w:val="00BA1124"/>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314"/>
    <w:rsid w:val="00D01435"/>
    <w:rsid w:val="00D01940"/>
    <w:rsid w:val="00D019FE"/>
    <w:rsid w:val="00D01D89"/>
    <w:rsid w:val="00D0213B"/>
    <w:rsid w:val="00D02403"/>
    <w:rsid w:val="00D0258C"/>
    <w:rsid w:val="00D0270E"/>
    <w:rsid w:val="00D027A2"/>
    <w:rsid w:val="00D02B9B"/>
    <w:rsid w:val="00D02E1D"/>
    <w:rsid w:val="00D03189"/>
    <w:rsid w:val="00D03394"/>
    <w:rsid w:val="00D033EC"/>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06"/>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14"/>
    <w:rsid w:val="00E210A5"/>
    <w:rsid w:val="00E210A8"/>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3EA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0E3"/>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D15"/>
    <w:rsid w:val="00F72F5D"/>
    <w:rsid w:val="00F7303D"/>
    <w:rsid w:val="00F73549"/>
    <w:rsid w:val="00F737A3"/>
    <w:rsid w:val="00F737AA"/>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4"/>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Task Body,列"/>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4"/>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07216CA4-447E-4C52-9B07-80B14652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354</TotalTime>
  <Pages>7</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275</cp:revision>
  <cp:lastPrinted>2004-04-14T09:17:00Z</cp:lastPrinted>
  <dcterms:created xsi:type="dcterms:W3CDTF">2021-08-27T06:30:00Z</dcterms:created>
  <dcterms:modified xsi:type="dcterms:W3CDTF">2021-11-23T07:01:00Z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1630038100</vt:lpwstr>
  </property>
</Properties>
</file>