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07805" w14:textId="3DD1A717" w:rsidR="006D131D" w:rsidRPr="0052548E" w:rsidRDefault="006D131D" w:rsidP="006D131D">
      <w:pPr>
        <w:tabs>
          <w:tab w:val="center" w:pos="4536"/>
          <w:tab w:val="right" w:pos="7938"/>
          <w:tab w:val="right" w:pos="9639"/>
        </w:tabs>
        <w:ind w:right="2"/>
        <w:rPr>
          <w:rFonts w:cs="Arial"/>
          <w:b/>
          <w:bCs/>
          <w:sz w:val="28"/>
        </w:rPr>
      </w:pPr>
      <w:r w:rsidRPr="009610D7">
        <w:rPr>
          <w:rFonts w:cs="Arial"/>
          <w:b/>
          <w:bCs/>
          <w:sz w:val="28"/>
        </w:rPr>
        <w:t>3GPP TSG RAN WG1 #10</w:t>
      </w:r>
      <w:r>
        <w:rPr>
          <w:rFonts w:cs="Arial"/>
          <w:b/>
          <w:bCs/>
          <w:sz w:val="28"/>
        </w:rPr>
        <w:t>7</w:t>
      </w:r>
      <w:r w:rsidRPr="009610D7">
        <w:rPr>
          <w:rFonts w:cs="Arial"/>
          <w:b/>
          <w:bCs/>
          <w:sz w:val="28"/>
        </w:rPr>
        <w:t>-e</w:t>
      </w:r>
      <w:r w:rsidRPr="009610D7">
        <w:rPr>
          <w:rFonts w:cs="Arial"/>
          <w:b/>
          <w:bCs/>
          <w:sz w:val="28"/>
        </w:rPr>
        <w:tab/>
      </w:r>
      <w:r w:rsidRPr="009610D7">
        <w:rPr>
          <w:rFonts w:cs="Arial"/>
          <w:b/>
          <w:bCs/>
          <w:sz w:val="28"/>
        </w:rPr>
        <w:tab/>
      </w:r>
      <w:r w:rsidRPr="009610D7">
        <w:rPr>
          <w:rFonts w:cs="Arial"/>
          <w:b/>
          <w:bCs/>
          <w:sz w:val="28"/>
        </w:rPr>
        <w:tab/>
      </w:r>
      <w:r w:rsidR="00BB6C09">
        <w:rPr>
          <w:rFonts w:cs="Arial"/>
          <w:b/>
          <w:bCs/>
          <w:sz w:val="28"/>
        </w:rPr>
        <w:t xml:space="preserve">       </w:t>
      </w:r>
      <w:r w:rsidRPr="00E524D0">
        <w:rPr>
          <w:rFonts w:cs="Arial"/>
          <w:b/>
          <w:bCs/>
          <w:sz w:val="28"/>
        </w:rPr>
        <w:t>R1-211</w:t>
      </w:r>
      <w:r w:rsidR="00314AE7">
        <w:rPr>
          <w:rFonts w:cs="Arial"/>
          <w:b/>
          <w:bCs/>
          <w:sz w:val="28"/>
        </w:rPr>
        <w:t>1805</w:t>
      </w:r>
    </w:p>
    <w:p w14:paraId="7A59036C" w14:textId="77777777" w:rsidR="006D131D" w:rsidRPr="009513AC" w:rsidRDefault="006D131D" w:rsidP="006D131D">
      <w:pPr>
        <w:tabs>
          <w:tab w:val="center" w:pos="4536"/>
          <w:tab w:val="right" w:pos="9072"/>
        </w:tabs>
        <w:rPr>
          <w:rFonts w:eastAsia="MS Mincho" w:cs="Arial"/>
          <w:b/>
          <w:bCs/>
          <w:sz w:val="28"/>
          <w:lang w:eastAsia="ja-JP"/>
        </w:rPr>
      </w:pPr>
      <w:r>
        <w:rPr>
          <w:rFonts w:eastAsia="MS Mincho" w:cs="Arial"/>
          <w:b/>
          <w:bCs/>
          <w:sz w:val="28"/>
          <w:lang w:eastAsia="ja-JP"/>
        </w:rPr>
        <w:t>e-Meeting, November 11</w:t>
      </w:r>
      <w:r w:rsidRPr="00B552FA">
        <w:rPr>
          <w:rFonts w:eastAsia="MS Mincho" w:cs="Arial"/>
          <w:b/>
          <w:bCs/>
          <w:sz w:val="28"/>
          <w:vertAlign w:val="superscript"/>
          <w:lang w:eastAsia="ja-JP"/>
        </w:rPr>
        <w:t>th</w:t>
      </w:r>
      <w:r>
        <w:rPr>
          <w:rFonts w:eastAsia="MS Mincho" w:cs="Arial"/>
          <w:b/>
          <w:bCs/>
          <w:sz w:val="28"/>
          <w:lang w:eastAsia="ja-JP"/>
        </w:rPr>
        <w:t xml:space="preserve"> – 19</w:t>
      </w:r>
      <w:r w:rsidRPr="00B552FA">
        <w:rPr>
          <w:rFonts w:eastAsia="MS Mincho" w:cs="Arial"/>
          <w:b/>
          <w:bCs/>
          <w:sz w:val="28"/>
          <w:vertAlign w:val="superscript"/>
          <w:lang w:eastAsia="ja-JP"/>
        </w:rPr>
        <w:t>th</w:t>
      </w:r>
      <w:r>
        <w:rPr>
          <w:rFonts w:eastAsia="MS Mincho" w:cs="Arial"/>
          <w:b/>
          <w:bCs/>
          <w:sz w:val="28"/>
          <w:lang w:eastAsia="ja-JP"/>
        </w:rPr>
        <w:t>, 2021</w:t>
      </w:r>
    </w:p>
    <w:p w14:paraId="73642582" w14:textId="77777777" w:rsidR="00F347D0" w:rsidRDefault="00F347D0" w:rsidP="002D479B">
      <w:pPr>
        <w:ind w:left="1800" w:hanging="1800"/>
        <w:rPr>
          <w:b/>
          <w:sz w:val="24"/>
          <w:szCs w:val="24"/>
        </w:rPr>
      </w:pPr>
    </w:p>
    <w:p w14:paraId="65517CCD" w14:textId="5106227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0367A3F8" w14:textId="4BA9EDDC" w:rsidR="00F30C84" w:rsidRDefault="00816B81" w:rsidP="00F30C84">
      <w:pPr>
        <w:pStyle w:val="maintext"/>
        <w:ind w:firstLineChars="0" w:firstLine="0"/>
        <w:rPr>
          <w:rFonts w:ascii="Calibri" w:hAnsi="Calibri"/>
        </w:rPr>
      </w:pPr>
      <w:r>
        <w:rPr>
          <w:rFonts w:ascii="Calibri" w:hAnsi="Calibri"/>
        </w:rPr>
        <w:t>W</w:t>
      </w:r>
      <w:r w:rsidR="00D14268">
        <w:rPr>
          <w:rFonts w:ascii="Calibri" w:hAnsi="Calibri"/>
        </w:rPr>
        <w:t xml:space="preserve">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Pr>
          <w:rFonts w:ascii="Calibri" w:hAnsi="Calibri"/>
        </w:rPr>
        <w:t>3</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286EDABA" w14:textId="12C00A04" w:rsidR="00DC51C8" w:rsidRDefault="00DC51C8" w:rsidP="00F30C84">
      <w:pPr>
        <w:pStyle w:val="maintext"/>
        <w:ind w:firstLineChars="0" w:firstLine="0"/>
        <w:rPr>
          <w:rFonts w:ascii="Calibri" w:hAnsi="Calibri"/>
        </w:rPr>
      </w:pPr>
      <w:r w:rsidRPr="00222811">
        <w:rPr>
          <w:rFonts w:ascii="Calibri" w:hAnsi="Calibri"/>
        </w:rPr>
        <w:t xml:space="preserve">If the hardware is shared between the </w:t>
      </w:r>
      <w:r>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6C4CE735" w14:textId="77777777" w:rsidR="00816B81" w:rsidRDefault="00816B81" w:rsidP="00F30C84">
      <w:pPr>
        <w:pStyle w:val="maintext"/>
        <w:ind w:firstLineChars="0" w:firstLine="0"/>
        <w:rPr>
          <w:rFonts w:ascii="Calibri" w:hAnsi="Calibri"/>
        </w:rPr>
      </w:pPr>
    </w:p>
    <w:p w14:paraId="56B79828" w14:textId="77777777" w:rsidR="00A93813" w:rsidRDefault="00A93813" w:rsidP="00A93813">
      <w:pPr>
        <w:pStyle w:val="maintext"/>
        <w:ind w:firstLine="400"/>
        <w:jc w:val="center"/>
        <w:rPr>
          <w:rFonts w:ascii="Calibri" w:hAnsi="Calibri"/>
        </w:rPr>
      </w:pPr>
      <w:r>
        <w:rPr>
          <w:rFonts w:ascii="Calibri" w:hAnsi="Calibri"/>
          <w:noProof/>
          <w:lang w:val="en-US" w:eastAsia="en-US"/>
        </w:rPr>
        <w:drawing>
          <wp:inline distT="0" distB="0" distL="0" distR="0" wp14:anchorId="4AA62D0A" wp14:editId="7D20B4E3">
            <wp:extent cx="3221665" cy="2245668"/>
            <wp:effectExtent l="0" t="0" r="4445" b="2540"/>
            <wp:docPr id="188" name="Picture 1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9205" cy="2299717"/>
                    </a:xfrm>
                    <a:prstGeom prst="rect">
                      <a:avLst/>
                    </a:prstGeom>
                    <a:noFill/>
                  </pic:spPr>
                </pic:pic>
              </a:graphicData>
            </a:graphic>
          </wp:inline>
        </w:drawing>
      </w:r>
    </w:p>
    <w:p w14:paraId="6626FE93" w14:textId="79A8D072" w:rsidR="00D14268" w:rsidRDefault="00A93813" w:rsidP="00286AA2">
      <w:pPr>
        <w:pStyle w:val="Caption"/>
        <w:ind w:left="720"/>
        <w:rPr>
          <w:rFonts w:ascii="Calibri" w:hAnsi="Calibri"/>
        </w:rPr>
      </w:pPr>
      <w:r w:rsidRPr="00077712">
        <w:rPr>
          <w:rFonts w:ascii="Calibri" w:hAnsi="Calibri"/>
        </w:rPr>
        <w:t xml:space="preserve">Figure </w:t>
      </w:r>
      <w:r w:rsidR="00816B81">
        <w:rPr>
          <w:rFonts w:ascii="Calibri" w:hAnsi="Calibri"/>
        </w:rPr>
        <w:t>3</w:t>
      </w:r>
      <w:r w:rsidRPr="00077712">
        <w:rPr>
          <w:rFonts w:ascii="Calibri" w:hAnsi="Calibri"/>
        </w:rPr>
        <w:t xml:space="preserve">: </w:t>
      </w:r>
      <w:r w:rsidRPr="00222811">
        <w:rPr>
          <w:rFonts w:ascii="Calibri" w:hAnsi="Calibri"/>
        </w:rPr>
        <w:t>Power spectral density difference at the receiver for backhaul and access link</w:t>
      </w:r>
    </w:p>
    <w:p w14:paraId="66D4AAA1" w14:textId="629EDDA9" w:rsidR="00BA579D" w:rsidRDefault="00BA579D" w:rsidP="00F30C84">
      <w:pPr>
        <w:pStyle w:val="maintext"/>
        <w:ind w:firstLineChars="0" w:firstLine="0"/>
        <w:rPr>
          <w:rFonts w:ascii="Calibri" w:hAnsi="Calibri"/>
        </w:rPr>
      </w:pPr>
      <w:r>
        <w:rPr>
          <w:rFonts w:ascii="Calibri" w:hAnsi="Calibri"/>
        </w:rPr>
        <w:lastRenderedPageBreak/>
        <w:t>The following agreements were made in RAN1#10</w:t>
      </w:r>
      <w:r w:rsidR="00AD192F">
        <w:rPr>
          <w:rFonts w:ascii="Calibri" w:hAnsi="Calibri"/>
        </w:rPr>
        <w:t>6</w:t>
      </w:r>
      <w:r w:rsidR="00203572">
        <w:rPr>
          <w:rFonts w:ascii="Calibri" w:hAnsi="Calibri"/>
        </w:rPr>
        <w:t>bis</w:t>
      </w:r>
      <w:r>
        <w:rPr>
          <w:rFonts w:ascii="Calibri" w:hAnsi="Calibri"/>
        </w:rPr>
        <w:t>-e:</w:t>
      </w:r>
    </w:p>
    <w:p w14:paraId="129CFB34" w14:textId="77777777" w:rsidR="00203572" w:rsidRPr="00250288" w:rsidRDefault="00203572" w:rsidP="00203572">
      <w:pPr>
        <w:rPr>
          <w:b/>
          <w:bCs/>
          <w:highlight w:val="green"/>
        </w:rPr>
      </w:pPr>
      <w:r w:rsidRPr="00250288">
        <w:rPr>
          <w:b/>
          <w:bCs/>
          <w:highlight w:val="green"/>
        </w:rPr>
        <w:t>Agreement</w:t>
      </w:r>
    </w:p>
    <w:p w14:paraId="2B5DA56D" w14:textId="77777777" w:rsidR="00203572" w:rsidRPr="005C307A" w:rsidRDefault="00203572" w:rsidP="00203572">
      <w:pPr>
        <w:pStyle w:val="xmsonormal"/>
        <w:spacing w:before="0" w:beforeAutospacing="0" w:after="0" w:afterAutospacing="0"/>
        <w:rPr>
          <w:rFonts w:ascii="Times" w:hAnsi="Times" w:cs="Times"/>
          <w:sz w:val="20"/>
          <w:szCs w:val="20"/>
        </w:rPr>
      </w:pPr>
      <w:r w:rsidRPr="005C307A">
        <w:rPr>
          <w:rStyle w:val="Strong"/>
          <w:rFonts w:ascii="Times" w:hAnsi="Times" w:cs="Times"/>
          <w:b w:val="0"/>
          <w:sz w:val="20"/>
          <w:szCs w:val="20"/>
        </w:rPr>
        <w:t>The desired parent-node’s DL TX power adjustment, provided by an IAB-MT to its parent-node, is indicated via MAC-CE.</w:t>
      </w:r>
    </w:p>
    <w:p w14:paraId="42A00E87" w14:textId="77777777" w:rsidR="00203572" w:rsidRPr="005C307A" w:rsidRDefault="00203572" w:rsidP="00203572">
      <w:pPr>
        <w:numPr>
          <w:ilvl w:val="0"/>
          <w:numId w:val="18"/>
        </w:numPr>
        <w:spacing w:before="0" w:after="0"/>
        <w:jc w:val="left"/>
        <w:rPr>
          <w:rFonts w:cs="Times"/>
        </w:rPr>
      </w:pPr>
      <w:r w:rsidRPr="005C307A">
        <w:rPr>
          <w:rStyle w:val="Strong"/>
          <w:rFonts w:cs="Times"/>
          <w:b w:val="0"/>
        </w:rPr>
        <w:t>The indication further includes the associated configurations and/or resources for which the indicated power adjustment is applicable.</w:t>
      </w:r>
    </w:p>
    <w:p w14:paraId="115A3945" w14:textId="77777777" w:rsidR="00203572" w:rsidRPr="005C307A" w:rsidRDefault="00203572" w:rsidP="00203572">
      <w:pPr>
        <w:numPr>
          <w:ilvl w:val="0"/>
          <w:numId w:val="18"/>
        </w:numPr>
        <w:spacing w:before="0" w:after="0"/>
        <w:jc w:val="left"/>
        <w:rPr>
          <w:rFonts w:cs="Times"/>
        </w:rPr>
      </w:pPr>
      <w:r w:rsidRPr="005C307A">
        <w:rPr>
          <w:rStyle w:val="Strong"/>
          <w:rFonts w:cs="Times"/>
          <w:b w:val="0"/>
        </w:rPr>
        <w:t xml:space="preserve">The indicated adjustment is in terms of a relative offset to a reference DL TX power. </w:t>
      </w:r>
    </w:p>
    <w:p w14:paraId="4D53D8F1" w14:textId="77777777" w:rsidR="00203572" w:rsidRPr="005C307A" w:rsidRDefault="00203572" w:rsidP="00203572">
      <w:pPr>
        <w:pStyle w:val="ListParagraph"/>
        <w:numPr>
          <w:ilvl w:val="1"/>
          <w:numId w:val="15"/>
        </w:numPr>
        <w:spacing w:before="0" w:after="0"/>
        <w:jc w:val="left"/>
        <w:textAlignment w:val="baseline"/>
        <w:rPr>
          <w:rFonts w:cs="Times"/>
          <w:bCs/>
        </w:rPr>
      </w:pPr>
      <w:r w:rsidRPr="005C307A">
        <w:t xml:space="preserve">FFS: the reference power (e.g., an RS such as CSI-RS, </w:t>
      </w:r>
      <w:proofErr w:type="spellStart"/>
      <w:r w:rsidRPr="005C307A">
        <w:t>etc</w:t>
      </w:r>
      <w:proofErr w:type="spellEnd"/>
      <w:r w:rsidRPr="005C307A">
        <w:t>) for the indication of desired adjustment.</w:t>
      </w:r>
    </w:p>
    <w:p w14:paraId="24B67D54" w14:textId="77777777" w:rsidR="00203572" w:rsidRPr="005C307A" w:rsidRDefault="00203572" w:rsidP="00203572">
      <w:pPr>
        <w:pStyle w:val="ListParagraph"/>
        <w:numPr>
          <w:ilvl w:val="1"/>
          <w:numId w:val="15"/>
        </w:numPr>
        <w:spacing w:before="0" w:after="0"/>
        <w:jc w:val="left"/>
        <w:textAlignment w:val="baseline"/>
        <w:rPr>
          <w:rFonts w:cs="Times"/>
          <w:bCs/>
        </w:rPr>
      </w:pPr>
      <w:r w:rsidRPr="005C307A">
        <w:t xml:space="preserve">FFS: the range of values for the indicated adjustment. </w:t>
      </w:r>
    </w:p>
    <w:p w14:paraId="46BEE3C9" w14:textId="77777777" w:rsidR="00203572" w:rsidRPr="005C307A" w:rsidRDefault="00203572" w:rsidP="00203572">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24355F4D" w14:textId="77777777" w:rsidR="00203572" w:rsidRPr="00250288" w:rsidRDefault="00203572" w:rsidP="00203572">
      <w:pPr>
        <w:rPr>
          <w:b/>
          <w:bCs/>
          <w:highlight w:val="green"/>
        </w:rPr>
      </w:pPr>
      <w:r w:rsidRPr="00250288">
        <w:rPr>
          <w:b/>
          <w:bCs/>
          <w:highlight w:val="green"/>
        </w:rPr>
        <w:t>Agreement</w:t>
      </w:r>
    </w:p>
    <w:p w14:paraId="2E95D92D" w14:textId="77777777" w:rsidR="00203572" w:rsidRPr="004E16CB" w:rsidRDefault="00203572" w:rsidP="00203572">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the IAB-MT, is indicated via MAC-CE.</w:t>
      </w:r>
    </w:p>
    <w:p w14:paraId="45B962C6" w14:textId="77777777" w:rsidR="00203572" w:rsidRPr="004E16CB" w:rsidRDefault="00203572" w:rsidP="00203572">
      <w:pPr>
        <w:numPr>
          <w:ilvl w:val="0"/>
          <w:numId w:val="17"/>
        </w:numPr>
        <w:spacing w:before="0" w:after="0"/>
        <w:jc w:val="left"/>
        <w:rPr>
          <w:rFonts w:cs="Times"/>
        </w:rPr>
      </w:pPr>
      <w:r w:rsidRPr="004E16CB">
        <w:rPr>
          <w:rStyle w:val="Strong"/>
          <w:rFonts w:cs="Times"/>
          <w:b w:val="0"/>
        </w:rPr>
        <w:t>The indication further includes the associated configurations and/or resources for which the indicated power adjustment is applicable.</w:t>
      </w:r>
    </w:p>
    <w:p w14:paraId="740F0E15" w14:textId="77777777" w:rsidR="00203572" w:rsidRPr="004E16CB" w:rsidRDefault="00203572" w:rsidP="00203572">
      <w:pPr>
        <w:numPr>
          <w:ilvl w:val="0"/>
          <w:numId w:val="17"/>
        </w:numPr>
        <w:spacing w:before="0" w:after="0"/>
        <w:jc w:val="left"/>
        <w:rPr>
          <w:rFonts w:cs="Times"/>
        </w:rPr>
      </w:pPr>
      <w:r w:rsidRPr="004E16CB">
        <w:rPr>
          <w:rStyle w:val="Strong"/>
          <w:rFonts w:cs="Times"/>
          <w:b w:val="0"/>
        </w:rPr>
        <w:t xml:space="preserve">The indicated adjustment is in terms of a relative offset to a reference DL TX power. </w:t>
      </w:r>
    </w:p>
    <w:p w14:paraId="009C38C3" w14:textId="77777777" w:rsidR="00203572" w:rsidRPr="004E16CB" w:rsidRDefault="00203572" w:rsidP="00203572">
      <w:pPr>
        <w:pStyle w:val="ListParagraph"/>
        <w:numPr>
          <w:ilvl w:val="1"/>
          <w:numId w:val="15"/>
        </w:numPr>
        <w:spacing w:before="0" w:after="0"/>
        <w:jc w:val="left"/>
        <w:textAlignment w:val="baseline"/>
      </w:pPr>
      <w:r w:rsidRPr="004E16CB">
        <w:rPr>
          <w:bCs/>
        </w:rPr>
        <w:t xml:space="preserve">FFS: the reference power (e.g., an RS such as CSI-RS, </w:t>
      </w:r>
      <w:proofErr w:type="spellStart"/>
      <w:r w:rsidRPr="004E16CB">
        <w:rPr>
          <w:bCs/>
        </w:rPr>
        <w:t>etc</w:t>
      </w:r>
      <w:proofErr w:type="spellEnd"/>
      <w:r w:rsidRPr="004E16CB">
        <w:rPr>
          <w:bCs/>
        </w:rPr>
        <w:t>) for the indication of DL Tx power adjustment.</w:t>
      </w:r>
    </w:p>
    <w:p w14:paraId="043A5182" w14:textId="77777777" w:rsidR="00203572" w:rsidRPr="004E16CB" w:rsidRDefault="00203572" w:rsidP="00203572">
      <w:pPr>
        <w:pStyle w:val="ListParagraph"/>
        <w:numPr>
          <w:ilvl w:val="1"/>
          <w:numId w:val="15"/>
        </w:numPr>
        <w:spacing w:before="0" w:after="0"/>
        <w:jc w:val="left"/>
        <w:textAlignment w:val="baseline"/>
      </w:pPr>
      <w:r w:rsidRPr="004E16CB">
        <w:rPr>
          <w:bCs/>
        </w:rPr>
        <w:t xml:space="preserve">FFS: the range of values for the indicated adjustment. </w:t>
      </w:r>
    </w:p>
    <w:p w14:paraId="51ABB28E" w14:textId="77777777" w:rsidR="00AD192F" w:rsidRDefault="00AD192F" w:rsidP="00AD192F"/>
    <w:p w14:paraId="596CD230" w14:textId="774B11E2" w:rsidR="00DC51C8" w:rsidRDefault="00DC51C8" w:rsidP="00DC51C8">
      <w:pPr>
        <w:pStyle w:val="maintext"/>
        <w:ind w:firstLineChars="0" w:firstLine="0"/>
        <w:rPr>
          <w:rFonts w:ascii="Calibri" w:hAnsi="Calibri"/>
        </w:rPr>
      </w:pPr>
      <w:r>
        <w:rPr>
          <w:rFonts w:ascii="Calibri" w:hAnsi="Calibri"/>
        </w:rPr>
        <w:t xml:space="preserve">As indicated by the agreements, </w:t>
      </w:r>
      <w:r w:rsidR="002F2983">
        <w:rPr>
          <w:rFonts w:ascii="Calibri" w:hAnsi="Calibri"/>
        </w:rPr>
        <w:t>the following is proposed for providing the desired DL Tx power adjustment from the child, and indicated DL Tx power adjustment from the parent</w:t>
      </w:r>
      <w:r w:rsidR="000D4094">
        <w:rPr>
          <w:rFonts w:ascii="Calibri" w:hAnsi="Calibri"/>
        </w:rPr>
        <w:t xml:space="preserve"> via MAC-CE</w:t>
      </w:r>
      <w:r w:rsidR="002F2983">
        <w:rPr>
          <w:rFonts w:ascii="Calibri" w:hAnsi="Calibri"/>
        </w:rPr>
        <w:t>:</w:t>
      </w:r>
    </w:p>
    <w:p w14:paraId="190C5F1A" w14:textId="7C3DE4B6" w:rsidR="002F2983" w:rsidRDefault="002F2983" w:rsidP="002F2983">
      <w:pPr>
        <w:pStyle w:val="maintext"/>
        <w:numPr>
          <w:ilvl w:val="0"/>
          <w:numId w:val="13"/>
        </w:numPr>
        <w:ind w:firstLineChars="0"/>
        <w:rPr>
          <w:rFonts w:ascii="Calibri" w:hAnsi="Calibri"/>
        </w:rPr>
      </w:pPr>
      <w:r>
        <w:rPr>
          <w:rFonts w:ascii="Calibri" w:hAnsi="Calibri"/>
        </w:rPr>
        <w:t xml:space="preserve">Child-to-parent desired DL TX power adjustment: </w:t>
      </w:r>
      <w:r w:rsidR="000D4094">
        <w:rPr>
          <w:rFonts w:ascii="Calibri" w:hAnsi="Calibri"/>
        </w:rPr>
        <w:t>MT’s DL beam via DL TCI state id, Multiplexing Mode,</w:t>
      </w:r>
      <w:r w:rsidR="00CA02BB">
        <w:rPr>
          <w:rFonts w:ascii="Calibri" w:hAnsi="Calibri"/>
        </w:rPr>
        <w:t xml:space="preserve"> </w:t>
      </w:r>
      <w:r w:rsidR="000D4094">
        <w:rPr>
          <w:rFonts w:ascii="Calibri" w:hAnsi="Calibri"/>
        </w:rPr>
        <w:t>{MT CC, DU cell} pair</w:t>
      </w:r>
      <w:r w:rsidR="00CA02BB">
        <w:rPr>
          <w:rFonts w:ascii="Calibri" w:hAnsi="Calibri"/>
        </w:rPr>
        <w:t xml:space="preserve">, and </w:t>
      </w:r>
      <w:r w:rsidR="00CA02BB">
        <w:rPr>
          <w:rFonts w:ascii="Calibri" w:hAnsi="Calibri"/>
        </w:rPr>
        <w:t>Resource type (H, S, or H and S)</w:t>
      </w:r>
    </w:p>
    <w:p w14:paraId="279D4382" w14:textId="26D49F49" w:rsidR="002F2983" w:rsidRDefault="002F2983" w:rsidP="002F2983">
      <w:pPr>
        <w:pStyle w:val="maintext"/>
        <w:numPr>
          <w:ilvl w:val="0"/>
          <w:numId w:val="13"/>
        </w:numPr>
        <w:ind w:firstLineChars="0"/>
        <w:rPr>
          <w:rFonts w:ascii="Calibri" w:hAnsi="Calibri"/>
        </w:rPr>
      </w:pPr>
      <w:r>
        <w:rPr>
          <w:rFonts w:ascii="Calibri" w:hAnsi="Calibri"/>
        </w:rPr>
        <w:t xml:space="preserve">Parent-to-child indicated DL Tx power adjustment: </w:t>
      </w:r>
      <w:r w:rsidR="000D4094">
        <w:rPr>
          <w:rFonts w:ascii="Calibri" w:hAnsi="Calibri"/>
        </w:rPr>
        <w:t>MT’s DL beam via DL TCI state id, {MT CC, DU cell} pair</w:t>
      </w:r>
      <w:r w:rsidR="000D4094">
        <w:rPr>
          <w:rFonts w:ascii="Calibri" w:hAnsi="Calibri"/>
        </w:rPr>
        <w:t>, starting slot index</w:t>
      </w:r>
      <w:r w:rsidR="00CA02BB">
        <w:rPr>
          <w:rFonts w:ascii="Calibri" w:hAnsi="Calibri"/>
        </w:rPr>
        <w:t xml:space="preserve"> (to enable), or ending slot (to disable)</w:t>
      </w:r>
    </w:p>
    <w:p w14:paraId="2F8710F3" w14:textId="20172A85" w:rsidR="008E1486" w:rsidRDefault="002F2983" w:rsidP="00F30C84">
      <w:pPr>
        <w:pStyle w:val="maintext"/>
        <w:ind w:firstLineChars="0" w:firstLine="0"/>
        <w:rPr>
          <w:rFonts w:ascii="Calibri" w:hAnsi="Calibri"/>
        </w:rPr>
      </w:pPr>
      <w:r>
        <w:rPr>
          <w:rFonts w:ascii="Calibri" w:hAnsi="Calibri"/>
        </w:rPr>
        <w:t xml:space="preserve">The usage of </w:t>
      </w:r>
      <w:r w:rsidR="00CA02BB">
        <w:rPr>
          <w:rFonts w:ascii="Calibri" w:hAnsi="Calibri"/>
        </w:rPr>
        <w:t>TCI state</w:t>
      </w:r>
      <w:r>
        <w:rPr>
          <w:rFonts w:ascii="Calibri" w:hAnsi="Calibri"/>
        </w:rPr>
        <w:t xml:space="preserve"> for the child-to-parent indication aligns with the existing beam management report framework and allows the power adjustment to be indicated per beam. The usage of </w:t>
      </w:r>
      <w:r w:rsidR="00CA02BB">
        <w:rPr>
          <w:rFonts w:ascii="Calibri" w:hAnsi="Calibri"/>
        </w:rPr>
        <w:t xml:space="preserve">multiplexing mode, {MT CC, DU cell} pair, and resource type as part of the indication is intended to align with the child spatial recommendation </w:t>
      </w:r>
      <w:proofErr w:type="spellStart"/>
      <w:r w:rsidR="00CA02BB">
        <w:rPr>
          <w:rFonts w:ascii="Calibri" w:hAnsi="Calibri"/>
        </w:rPr>
        <w:t>signaling</w:t>
      </w:r>
      <w:proofErr w:type="spellEnd"/>
      <w:r w:rsidR="00CA02BB">
        <w:rPr>
          <w:rFonts w:ascii="Calibri" w:hAnsi="Calibri"/>
        </w:rPr>
        <w:t xml:space="preserve"> proposed for simultaneous operation [2]. The starting slot indication from the parent allows for aligned understanding between the child and parent nodes of when to expect the DL Tx power adjustment to apply. Given that the parent node may need to adjust its Tx power adjustment due to its own implementation or operational constraints, </w:t>
      </w:r>
      <w:proofErr w:type="spellStart"/>
      <w:r w:rsidR="00CA02BB">
        <w:rPr>
          <w:rFonts w:ascii="Calibri" w:hAnsi="Calibri"/>
        </w:rPr>
        <w:t>signaling</w:t>
      </w:r>
      <w:proofErr w:type="spellEnd"/>
      <w:r w:rsidR="00CA02BB">
        <w:rPr>
          <w:rFonts w:ascii="Calibri" w:hAnsi="Calibri"/>
        </w:rPr>
        <w:t xml:space="preserve"> to also disable the power adjustment should also be supported.</w:t>
      </w:r>
    </w:p>
    <w:p w14:paraId="242117C4" w14:textId="77777777" w:rsidR="00A93813" w:rsidRDefault="00A93813" w:rsidP="00F30C84">
      <w:pPr>
        <w:pStyle w:val="maintext"/>
        <w:ind w:firstLineChars="0" w:firstLine="0"/>
        <w:rPr>
          <w:rFonts w:ascii="Calibri" w:hAnsi="Calibri"/>
        </w:rPr>
      </w:pPr>
    </w:p>
    <w:p w14:paraId="3546DB70" w14:textId="77777777" w:rsidR="00314AE7" w:rsidRDefault="00175301" w:rsidP="00FB2665">
      <w:pPr>
        <w:pStyle w:val="maintext"/>
        <w:ind w:firstLineChars="0" w:firstLine="0"/>
        <w:rPr>
          <w:rFonts w:ascii="Calibri" w:hAnsi="Calibri"/>
          <w:b/>
        </w:rPr>
      </w:pPr>
      <w:r w:rsidRPr="00BA6FDB">
        <w:rPr>
          <w:rFonts w:ascii="Calibri" w:hAnsi="Calibri"/>
          <w:b/>
        </w:rPr>
        <w:t xml:space="preserve">Proposal </w:t>
      </w:r>
      <w:r w:rsidR="00816B81">
        <w:rPr>
          <w:rFonts w:ascii="Calibri" w:hAnsi="Calibri"/>
          <w:b/>
        </w:rPr>
        <w:t>1</w:t>
      </w:r>
      <w:r w:rsidRPr="00BA6FDB">
        <w:rPr>
          <w:rFonts w:ascii="Calibri" w:hAnsi="Calibri"/>
          <w:b/>
        </w:rPr>
        <w:t>:</w:t>
      </w:r>
      <w:r w:rsidR="00222811">
        <w:rPr>
          <w:rFonts w:ascii="Calibri" w:hAnsi="Calibri"/>
          <w:b/>
        </w:rPr>
        <w:t xml:space="preserve"> </w:t>
      </w:r>
      <w:r w:rsidR="002F2983">
        <w:rPr>
          <w:rFonts w:ascii="Calibri" w:hAnsi="Calibri"/>
          <w:b/>
        </w:rPr>
        <w:t xml:space="preserve">The desired </w:t>
      </w:r>
      <w:r w:rsidR="00222811">
        <w:rPr>
          <w:rFonts w:ascii="Calibri" w:hAnsi="Calibri"/>
          <w:b/>
        </w:rPr>
        <w:t>DL</w:t>
      </w:r>
      <w:r w:rsidR="00BA579D">
        <w:rPr>
          <w:rFonts w:ascii="Calibri" w:hAnsi="Calibri"/>
          <w:b/>
        </w:rPr>
        <w:t xml:space="preserve"> </w:t>
      </w:r>
      <w:r w:rsidR="00222811">
        <w:rPr>
          <w:rFonts w:ascii="Calibri" w:hAnsi="Calibri"/>
          <w:b/>
        </w:rPr>
        <w:t xml:space="preserve">power </w:t>
      </w:r>
      <w:r w:rsidR="002F2983">
        <w:rPr>
          <w:rFonts w:ascii="Calibri" w:hAnsi="Calibri"/>
          <w:b/>
        </w:rPr>
        <w:t>adjustment</w:t>
      </w:r>
      <w:r w:rsidR="00BA579D">
        <w:rPr>
          <w:rFonts w:ascii="Calibri" w:hAnsi="Calibri"/>
          <w:b/>
        </w:rPr>
        <w:t xml:space="preserve"> </w:t>
      </w:r>
      <w:r w:rsidR="00314AE7">
        <w:rPr>
          <w:rFonts w:ascii="Calibri" w:hAnsi="Calibri"/>
          <w:b/>
        </w:rPr>
        <w:t>indication</w:t>
      </w:r>
      <w:r w:rsidR="00222811">
        <w:rPr>
          <w:rFonts w:ascii="Calibri" w:hAnsi="Calibri"/>
          <w:b/>
        </w:rPr>
        <w:t xml:space="preserve"> </w:t>
      </w:r>
      <w:r w:rsidR="00772165">
        <w:rPr>
          <w:rFonts w:ascii="Calibri" w:hAnsi="Calibri"/>
          <w:b/>
        </w:rPr>
        <w:t>from the child to</w:t>
      </w:r>
      <w:r w:rsidR="008E1486">
        <w:rPr>
          <w:rFonts w:ascii="Calibri" w:hAnsi="Calibri"/>
          <w:b/>
        </w:rPr>
        <w:t xml:space="preserve"> the parent node </w:t>
      </w:r>
      <w:r w:rsidR="00314AE7">
        <w:rPr>
          <w:rFonts w:ascii="Calibri" w:hAnsi="Calibri"/>
          <w:b/>
        </w:rPr>
        <w:t xml:space="preserve">includes the following associated configurations/and or resources for which the indicated power adjustment is applicable: </w:t>
      </w:r>
    </w:p>
    <w:p w14:paraId="480E2EC9" w14:textId="310A682B" w:rsidR="00314AE7" w:rsidRDefault="00314AE7" w:rsidP="00314AE7">
      <w:pPr>
        <w:pStyle w:val="maintext"/>
        <w:numPr>
          <w:ilvl w:val="0"/>
          <w:numId w:val="19"/>
        </w:numPr>
        <w:ind w:firstLineChars="0"/>
        <w:rPr>
          <w:rFonts w:ascii="Calibri" w:hAnsi="Calibri"/>
          <w:b/>
        </w:rPr>
      </w:pPr>
      <w:r w:rsidRPr="00314AE7">
        <w:rPr>
          <w:rFonts w:ascii="Calibri" w:hAnsi="Calibri"/>
          <w:b/>
        </w:rPr>
        <w:t>MT’s DL beam via DL TCI state id</w:t>
      </w:r>
    </w:p>
    <w:p w14:paraId="36B50AFA" w14:textId="22D45E94" w:rsidR="00314AE7" w:rsidRDefault="00314AE7" w:rsidP="00314AE7">
      <w:pPr>
        <w:pStyle w:val="maintext"/>
        <w:numPr>
          <w:ilvl w:val="0"/>
          <w:numId w:val="19"/>
        </w:numPr>
        <w:ind w:firstLineChars="0"/>
        <w:rPr>
          <w:rFonts w:ascii="Calibri" w:hAnsi="Calibri"/>
          <w:b/>
        </w:rPr>
      </w:pPr>
      <w:r w:rsidRPr="00314AE7">
        <w:rPr>
          <w:rFonts w:ascii="Calibri" w:hAnsi="Calibri"/>
          <w:b/>
        </w:rPr>
        <w:t>Multiplexing Mode</w:t>
      </w:r>
    </w:p>
    <w:p w14:paraId="51BDCE23" w14:textId="1957D657" w:rsidR="00314AE7" w:rsidRPr="00314AE7" w:rsidRDefault="00314AE7" w:rsidP="00314AE7">
      <w:pPr>
        <w:pStyle w:val="maintext"/>
        <w:numPr>
          <w:ilvl w:val="0"/>
          <w:numId w:val="19"/>
        </w:numPr>
        <w:ind w:firstLineChars="0"/>
        <w:rPr>
          <w:rFonts w:ascii="Calibri" w:hAnsi="Calibri"/>
          <w:b/>
        </w:rPr>
      </w:pPr>
      <w:r w:rsidRPr="00314AE7">
        <w:rPr>
          <w:rFonts w:ascii="Calibri" w:hAnsi="Calibri"/>
          <w:b/>
        </w:rPr>
        <w:t>{MT CC, DU cell} pair</w:t>
      </w:r>
    </w:p>
    <w:p w14:paraId="59BC6BC4" w14:textId="06F5F636" w:rsidR="00816B81" w:rsidRDefault="00314AE7" w:rsidP="00314AE7">
      <w:pPr>
        <w:pStyle w:val="maintext"/>
        <w:numPr>
          <w:ilvl w:val="0"/>
          <w:numId w:val="19"/>
        </w:numPr>
        <w:ind w:firstLineChars="0"/>
        <w:rPr>
          <w:rFonts w:ascii="Calibri" w:hAnsi="Calibri"/>
          <w:b/>
        </w:rPr>
      </w:pPr>
      <w:r w:rsidRPr="00314AE7">
        <w:rPr>
          <w:rFonts w:ascii="Calibri" w:hAnsi="Calibri"/>
          <w:b/>
        </w:rPr>
        <w:t>Resource type (H, S, or H and S)</w:t>
      </w:r>
    </w:p>
    <w:p w14:paraId="24F3214D" w14:textId="77777777" w:rsidR="00314AE7" w:rsidRDefault="00314AE7" w:rsidP="00314AE7">
      <w:pPr>
        <w:pStyle w:val="maintext"/>
        <w:ind w:left="720" w:firstLineChars="0" w:firstLine="0"/>
        <w:rPr>
          <w:rFonts w:ascii="Calibri" w:hAnsi="Calibri"/>
          <w:b/>
        </w:rPr>
      </w:pPr>
    </w:p>
    <w:p w14:paraId="346842E5" w14:textId="77777777" w:rsidR="00314AE7" w:rsidRDefault="00816B81" w:rsidP="00FB2665">
      <w:pPr>
        <w:pStyle w:val="maintext"/>
        <w:ind w:firstLineChars="0" w:firstLine="0"/>
        <w:rPr>
          <w:rFonts w:ascii="Calibri" w:hAnsi="Calibri"/>
          <w:b/>
        </w:rPr>
      </w:pPr>
      <w:r>
        <w:rPr>
          <w:rFonts w:ascii="Calibri" w:hAnsi="Calibri"/>
          <w:b/>
        </w:rPr>
        <w:t xml:space="preserve">Proposal 2: The indicated DL power adjustment </w:t>
      </w:r>
      <w:r w:rsidR="00314AE7">
        <w:rPr>
          <w:rFonts w:ascii="Calibri" w:hAnsi="Calibri"/>
          <w:b/>
        </w:rPr>
        <w:t>indications</w:t>
      </w:r>
      <w:r>
        <w:rPr>
          <w:rFonts w:ascii="Calibri" w:hAnsi="Calibri"/>
          <w:b/>
        </w:rPr>
        <w:t xml:space="preserve"> from the parent to the child node </w:t>
      </w:r>
      <w:r w:rsidR="00314AE7">
        <w:rPr>
          <w:rFonts w:ascii="Calibri" w:hAnsi="Calibri"/>
          <w:b/>
        </w:rPr>
        <w:t>includes the following associated configurations/and or resources for which the indicated power adjustment is applicable</w:t>
      </w:r>
      <w:r w:rsidR="00314AE7">
        <w:rPr>
          <w:rFonts w:ascii="Calibri" w:hAnsi="Calibri"/>
          <w:b/>
        </w:rPr>
        <w:t xml:space="preserve">: </w:t>
      </w:r>
    </w:p>
    <w:p w14:paraId="571DE0E7" w14:textId="77777777" w:rsidR="00314AE7" w:rsidRDefault="00314AE7" w:rsidP="00314AE7">
      <w:pPr>
        <w:pStyle w:val="maintext"/>
        <w:numPr>
          <w:ilvl w:val="0"/>
          <w:numId w:val="20"/>
        </w:numPr>
        <w:ind w:firstLineChars="0"/>
        <w:rPr>
          <w:rFonts w:ascii="Calibri" w:hAnsi="Calibri"/>
          <w:b/>
        </w:rPr>
      </w:pPr>
      <w:r w:rsidRPr="00314AE7">
        <w:rPr>
          <w:rFonts w:ascii="Calibri" w:hAnsi="Calibri"/>
          <w:b/>
        </w:rPr>
        <w:t>MT’s DL beam via DL TCI state id</w:t>
      </w:r>
    </w:p>
    <w:p w14:paraId="4AEEE04C" w14:textId="77777777" w:rsidR="00314AE7" w:rsidRDefault="00314AE7" w:rsidP="00314AE7">
      <w:pPr>
        <w:pStyle w:val="maintext"/>
        <w:numPr>
          <w:ilvl w:val="0"/>
          <w:numId w:val="20"/>
        </w:numPr>
        <w:ind w:firstLineChars="0"/>
        <w:rPr>
          <w:rFonts w:ascii="Calibri" w:hAnsi="Calibri"/>
          <w:b/>
        </w:rPr>
      </w:pPr>
      <w:r w:rsidRPr="00314AE7">
        <w:rPr>
          <w:rFonts w:ascii="Calibri" w:hAnsi="Calibri"/>
          <w:b/>
        </w:rPr>
        <w:t>{MT CC, DU cell} pair</w:t>
      </w:r>
    </w:p>
    <w:p w14:paraId="2CBABBB6" w14:textId="53332399" w:rsidR="00816B81" w:rsidRPr="00243516" w:rsidRDefault="00314AE7" w:rsidP="00243516">
      <w:pPr>
        <w:pStyle w:val="maintext"/>
        <w:numPr>
          <w:ilvl w:val="0"/>
          <w:numId w:val="20"/>
        </w:numPr>
        <w:ind w:firstLineChars="0"/>
        <w:rPr>
          <w:rFonts w:ascii="Calibri" w:hAnsi="Calibri"/>
          <w:b/>
        </w:rPr>
      </w:pPr>
      <w:r>
        <w:rPr>
          <w:rFonts w:ascii="Calibri" w:hAnsi="Calibri"/>
          <w:b/>
        </w:rPr>
        <w:t>S</w:t>
      </w:r>
      <w:r w:rsidRPr="00314AE7">
        <w:rPr>
          <w:rFonts w:ascii="Calibri" w:hAnsi="Calibri"/>
          <w:b/>
        </w:rPr>
        <w:t xml:space="preserve">tarting slot index (to enable) or ending slot </w:t>
      </w:r>
      <w:r>
        <w:rPr>
          <w:rFonts w:ascii="Calibri" w:hAnsi="Calibri"/>
          <w:b/>
        </w:rPr>
        <w:t xml:space="preserve">index </w:t>
      </w:r>
      <w:r w:rsidRPr="00314AE7">
        <w:rPr>
          <w:rFonts w:ascii="Calibri" w:hAnsi="Calibri"/>
          <w:b/>
        </w:rPr>
        <w:t>(to disable)</w:t>
      </w:r>
    </w:p>
    <w:p w14:paraId="02274DD9" w14:textId="77777777" w:rsidR="007338D6" w:rsidRPr="00172743" w:rsidRDefault="003A566A" w:rsidP="00326FF6">
      <w:pPr>
        <w:pStyle w:val="Heading1"/>
      </w:pPr>
      <w:r w:rsidRPr="00172743">
        <w:lastRenderedPageBreak/>
        <w:t>Conclusion</w:t>
      </w:r>
    </w:p>
    <w:p w14:paraId="59B567EC" w14:textId="465885F5"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The following proposals were made</w:t>
      </w:r>
      <w:r>
        <w:rPr>
          <w:rFonts w:ascii="Calibri" w:hAnsi="Calibri"/>
        </w:rPr>
        <w:t>:</w:t>
      </w:r>
    </w:p>
    <w:p w14:paraId="1072E3F6" w14:textId="77777777" w:rsidR="00314AE7" w:rsidRDefault="00314AE7" w:rsidP="00314AE7">
      <w:pPr>
        <w:pStyle w:val="maintext"/>
        <w:ind w:firstLineChars="0" w:firstLine="0"/>
        <w:rPr>
          <w:rFonts w:ascii="Calibri" w:hAnsi="Calibri"/>
          <w:b/>
        </w:rPr>
      </w:pPr>
      <w:r w:rsidRPr="00BA6FDB">
        <w:rPr>
          <w:rFonts w:ascii="Calibri" w:hAnsi="Calibri"/>
          <w:b/>
        </w:rPr>
        <w:t xml:space="preserve">Proposal </w:t>
      </w:r>
      <w:r>
        <w:rPr>
          <w:rFonts w:ascii="Calibri" w:hAnsi="Calibri"/>
          <w:b/>
        </w:rPr>
        <w:t>1</w:t>
      </w:r>
      <w:r w:rsidRPr="00BA6FDB">
        <w:rPr>
          <w:rFonts w:ascii="Calibri" w:hAnsi="Calibri"/>
          <w:b/>
        </w:rPr>
        <w:t>:</w:t>
      </w:r>
      <w:r>
        <w:rPr>
          <w:rFonts w:ascii="Calibri" w:hAnsi="Calibri"/>
          <w:b/>
        </w:rPr>
        <w:t xml:space="preserve"> The desired DL power adjustment indication from the child to the parent node includes the following associated configurations/and or resources for which the indicated power adjustment is applicable: </w:t>
      </w:r>
    </w:p>
    <w:p w14:paraId="229FFCFB" w14:textId="77777777" w:rsidR="00314AE7" w:rsidRDefault="00314AE7" w:rsidP="00314AE7">
      <w:pPr>
        <w:pStyle w:val="maintext"/>
        <w:numPr>
          <w:ilvl w:val="0"/>
          <w:numId w:val="19"/>
        </w:numPr>
        <w:ind w:firstLineChars="0"/>
        <w:rPr>
          <w:rFonts w:ascii="Calibri" w:hAnsi="Calibri"/>
          <w:b/>
        </w:rPr>
      </w:pPr>
      <w:r w:rsidRPr="00314AE7">
        <w:rPr>
          <w:rFonts w:ascii="Calibri" w:hAnsi="Calibri"/>
          <w:b/>
        </w:rPr>
        <w:t>MT’s DL beam via DL TCI state id</w:t>
      </w:r>
    </w:p>
    <w:p w14:paraId="6EB8EDE4" w14:textId="77777777" w:rsidR="00314AE7" w:rsidRDefault="00314AE7" w:rsidP="00314AE7">
      <w:pPr>
        <w:pStyle w:val="maintext"/>
        <w:numPr>
          <w:ilvl w:val="0"/>
          <w:numId w:val="19"/>
        </w:numPr>
        <w:ind w:firstLineChars="0"/>
        <w:rPr>
          <w:rFonts w:ascii="Calibri" w:hAnsi="Calibri"/>
          <w:b/>
        </w:rPr>
      </w:pPr>
      <w:r w:rsidRPr="00314AE7">
        <w:rPr>
          <w:rFonts w:ascii="Calibri" w:hAnsi="Calibri"/>
          <w:b/>
        </w:rPr>
        <w:t>Multiplexing Mode</w:t>
      </w:r>
    </w:p>
    <w:p w14:paraId="478B3352" w14:textId="77777777" w:rsidR="00314AE7" w:rsidRPr="00314AE7" w:rsidRDefault="00314AE7" w:rsidP="00314AE7">
      <w:pPr>
        <w:pStyle w:val="maintext"/>
        <w:numPr>
          <w:ilvl w:val="0"/>
          <w:numId w:val="19"/>
        </w:numPr>
        <w:ind w:firstLineChars="0"/>
        <w:rPr>
          <w:rFonts w:ascii="Calibri" w:hAnsi="Calibri"/>
          <w:b/>
        </w:rPr>
      </w:pPr>
      <w:r w:rsidRPr="00314AE7">
        <w:rPr>
          <w:rFonts w:ascii="Calibri" w:hAnsi="Calibri"/>
          <w:b/>
        </w:rPr>
        <w:t>{MT CC, DU cell} pair</w:t>
      </w:r>
    </w:p>
    <w:p w14:paraId="423CB56B" w14:textId="77777777" w:rsidR="00314AE7" w:rsidRDefault="00314AE7" w:rsidP="00314AE7">
      <w:pPr>
        <w:pStyle w:val="maintext"/>
        <w:numPr>
          <w:ilvl w:val="0"/>
          <w:numId w:val="19"/>
        </w:numPr>
        <w:ind w:firstLineChars="0"/>
        <w:rPr>
          <w:rFonts w:ascii="Calibri" w:hAnsi="Calibri"/>
          <w:b/>
        </w:rPr>
      </w:pPr>
      <w:r w:rsidRPr="00314AE7">
        <w:rPr>
          <w:rFonts w:ascii="Calibri" w:hAnsi="Calibri"/>
          <w:b/>
        </w:rPr>
        <w:t>Resource type (H, S, or H and S)</w:t>
      </w:r>
    </w:p>
    <w:p w14:paraId="2E08A18A" w14:textId="77777777" w:rsidR="00314AE7" w:rsidRDefault="00314AE7" w:rsidP="00314AE7">
      <w:pPr>
        <w:pStyle w:val="maintext"/>
        <w:ind w:left="720" w:firstLineChars="0" w:firstLine="0"/>
        <w:rPr>
          <w:rFonts w:ascii="Calibri" w:hAnsi="Calibri"/>
          <w:b/>
        </w:rPr>
      </w:pPr>
    </w:p>
    <w:p w14:paraId="1C29F28B" w14:textId="77777777" w:rsidR="00314AE7" w:rsidRDefault="00314AE7" w:rsidP="00314AE7">
      <w:pPr>
        <w:pStyle w:val="maintext"/>
        <w:ind w:firstLineChars="0" w:firstLine="0"/>
        <w:rPr>
          <w:rFonts w:ascii="Calibri" w:hAnsi="Calibri"/>
          <w:b/>
        </w:rPr>
      </w:pPr>
      <w:r>
        <w:rPr>
          <w:rFonts w:ascii="Calibri" w:hAnsi="Calibri"/>
          <w:b/>
        </w:rPr>
        <w:t xml:space="preserve">Proposal 2: The indicated DL power adjustment indications from the parent to the child node includes the following associated configurations/and or resources for which the indicated power adjustment is applicable: </w:t>
      </w:r>
    </w:p>
    <w:p w14:paraId="104A75F2" w14:textId="77777777" w:rsidR="00314AE7" w:rsidRDefault="00314AE7" w:rsidP="00314AE7">
      <w:pPr>
        <w:pStyle w:val="maintext"/>
        <w:numPr>
          <w:ilvl w:val="0"/>
          <w:numId w:val="20"/>
        </w:numPr>
        <w:ind w:firstLineChars="0"/>
        <w:rPr>
          <w:rFonts w:ascii="Calibri" w:hAnsi="Calibri"/>
          <w:b/>
        </w:rPr>
      </w:pPr>
      <w:r w:rsidRPr="00314AE7">
        <w:rPr>
          <w:rFonts w:ascii="Calibri" w:hAnsi="Calibri"/>
          <w:b/>
        </w:rPr>
        <w:t>MT’s DL beam via DL TCI state id</w:t>
      </w:r>
    </w:p>
    <w:p w14:paraId="139B8847" w14:textId="77777777" w:rsidR="00314AE7" w:rsidRDefault="00314AE7" w:rsidP="00314AE7">
      <w:pPr>
        <w:pStyle w:val="maintext"/>
        <w:numPr>
          <w:ilvl w:val="0"/>
          <w:numId w:val="20"/>
        </w:numPr>
        <w:ind w:firstLineChars="0"/>
        <w:rPr>
          <w:rFonts w:ascii="Calibri" w:hAnsi="Calibri"/>
          <w:b/>
        </w:rPr>
      </w:pPr>
      <w:r w:rsidRPr="00314AE7">
        <w:rPr>
          <w:rFonts w:ascii="Calibri" w:hAnsi="Calibri"/>
          <w:b/>
        </w:rPr>
        <w:t>{MT CC, DU cell} pair</w:t>
      </w:r>
    </w:p>
    <w:p w14:paraId="50C7CA95" w14:textId="77777777" w:rsidR="00314AE7" w:rsidRDefault="00314AE7" w:rsidP="00314AE7">
      <w:pPr>
        <w:pStyle w:val="maintext"/>
        <w:numPr>
          <w:ilvl w:val="0"/>
          <w:numId w:val="20"/>
        </w:numPr>
        <w:ind w:firstLineChars="0"/>
        <w:rPr>
          <w:rFonts w:ascii="Calibri" w:hAnsi="Calibri"/>
          <w:b/>
        </w:rPr>
      </w:pPr>
      <w:r>
        <w:rPr>
          <w:rFonts w:ascii="Calibri" w:hAnsi="Calibri"/>
          <w:b/>
        </w:rPr>
        <w:t>S</w:t>
      </w:r>
      <w:r w:rsidRPr="00314AE7">
        <w:rPr>
          <w:rFonts w:ascii="Calibri" w:hAnsi="Calibri"/>
          <w:b/>
        </w:rPr>
        <w:t xml:space="preserve">tarting slot index (to enable) or ending slot </w:t>
      </w:r>
      <w:r>
        <w:rPr>
          <w:rFonts w:ascii="Calibri" w:hAnsi="Calibri"/>
          <w:b/>
        </w:rPr>
        <w:t xml:space="preserve">index </w:t>
      </w:r>
      <w:r w:rsidRPr="00314AE7">
        <w:rPr>
          <w:rFonts w:ascii="Calibri" w:hAnsi="Calibri"/>
          <w:b/>
        </w:rPr>
        <w:t>(to disable)</w:t>
      </w:r>
    </w:p>
    <w:p w14:paraId="6DF3BE96" w14:textId="77777777" w:rsidR="001E1F7F" w:rsidRDefault="001E1F7F" w:rsidP="00193F04">
      <w:pPr>
        <w:pStyle w:val="maintext"/>
        <w:ind w:firstLineChars="0" w:firstLine="0"/>
        <w:rPr>
          <w:rFonts w:ascii="Calibri" w:hAnsi="Calibri"/>
          <w:b/>
        </w:rPr>
      </w:pPr>
    </w:p>
    <w:p w14:paraId="07555F4F" w14:textId="6AB41D2B" w:rsidR="00FE6C15" w:rsidRPr="0076067D" w:rsidRDefault="00FE6C15" w:rsidP="0076067D">
      <w:pPr>
        <w:pStyle w:val="Heading1"/>
      </w:pPr>
      <w:r>
        <w:t>Reference</w:t>
      </w:r>
      <w:r w:rsidR="00243516">
        <w:t>s</w:t>
      </w:r>
    </w:p>
    <w:p w14:paraId="42FD3980" w14:textId="310C4BD4" w:rsidR="00FE6C15" w:rsidRPr="00243516" w:rsidRDefault="00D14268" w:rsidP="00243516">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3EB7B540" w14:textId="72F9E870" w:rsidR="00243516" w:rsidRPr="0098270C" w:rsidRDefault="00243516" w:rsidP="00243516">
      <w:pPr>
        <w:pStyle w:val="2222"/>
        <w:spacing w:after="120" w:line="288" w:lineRule="auto"/>
        <w:ind w:firstLineChars="0" w:firstLine="0"/>
        <w:jc w:val="left"/>
        <w:rPr>
          <w:rFonts w:cs="Times New Roman"/>
          <w:lang w:eastAsia="ko-KR"/>
        </w:rPr>
      </w:pPr>
      <w:r>
        <w:rPr>
          <w:rFonts w:cs="Times New Roman"/>
          <w:lang w:eastAsia="ko-KR"/>
        </w:rPr>
        <w:t>[</w:t>
      </w:r>
      <w:r>
        <w:rPr>
          <w:rFonts w:cs="Times New Roman"/>
          <w:lang w:eastAsia="ko-KR"/>
        </w:rPr>
        <w:t>2</w:t>
      </w:r>
      <w:r>
        <w:rPr>
          <w:rFonts w:cs="Times New Roman"/>
          <w:lang w:eastAsia="ko-KR"/>
        </w:rPr>
        <w:t>] R</w:t>
      </w:r>
      <w:r>
        <w:rPr>
          <w:rFonts w:cs="Times New Roman"/>
          <w:lang w:eastAsia="ko-KR"/>
        </w:rPr>
        <w:t>1</w:t>
      </w:r>
      <w:r>
        <w:rPr>
          <w:rFonts w:cs="Times New Roman"/>
          <w:lang w:eastAsia="ko-KR"/>
        </w:rPr>
        <w:t>-2</w:t>
      </w:r>
      <w:r>
        <w:rPr>
          <w:rFonts w:cs="Times New Roman"/>
          <w:lang w:eastAsia="ko-KR"/>
        </w:rPr>
        <w:t>111804</w:t>
      </w:r>
      <w:r>
        <w:rPr>
          <w:rFonts w:cs="Times New Roman"/>
          <w:lang w:eastAsia="ko-KR"/>
        </w:rPr>
        <w:t xml:space="preserve"> </w:t>
      </w:r>
      <w:r w:rsidRPr="00243516">
        <w:rPr>
          <w:rFonts w:cs="Times New Roman"/>
          <w:lang w:eastAsia="ko-KR"/>
        </w:rPr>
        <w:t>Enhancements for IAB resource multiplexing</w:t>
      </w:r>
      <w:r>
        <w:rPr>
          <w:rFonts w:cs="Times New Roman"/>
          <w:lang w:eastAsia="ko-KR"/>
        </w:rPr>
        <w:t xml:space="preserve">, </w:t>
      </w:r>
      <w:r>
        <w:rPr>
          <w:rFonts w:cs="Times New Roman"/>
          <w:lang w:eastAsia="ko-KR"/>
        </w:rPr>
        <w:t>AT&amp;T</w:t>
      </w:r>
    </w:p>
    <w:p w14:paraId="52DB361C" w14:textId="77777777" w:rsidR="00243516" w:rsidRPr="00B12672" w:rsidRDefault="00243516" w:rsidP="00172743">
      <w:pPr>
        <w:spacing w:before="0" w:after="0"/>
        <w:rPr>
          <w:rFonts w:ascii="Calibri" w:hAnsi="Calibri" w:cs="Arial"/>
          <w:b/>
        </w:rPr>
      </w:pPr>
    </w:p>
    <w:sectPr w:rsidR="00243516"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2290B" w14:textId="77777777" w:rsidR="002C0B50" w:rsidRDefault="002C0B50" w:rsidP="00424124">
      <w:pPr>
        <w:spacing w:before="0" w:after="0"/>
      </w:pPr>
      <w:r>
        <w:separator/>
      </w:r>
    </w:p>
  </w:endnote>
  <w:endnote w:type="continuationSeparator" w:id="0">
    <w:p w14:paraId="1B65F0D6" w14:textId="77777777" w:rsidR="002C0B50" w:rsidRDefault="002C0B5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Ԁᐺ"/>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95708" w14:textId="77777777" w:rsidR="002C0B50" w:rsidRDefault="002C0B50" w:rsidP="00424124">
      <w:pPr>
        <w:spacing w:before="0" w:after="0"/>
      </w:pPr>
      <w:r>
        <w:separator/>
      </w:r>
    </w:p>
  </w:footnote>
  <w:footnote w:type="continuationSeparator" w:id="0">
    <w:p w14:paraId="3ADAA6EC" w14:textId="77777777" w:rsidR="002C0B50" w:rsidRDefault="002C0B5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DA5647"/>
    <w:multiLevelType w:val="hybridMultilevel"/>
    <w:tmpl w:val="6688C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74757A2F"/>
    <w:multiLevelType w:val="hybridMultilevel"/>
    <w:tmpl w:val="1552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5C646C"/>
    <w:multiLevelType w:val="hybridMultilevel"/>
    <w:tmpl w:val="86D2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4"/>
  </w:num>
  <w:num w:numId="4">
    <w:abstractNumId w:val="1"/>
  </w:num>
  <w:num w:numId="5">
    <w:abstractNumId w:val="9"/>
  </w:num>
  <w:num w:numId="6">
    <w:abstractNumId w:val="17"/>
  </w:num>
  <w:num w:numId="7">
    <w:abstractNumId w:val="6"/>
  </w:num>
  <w:num w:numId="8">
    <w:abstractNumId w:val="12"/>
  </w:num>
  <w:num w:numId="9">
    <w:abstractNumId w:val="2"/>
  </w:num>
  <w:num w:numId="10">
    <w:abstractNumId w:val="13"/>
  </w:num>
  <w:num w:numId="11">
    <w:abstractNumId w:val="7"/>
  </w:num>
  <w:num w:numId="12">
    <w:abstractNumId w:val="16"/>
  </w:num>
  <w:num w:numId="13">
    <w:abstractNumId w:val="15"/>
  </w:num>
  <w:num w:numId="14">
    <w:abstractNumId w:val="19"/>
  </w:num>
  <w:num w:numId="15">
    <w:abstractNumId w:val="0"/>
  </w:num>
  <w:num w:numId="16">
    <w:abstractNumId w:val="8"/>
  </w:num>
  <w:num w:numId="17">
    <w:abstractNumId w:val="3"/>
  </w:num>
  <w:num w:numId="18">
    <w:abstractNumId w:val="11"/>
  </w:num>
  <w:num w:numId="19">
    <w:abstractNumId w:val="18"/>
  </w:num>
  <w:num w:numId="2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D4094"/>
    <w:rsid w:val="000E29D8"/>
    <w:rsid w:val="0010303E"/>
    <w:rsid w:val="0011327D"/>
    <w:rsid w:val="00116DA6"/>
    <w:rsid w:val="00137E15"/>
    <w:rsid w:val="001417A8"/>
    <w:rsid w:val="00144014"/>
    <w:rsid w:val="0014539F"/>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03572"/>
    <w:rsid w:val="0021130E"/>
    <w:rsid w:val="00211D37"/>
    <w:rsid w:val="00212204"/>
    <w:rsid w:val="00216763"/>
    <w:rsid w:val="00222269"/>
    <w:rsid w:val="00222811"/>
    <w:rsid w:val="00225464"/>
    <w:rsid w:val="00233D70"/>
    <w:rsid w:val="00235373"/>
    <w:rsid w:val="00242080"/>
    <w:rsid w:val="00243516"/>
    <w:rsid w:val="00246D61"/>
    <w:rsid w:val="0024786A"/>
    <w:rsid w:val="0025058B"/>
    <w:rsid w:val="00262116"/>
    <w:rsid w:val="002641FE"/>
    <w:rsid w:val="00265254"/>
    <w:rsid w:val="00267362"/>
    <w:rsid w:val="002725E8"/>
    <w:rsid w:val="00272EC2"/>
    <w:rsid w:val="00273B2A"/>
    <w:rsid w:val="00274677"/>
    <w:rsid w:val="00276785"/>
    <w:rsid w:val="00286AA2"/>
    <w:rsid w:val="0029147A"/>
    <w:rsid w:val="00297225"/>
    <w:rsid w:val="002A005E"/>
    <w:rsid w:val="002A0270"/>
    <w:rsid w:val="002A4C92"/>
    <w:rsid w:val="002A66E2"/>
    <w:rsid w:val="002B3A2E"/>
    <w:rsid w:val="002C0488"/>
    <w:rsid w:val="002C0B50"/>
    <w:rsid w:val="002C4097"/>
    <w:rsid w:val="002C594E"/>
    <w:rsid w:val="002D3D42"/>
    <w:rsid w:val="002D479B"/>
    <w:rsid w:val="002D6EC9"/>
    <w:rsid w:val="002D787B"/>
    <w:rsid w:val="002E188B"/>
    <w:rsid w:val="002F2983"/>
    <w:rsid w:val="00314AE7"/>
    <w:rsid w:val="00315DC4"/>
    <w:rsid w:val="00317020"/>
    <w:rsid w:val="00320B4D"/>
    <w:rsid w:val="00326FF6"/>
    <w:rsid w:val="00327A22"/>
    <w:rsid w:val="00332BB8"/>
    <w:rsid w:val="0033513A"/>
    <w:rsid w:val="00342130"/>
    <w:rsid w:val="00346605"/>
    <w:rsid w:val="00347326"/>
    <w:rsid w:val="0035318F"/>
    <w:rsid w:val="00354C01"/>
    <w:rsid w:val="0036306A"/>
    <w:rsid w:val="003727DB"/>
    <w:rsid w:val="00381CFA"/>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5A64"/>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131D"/>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72165"/>
    <w:rsid w:val="00775B5E"/>
    <w:rsid w:val="00782CDC"/>
    <w:rsid w:val="007839F9"/>
    <w:rsid w:val="00784132"/>
    <w:rsid w:val="00786229"/>
    <w:rsid w:val="00791D57"/>
    <w:rsid w:val="007A2765"/>
    <w:rsid w:val="007B13E5"/>
    <w:rsid w:val="007B2F6B"/>
    <w:rsid w:val="007B473A"/>
    <w:rsid w:val="007C3523"/>
    <w:rsid w:val="007D0BB2"/>
    <w:rsid w:val="007D2C48"/>
    <w:rsid w:val="007E4144"/>
    <w:rsid w:val="007E546F"/>
    <w:rsid w:val="007F0AF3"/>
    <w:rsid w:val="007F1928"/>
    <w:rsid w:val="007F392E"/>
    <w:rsid w:val="008058CD"/>
    <w:rsid w:val="00811A1B"/>
    <w:rsid w:val="00814815"/>
    <w:rsid w:val="00816B81"/>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B616B"/>
    <w:rsid w:val="008C1AFD"/>
    <w:rsid w:val="008C44BF"/>
    <w:rsid w:val="008C4B67"/>
    <w:rsid w:val="008D1AEF"/>
    <w:rsid w:val="008D5AB5"/>
    <w:rsid w:val="008E1486"/>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C751B"/>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93813"/>
    <w:rsid w:val="00AA5160"/>
    <w:rsid w:val="00AA5899"/>
    <w:rsid w:val="00AB75A3"/>
    <w:rsid w:val="00AB7FC6"/>
    <w:rsid w:val="00AC05AE"/>
    <w:rsid w:val="00AD115D"/>
    <w:rsid w:val="00AD16AE"/>
    <w:rsid w:val="00AD192F"/>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66B82"/>
    <w:rsid w:val="00B74894"/>
    <w:rsid w:val="00B749FB"/>
    <w:rsid w:val="00B75FF7"/>
    <w:rsid w:val="00B82B83"/>
    <w:rsid w:val="00B909F7"/>
    <w:rsid w:val="00B96A24"/>
    <w:rsid w:val="00BA579D"/>
    <w:rsid w:val="00BA677D"/>
    <w:rsid w:val="00BA6FDB"/>
    <w:rsid w:val="00BB02ED"/>
    <w:rsid w:val="00BB3CBF"/>
    <w:rsid w:val="00BB5132"/>
    <w:rsid w:val="00BB6C09"/>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02BB"/>
    <w:rsid w:val="00CA1D8B"/>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51C8"/>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47D0"/>
    <w:rsid w:val="00F35704"/>
    <w:rsid w:val="00F35911"/>
    <w:rsid w:val="00F35DD7"/>
    <w:rsid w:val="00F42D43"/>
    <w:rsid w:val="00F4404C"/>
    <w:rsid w:val="00F57965"/>
    <w:rsid w:val="00F60C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 w:type="character" w:styleId="Strong">
    <w:name w:val="Strong"/>
    <w:uiPriority w:val="22"/>
    <w:qFormat/>
    <w:rsid w:val="008E1486"/>
    <w:rPr>
      <w:b/>
      <w:bCs/>
    </w:rPr>
  </w:style>
  <w:style w:type="character" w:customStyle="1" w:styleId="apple-converted-space">
    <w:name w:val="apple-converted-space"/>
    <w:qFormat/>
    <w:rsid w:val="00AD192F"/>
  </w:style>
  <w:style w:type="paragraph" w:customStyle="1" w:styleId="xmsonormal">
    <w:name w:val="xmsonormal"/>
    <w:basedOn w:val="Normal"/>
    <w:uiPriority w:val="99"/>
    <w:rsid w:val="00203572"/>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9546392">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7756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4</cp:revision>
  <cp:lastPrinted>2016-02-23T14:51:00Z</cp:lastPrinted>
  <dcterms:created xsi:type="dcterms:W3CDTF">2021-11-05T17:38:00Z</dcterms:created>
  <dcterms:modified xsi:type="dcterms:W3CDTF">2021-11-05T17:44:00Z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