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4C1E5E1D"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952C0F">
        <w:rPr>
          <w:rFonts w:cs="Arial"/>
          <w:lang w:eastAsia="ja-JP"/>
        </w:rPr>
        <w:t>1</w:t>
      </w:r>
      <w:r w:rsidR="00952C0F">
        <w:rPr>
          <w:rFonts w:cs="Arial" w:hint="eastAsia"/>
          <w:lang w:eastAsia="ja-JP"/>
        </w:rPr>
        <w:t xml:space="preserve"> </w:t>
      </w:r>
      <w:r w:rsidR="00952C0F" w:rsidRPr="00863065">
        <w:rPr>
          <w:rFonts w:cs="Arial"/>
          <w:lang w:eastAsia="ja-JP"/>
        </w:rPr>
        <w:t>#</w:t>
      </w:r>
      <w:r w:rsidR="00952C0F">
        <w:rPr>
          <w:rFonts w:cs="Arial"/>
          <w:lang w:eastAsia="ja-JP"/>
        </w:rPr>
        <w:t>106bis-e</w:t>
      </w:r>
      <w:r w:rsidRPr="00863065">
        <w:rPr>
          <w:rFonts w:cs="Arial"/>
        </w:rPr>
        <w:tab/>
      </w:r>
      <w:bookmarkStart w:id="0" w:name="_GoBack"/>
      <w:bookmarkEnd w:id="0"/>
      <w:r w:rsidRPr="00863065">
        <w:rPr>
          <w:rFonts w:cs="Arial"/>
        </w:rPr>
        <w:t>R</w:t>
      </w:r>
      <w:r w:rsidR="00952C0F">
        <w:rPr>
          <w:rFonts w:cs="Arial" w:hint="eastAsia"/>
          <w:lang w:eastAsia="ja-JP"/>
        </w:rPr>
        <w:t>1</w:t>
      </w:r>
      <w:r w:rsidRPr="00863065">
        <w:rPr>
          <w:rFonts w:cs="Arial"/>
          <w:lang w:eastAsia="ja-JP"/>
        </w:rPr>
        <w:t>-</w:t>
      </w:r>
      <w:r w:rsidR="006A3D76">
        <w:rPr>
          <w:rFonts w:cs="Arial" w:hint="eastAsia"/>
          <w:lang w:eastAsia="ja-JP"/>
        </w:rPr>
        <w:t>21</w:t>
      </w:r>
      <w:r w:rsidR="006E4432">
        <w:rPr>
          <w:rFonts w:cs="Arial"/>
          <w:lang w:eastAsia="ja-JP"/>
        </w:rPr>
        <w:t>10314</w:t>
      </w:r>
    </w:p>
    <w:p w14:paraId="508496E9" w14:textId="7B5A5A42" w:rsidR="00DB7D65" w:rsidRPr="00863065" w:rsidRDefault="00952C0F" w:rsidP="00156F86">
      <w:pPr>
        <w:pStyle w:val="af6"/>
        <w:tabs>
          <w:tab w:val="left" w:pos="709"/>
          <w:tab w:val="right" w:pos="9639"/>
        </w:tabs>
        <w:spacing w:after="0"/>
        <w:jc w:val="left"/>
        <w:rPr>
          <w:rFonts w:cs="Arial"/>
          <w:lang w:val="en-US" w:eastAsia="ja-JP"/>
        </w:rPr>
      </w:pPr>
      <w:r>
        <w:rPr>
          <w:rFonts w:cs="Arial"/>
          <w:lang w:val="en-US" w:eastAsia="ja-JP"/>
        </w:rPr>
        <w:t>11</w:t>
      </w:r>
      <w:r>
        <w:rPr>
          <w:rFonts w:cs="Arial" w:hint="eastAsia"/>
          <w:vertAlign w:val="superscript"/>
          <w:lang w:val="en-US" w:eastAsia="ja-JP"/>
        </w:rPr>
        <w:t>th</w:t>
      </w:r>
      <w:r w:rsidRPr="00802E96">
        <w:rPr>
          <w:rFonts w:cs="Arial" w:hint="eastAsia"/>
          <w:lang w:val="en-US" w:eastAsia="ja-JP"/>
        </w:rPr>
        <w:t xml:space="preserve"> </w:t>
      </w:r>
      <w:r>
        <w:rPr>
          <w:rFonts w:cs="Arial"/>
          <w:lang w:val="en-US" w:eastAsia="ja-JP"/>
        </w:rPr>
        <w:t>–</w:t>
      </w:r>
      <w:r>
        <w:rPr>
          <w:rFonts w:cs="Arial" w:hint="eastAsia"/>
          <w:lang w:val="en-US" w:eastAsia="ja-JP"/>
        </w:rPr>
        <w:t xml:space="preserve"> </w:t>
      </w:r>
      <w:r>
        <w:rPr>
          <w:rFonts w:cs="Arial"/>
          <w:lang w:val="en-US" w:eastAsia="ja-JP"/>
        </w:rPr>
        <w:t>19</w:t>
      </w:r>
      <w:r>
        <w:rPr>
          <w:rFonts w:cs="Arial" w:hint="eastAsia"/>
          <w:vertAlign w:val="superscript"/>
          <w:lang w:val="en-US" w:eastAsia="ja-JP"/>
        </w:rPr>
        <w:t>th</w:t>
      </w:r>
      <w:r w:rsidRPr="00802E96">
        <w:rPr>
          <w:rFonts w:cs="Arial"/>
          <w:lang w:val="en-US" w:eastAsia="ja-JP"/>
        </w:rPr>
        <w:t xml:space="preserve"> </w:t>
      </w:r>
      <w:r>
        <w:rPr>
          <w:rFonts w:cs="Arial"/>
          <w:lang w:val="en-US" w:eastAsia="ja-JP"/>
        </w:rPr>
        <w:t>October</w:t>
      </w:r>
      <w:r w:rsidRPr="00802E96">
        <w:rPr>
          <w:rFonts w:cs="Arial"/>
          <w:lang w:val="en-US" w:eastAsia="ja-JP"/>
        </w:rPr>
        <w:t xml:space="preserve"> 20</w:t>
      </w:r>
      <w:r>
        <w:rPr>
          <w:rFonts w:cs="Arial" w:hint="eastAsia"/>
          <w:lang w:val="en-US" w:eastAsia="ja-JP"/>
        </w:rPr>
        <w:t>21</w:t>
      </w:r>
    </w:p>
    <w:p w14:paraId="099E59F1" w14:textId="18159077" w:rsidR="00DB7D65" w:rsidRPr="00863065" w:rsidRDefault="00952C0F" w:rsidP="00DB7D65">
      <w:pPr>
        <w:pStyle w:val="af6"/>
        <w:pBdr>
          <w:bottom w:val="single" w:sz="4" w:space="1" w:color="auto"/>
        </w:pBdr>
        <w:tabs>
          <w:tab w:val="left" w:pos="709"/>
        </w:tabs>
        <w:spacing w:after="0"/>
        <w:jc w:val="left"/>
        <w:rPr>
          <w:rFonts w:cs="Arial"/>
          <w:lang w:val="en-US" w:eastAsia="ja-JP"/>
        </w:rPr>
      </w:pPr>
      <w:r>
        <w:rPr>
          <w:rFonts w:cs="Arial"/>
          <w:lang w:val="en-US" w:eastAsia="ja-JP"/>
        </w:rPr>
        <w:t>e-Meeting</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7B1CA963"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FD18D6">
        <w:rPr>
          <w:rFonts w:ascii="Arial" w:hAnsi="Arial" w:cs="Arial"/>
          <w:b/>
          <w:sz w:val="24"/>
        </w:rPr>
        <w:t>Reduced maximum UE bandwidth for RedCap</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2670A359"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3A7E63">
        <w:rPr>
          <w:rFonts w:ascii="Arial" w:hAnsi="Arial" w:cs="Arial"/>
          <w:b/>
          <w:sz w:val="24"/>
          <w:lang w:eastAsia="ja-JP"/>
        </w:rPr>
        <w:t>8.6.1.1</w:t>
      </w:r>
      <w:r w:rsidR="003A7E63">
        <w:rPr>
          <w:rFonts w:ascii="Arial" w:hAnsi="Arial" w:cs="Arial"/>
          <w:b/>
          <w:sz w:val="24"/>
          <w:lang w:eastAsia="ja-JP"/>
        </w:rPr>
        <w:tab/>
        <w:t>-</w:t>
      </w:r>
      <w:r w:rsidR="003A7E63">
        <w:rPr>
          <w:rFonts w:ascii="Arial" w:hAnsi="Arial" w:cs="Arial"/>
          <w:b/>
          <w:sz w:val="24"/>
          <w:lang w:eastAsia="ja-JP"/>
        </w:rPr>
        <w:tab/>
      </w:r>
      <w:r w:rsidR="003A7E63" w:rsidRPr="003A7E63">
        <w:rPr>
          <w:rFonts w:ascii="Arial" w:hAnsi="Arial" w:cs="Arial"/>
          <w:b/>
          <w:sz w:val="24"/>
          <w:lang w:eastAsia="ja-JP"/>
        </w:rPr>
        <w:t>Aspects related to reduced maximum UE bandwidth</w:t>
      </w:r>
    </w:p>
    <w:p w14:paraId="091736C7" w14:textId="064030B8" w:rsidR="009F1C34" w:rsidRDefault="009479FA" w:rsidP="00BD7EED">
      <w:pPr>
        <w:pStyle w:val="2"/>
        <w:numPr>
          <w:ilvl w:val="0"/>
          <w:numId w:val="1"/>
        </w:numPr>
        <w:rPr>
          <w:rFonts w:cs="Arial"/>
          <w:lang w:eastAsia="ja-JP"/>
        </w:rPr>
      </w:pPr>
      <w:r w:rsidRPr="00863065">
        <w:rPr>
          <w:rFonts w:cs="Arial"/>
          <w:lang w:eastAsia="ja-JP"/>
        </w:rPr>
        <w:t>Introduction</w:t>
      </w:r>
    </w:p>
    <w:p w14:paraId="6799B485" w14:textId="51D255D4" w:rsidR="00284E31" w:rsidRPr="00284E31" w:rsidRDefault="006B364E" w:rsidP="00284E31">
      <w:pPr>
        <w:rPr>
          <w:lang w:eastAsia="ja-JP"/>
        </w:rPr>
      </w:pPr>
      <w:r>
        <w:rPr>
          <w:rFonts w:hint="eastAsia"/>
          <w:lang w:eastAsia="ja-JP"/>
        </w:rPr>
        <w:t xml:space="preserve">At RAN1 #106-e, </w:t>
      </w:r>
      <w:r w:rsidR="00893F83">
        <w:rPr>
          <w:lang w:eastAsia="ja-JP"/>
        </w:rPr>
        <w:t>the operation</w:t>
      </w:r>
      <w:r w:rsidR="002743AE">
        <w:rPr>
          <w:lang w:eastAsia="ja-JP"/>
        </w:rPr>
        <w:t xml:space="preserve"> of the separate initial DL/UL BWP and the active BWP for RedCap UEs was extensively discussed. The following proposal was made </w:t>
      </w:r>
      <w:r w:rsidR="00790C3F">
        <w:rPr>
          <w:lang w:eastAsia="ja-JP"/>
        </w:rPr>
        <w:t>, but not agreed in the last meeting.</w:t>
      </w:r>
    </w:p>
    <w:p w14:paraId="5A9D3261" w14:textId="103C6857" w:rsidR="00137660" w:rsidRDefault="00137660" w:rsidP="0020440C">
      <w:pPr>
        <w:pStyle w:val="ZTD"/>
        <w:framePr w:wrap="notBeside"/>
        <w:rPr>
          <w:lang w:eastAsia="ja-JP"/>
        </w:rPr>
      </w:pPr>
    </w:p>
    <w:tbl>
      <w:tblPr>
        <w:tblStyle w:val="af4"/>
        <w:tblW w:w="0" w:type="auto"/>
        <w:tblLook w:val="04A0" w:firstRow="1" w:lastRow="0" w:firstColumn="1" w:lastColumn="0" w:noHBand="0" w:noVBand="1"/>
      </w:tblPr>
      <w:tblGrid>
        <w:gridCol w:w="9629"/>
      </w:tblGrid>
      <w:tr w:rsidR="00C07536" w14:paraId="7E2A3DAB" w14:textId="77777777" w:rsidTr="00C07536">
        <w:tc>
          <w:tcPr>
            <w:tcW w:w="9629" w:type="dxa"/>
          </w:tcPr>
          <w:p w14:paraId="4F5127F2" w14:textId="77777777" w:rsidR="00C07536" w:rsidRDefault="00C07536" w:rsidP="00C07536">
            <w:pPr>
              <w:rPr>
                <w:b/>
                <w:bCs/>
              </w:rPr>
            </w:pPr>
            <w:r>
              <w:rPr>
                <w:b/>
                <w:bCs/>
                <w:highlight w:val="yellow"/>
              </w:rPr>
              <w:t>High Priority Proposal 2.2-6o</w:t>
            </w:r>
            <w:r>
              <w:rPr>
                <w:b/>
                <w:bCs/>
              </w:rPr>
              <w:t>:</w:t>
            </w:r>
          </w:p>
          <w:p w14:paraId="7776563D" w14:textId="77777777" w:rsidR="00C07536" w:rsidRDefault="00C07536" w:rsidP="00C07536">
            <w:pPr>
              <w:pStyle w:val="afa"/>
              <w:numPr>
                <w:ilvl w:val="0"/>
                <w:numId w:val="18"/>
              </w:numPr>
              <w:rPr>
                <w:rFonts w:ascii="Times New Roman" w:hAnsi="Times New Roman" w:cs="Times New Roman"/>
                <w:b/>
                <w:bCs/>
                <w:sz w:val="20"/>
                <w:szCs w:val="20"/>
                <w:lang w:val="en-GB" w:eastAsia="en-US"/>
              </w:rPr>
            </w:pPr>
            <w:r>
              <w:rPr>
                <w:rFonts w:ascii="Times New Roman" w:hAnsi="Times New Roman" w:cs="Times New Roman"/>
                <w:b/>
                <w:bCs/>
                <w:sz w:val="20"/>
                <w:szCs w:val="20"/>
              </w:rPr>
              <w:t>Regarding random access in idle/inactive mode in separate initial DL BWP for RedCap UEs in FR1,</w:t>
            </w:r>
          </w:p>
          <w:p w14:paraId="11D74E82" w14:textId="77777777" w:rsidR="00C07536" w:rsidRDefault="00C07536" w:rsidP="00C07536">
            <w:pPr>
              <w:pStyle w:val="afa"/>
              <w:numPr>
                <w:ilvl w:val="1"/>
                <w:numId w:val="18"/>
              </w:numPr>
              <w:rPr>
                <w:rFonts w:ascii="Times New Roman" w:hAnsi="Times New Roman" w:cs="Times New Roman"/>
                <w:b/>
                <w:bCs/>
                <w:sz w:val="20"/>
                <w:szCs w:val="20"/>
              </w:rPr>
            </w:pPr>
            <w:r>
              <w:rPr>
                <w:rFonts w:ascii="Times New Roman" w:hAnsi="Times New Roman" w:cs="Times New Roman"/>
                <w:b/>
                <w:bCs/>
                <w:sz w:val="20"/>
                <w:szCs w:val="20"/>
              </w:rPr>
              <w:t>If a separate initial DL BWP for RedCap UEs is configured in FR1, is configured for random access, including CORESET/CSS for random access.</w:t>
            </w:r>
          </w:p>
          <w:p w14:paraId="0BEB9DE2" w14:textId="77777777" w:rsidR="00C07536" w:rsidRDefault="00C07536" w:rsidP="00C07536">
            <w:pPr>
              <w:pStyle w:val="afa"/>
              <w:numPr>
                <w:ilvl w:val="1"/>
                <w:numId w:val="18"/>
              </w:numPr>
              <w:rPr>
                <w:rFonts w:ascii="Times New Roman" w:hAnsi="Times New Roman" w:cs="Times New Roman"/>
                <w:b/>
                <w:bCs/>
                <w:sz w:val="20"/>
                <w:szCs w:val="20"/>
              </w:rPr>
            </w:pPr>
            <w:r>
              <w:rPr>
                <w:rFonts w:ascii="Times New Roman" w:hAnsi="Times New Roman" w:cs="Times New Roman"/>
                <w:b/>
                <w:bCs/>
                <w:sz w:val="20"/>
                <w:szCs w:val="20"/>
              </w:rPr>
              <w:t xml:space="preserve">If the separate initial DL BWP is </w:t>
            </w:r>
            <w:r>
              <w:rPr>
                <w:rFonts w:ascii="Times New Roman" w:hAnsi="Times New Roman" w:cs="Times New Roman"/>
                <w:b/>
                <w:bCs/>
                <w:strike/>
                <w:color w:val="FF0000"/>
                <w:sz w:val="20"/>
                <w:szCs w:val="20"/>
              </w:rPr>
              <w:t>only</w:t>
            </w:r>
            <w:r>
              <w:rPr>
                <w:rFonts w:ascii="Times New Roman" w:hAnsi="Times New Roman" w:cs="Times New Roman"/>
                <w:b/>
                <w:bCs/>
                <w:color w:val="FF0000"/>
                <w:sz w:val="20"/>
                <w:szCs w:val="20"/>
              </w:rPr>
              <w:t xml:space="preserve"> </w:t>
            </w:r>
            <w:r>
              <w:rPr>
                <w:rFonts w:ascii="Times New Roman" w:hAnsi="Times New Roman" w:cs="Times New Roman"/>
                <w:b/>
                <w:bCs/>
                <w:sz w:val="20"/>
                <w:szCs w:val="20"/>
              </w:rPr>
              <w:t>configured for random access</w:t>
            </w:r>
            <w:r>
              <w:rPr>
                <w:rFonts w:ascii="Times New Roman" w:hAnsi="Times New Roman" w:cs="Times New Roman"/>
                <w:b/>
                <w:bCs/>
                <w:color w:val="FF0000"/>
                <w:sz w:val="20"/>
                <w:szCs w:val="20"/>
              </w:rPr>
              <w:t xml:space="preserve"> but not for paging</w:t>
            </w:r>
            <w:r>
              <w:rPr>
                <w:rFonts w:ascii="Times New Roman" w:hAnsi="Times New Roman" w:cs="Times New Roman"/>
                <w:b/>
                <w:bCs/>
                <w:sz w:val="20"/>
                <w:szCs w:val="20"/>
              </w:rPr>
              <w:t xml:space="preserve">, then the UE </w:t>
            </w:r>
            <w:r>
              <w:rPr>
                <w:rFonts w:ascii="Times New Roman" w:hAnsi="Times New Roman" w:cs="Times New Roman"/>
                <w:b/>
                <w:bCs/>
                <w:strike/>
                <w:color w:val="FF0000"/>
                <w:sz w:val="20"/>
                <w:szCs w:val="20"/>
              </w:rPr>
              <w:t>will not</w:t>
            </w:r>
            <w:r>
              <w:rPr>
                <w:rFonts w:ascii="Times New Roman" w:hAnsi="Times New Roman" w:cs="Times New Roman"/>
                <w:b/>
                <w:bCs/>
                <w:color w:val="FF0000"/>
                <w:sz w:val="20"/>
                <w:szCs w:val="20"/>
              </w:rPr>
              <w:t xml:space="preserve"> shall not </w:t>
            </w:r>
            <w:r>
              <w:rPr>
                <w:rFonts w:ascii="Times New Roman" w:hAnsi="Times New Roman" w:cs="Times New Roman"/>
                <w:b/>
                <w:bCs/>
                <w:sz w:val="20"/>
                <w:szCs w:val="20"/>
              </w:rPr>
              <w:t>expect SSB transmission in the separate initial DL BWP.</w:t>
            </w:r>
          </w:p>
          <w:p w14:paraId="6914939B" w14:textId="77777777" w:rsidR="00C07536" w:rsidRDefault="00C07536" w:rsidP="00C07536">
            <w:pPr>
              <w:pStyle w:val="afa"/>
              <w:numPr>
                <w:ilvl w:val="2"/>
                <w:numId w:val="18"/>
              </w:numPr>
              <w:rPr>
                <w:rFonts w:ascii="Times New Roman" w:hAnsi="Times New Roman" w:cs="Times New Roman"/>
                <w:b/>
                <w:bCs/>
                <w:sz w:val="20"/>
                <w:szCs w:val="20"/>
              </w:rPr>
            </w:pPr>
            <w:r>
              <w:rPr>
                <w:rFonts w:ascii="Times New Roman" w:hAnsi="Times New Roman" w:cs="Times New Roman"/>
                <w:b/>
                <w:bCs/>
                <w:sz w:val="20"/>
                <w:szCs w:val="20"/>
              </w:rPr>
              <w:t xml:space="preserve">Note: The network may </w:t>
            </w:r>
            <w:r>
              <w:rPr>
                <w:rFonts w:ascii="Times New Roman" w:hAnsi="Times New Roman" w:cs="Times New Roman"/>
                <w:b/>
                <w:bCs/>
                <w:strike/>
                <w:color w:val="FF0000"/>
                <w:sz w:val="20"/>
                <w:szCs w:val="20"/>
              </w:rPr>
              <w:t>or may not</w:t>
            </w:r>
            <w:r>
              <w:rPr>
                <w:rFonts w:ascii="Times New Roman" w:hAnsi="Times New Roman" w:cs="Times New Roman"/>
                <w:b/>
                <w:bCs/>
                <w:sz w:val="20"/>
                <w:szCs w:val="20"/>
              </w:rPr>
              <w:t xml:space="preserve"> configure SSB in this case.</w:t>
            </w:r>
          </w:p>
          <w:p w14:paraId="556F9D77" w14:textId="77777777" w:rsidR="00C07536" w:rsidRDefault="00C07536" w:rsidP="00C07536">
            <w:pPr>
              <w:pStyle w:val="afa"/>
              <w:numPr>
                <w:ilvl w:val="0"/>
                <w:numId w:val="18"/>
              </w:numPr>
              <w:rPr>
                <w:rFonts w:ascii="Times New Roman" w:hAnsi="Times New Roman" w:cs="Times New Roman"/>
                <w:b/>
                <w:bCs/>
                <w:sz w:val="20"/>
                <w:szCs w:val="20"/>
                <w:lang w:val="en-GB" w:eastAsia="en-US"/>
              </w:rPr>
            </w:pPr>
            <w:r>
              <w:rPr>
                <w:rFonts w:ascii="Times New Roman" w:hAnsi="Times New Roman" w:cs="Times New Roman"/>
                <w:b/>
                <w:bCs/>
                <w:sz w:val="20"/>
                <w:szCs w:val="20"/>
              </w:rPr>
              <w:t>Regarding paging in idle/inactive mode in separate initial DL BWP for RedCap UEs in FR1,</w:t>
            </w:r>
          </w:p>
          <w:p w14:paraId="35F8B73F" w14:textId="77777777" w:rsidR="00C07536" w:rsidRDefault="00C07536" w:rsidP="00C07536">
            <w:pPr>
              <w:pStyle w:val="afa"/>
              <w:numPr>
                <w:ilvl w:val="1"/>
                <w:numId w:val="18"/>
              </w:numPr>
              <w:rPr>
                <w:rFonts w:ascii="Times New Roman" w:hAnsi="Times New Roman" w:cs="Times New Roman"/>
                <w:b/>
                <w:bCs/>
                <w:sz w:val="20"/>
                <w:szCs w:val="20"/>
              </w:rPr>
            </w:pPr>
            <w:r>
              <w:rPr>
                <w:rFonts w:ascii="Times New Roman" w:hAnsi="Times New Roman" w:cs="Times New Roman"/>
                <w:b/>
                <w:bCs/>
                <w:sz w:val="20"/>
                <w:szCs w:val="20"/>
              </w:rPr>
              <w:t>From RAN1 perspective, if a separate initial DL BWP for RedCap UEs is configured in FR1, it can be configured for paging, including CORESET/CSS for paging.</w:t>
            </w:r>
          </w:p>
          <w:p w14:paraId="219ABDA3" w14:textId="77777777" w:rsidR="00C07536" w:rsidRDefault="00C07536" w:rsidP="00C07536">
            <w:pPr>
              <w:pStyle w:val="afa"/>
              <w:numPr>
                <w:ilvl w:val="1"/>
                <w:numId w:val="18"/>
              </w:numPr>
              <w:rPr>
                <w:rFonts w:ascii="Times New Roman" w:hAnsi="Times New Roman" w:cs="Times New Roman"/>
                <w:b/>
                <w:bCs/>
                <w:sz w:val="20"/>
                <w:szCs w:val="20"/>
              </w:rPr>
            </w:pPr>
            <w:r>
              <w:rPr>
                <w:rFonts w:ascii="Times New Roman" w:hAnsi="Times New Roman" w:cs="Times New Roman"/>
                <w:b/>
                <w:bCs/>
                <w:sz w:val="20"/>
                <w:szCs w:val="20"/>
              </w:rPr>
              <w:t>FFS: If the separate initial DL BWP is configured for paging, then the UE [</w:t>
            </w:r>
            <w:r>
              <w:rPr>
                <w:rFonts w:ascii="Times New Roman" w:hAnsi="Times New Roman" w:cs="Times New Roman"/>
                <w:b/>
                <w:bCs/>
                <w:strike/>
                <w:color w:val="FF0000"/>
                <w:sz w:val="20"/>
                <w:szCs w:val="20"/>
              </w:rPr>
              <w:t>expects</w:t>
            </w:r>
            <w:r>
              <w:rPr>
                <w:rFonts w:ascii="Times New Roman" w:hAnsi="Times New Roman" w:cs="Times New Roman"/>
                <w:b/>
                <w:bCs/>
                <w:color w:val="FF0000"/>
                <w:sz w:val="20"/>
                <w:szCs w:val="20"/>
              </w:rPr>
              <w:t xml:space="preserve"> may expect</w:t>
            </w:r>
            <w:r>
              <w:rPr>
                <w:rFonts w:ascii="Times New Roman" w:hAnsi="Times New Roman" w:cs="Times New Roman"/>
                <w:b/>
                <w:bCs/>
                <w:sz w:val="20"/>
                <w:szCs w:val="20"/>
              </w:rPr>
              <w:t xml:space="preserve"> / </w:t>
            </w:r>
            <w:r>
              <w:rPr>
                <w:rFonts w:ascii="Times New Roman" w:hAnsi="Times New Roman" w:cs="Times New Roman"/>
                <w:b/>
                <w:bCs/>
                <w:strike/>
                <w:color w:val="FF0000"/>
                <w:sz w:val="20"/>
                <w:szCs w:val="20"/>
              </w:rPr>
              <w:t>will not expect</w:t>
            </w:r>
            <w:r>
              <w:rPr>
                <w:rFonts w:ascii="Times New Roman" w:hAnsi="Times New Roman" w:cs="Times New Roman"/>
                <w:b/>
                <w:bCs/>
                <w:color w:val="FF0000"/>
                <w:sz w:val="20"/>
                <w:szCs w:val="20"/>
              </w:rPr>
              <w:t xml:space="preserve"> shall not expect</w:t>
            </w:r>
            <w:r>
              <w:rPr>
                <w:rFonts w:ascii="Times New Roman" w:hAnsi="Times New Roman" w:cs="Times New Roman"/>
                <w:b/>
                <w:bCs/>
                <w:sz w:val="20"/>
                <w:szCs w:val="20"/>
              </w:rPr>
              <w:t>] SSB transmission in the separate initial DL BWP.</w:t>
            </w:r>
          </w:p>
          <w:p w14:paraId="4869D036" w14:textId="77777777" w:rsidR="00C07536" w:rsidRDefault="00C07536" w:rsidP="00C07536">
            <w:pPr>
              <w:pStyle w:val="afa"/>
              <w:numPr>
                <w:ilvl w:val="2"/>
                <w:numId w:val="18"/>
              </w:numPr>
              <w:rPr>
                <w:rFonts w:ascii="Times New Roman" w:hAnsi="Times New Roman" w:cs="Times New Roman"/>
                <w:b/>
                <w:bCs/>
                <w:sz w:val="20"/>
                <w:szCs w:val="20"/>
              </w:rPr>
            </w:pPr>
            <w:r>
              <w:rPr>
                <w:rFonts w:ascii="Times New Roman" w:hAnsi="Times New Roman" w:cs="Times New Roman"/>
                <w:b/>
                <w:bCs/>
                <w:color w:val="FF0000"/>
                <w:sz w:val="20"/>
                <w:szCs w:val="20"/>
              </w:rPr>
              <w:t xml:space="preserve">FFS: </w:t>
            </w:r>
            <w:r>
              <w:rPr>
                <w:rFonts w:ascii="Times New Roman" w:hAnsi="Times New Roman" w:cs="Times New Roman"/>
                <w:b/>
                <w:bCs/>
                <w:sz w:val="20"/>
                <w:szCs w:val="20"/>
              </w:rPr>
              <w:t xml:space="preserve">Note: The network may </w:t>
            </w:r>
            <w:r>
              <w:rPr>
                <w:rFonts w:ascii="Times New Roman" w:hAnsi="Times New Roman" w:cs="Times New Roman"/>
                <w:b/>
                <w:bCs/>
                <w:strike/>
                <w:color w:val="FF0000"/>
                <w:sz w:val="20"/>
                <w:szCs w:val="20"/>
              </w:rPr>
              <w:t>or may not</w:t>
            </w:r>
            <w:r>
              <w:rPr>
                <w:rFonts w:ascii="Times New Roman" w:hAnsi="Times New Roman" w:cs="Times New Roman"/>
                <w:b/>
                <w:bCs/>
                <w:sz w:val="20"/>
                <w:szCs w:val="20"/>
              </w:rPr>
              <w:t xml:space="preserve"> configure SSB in this case.</w:t>
            </w:r>
          </w:p>
          <w:p w14:paraId="1E6571B9" w14:textId="77777777" w:rsidR="00C07536" w:rsidRDefault="00C07536" w:rsidP="00C07536">
            <w:pPr>
              <w:pStyle w:val="afa"/>
              <w:numPr>
                <w:ilvl w:val="0"/>
                <w:numId w:val="18"/>
              </w:numPr>
              <w:rPr>
                <w:rFonts w:ascii="Times New Roman" w:hAnsi="Times New Roman" w:cs="Times New Roman"/>
                <w:b/>
                <w:bCs/>
                <w:sz w:val="20"/>
                <w:szCs w:val="20"/>
              </w:rPr>
            </w:pPr>
            <w:r>
              <w:rPr>
                <w:rFonts w:ascii="Times New Roman" w:hAnsi="Times New Roman" w:cs="Times New Roman"/>
                <w:b/>
                <w:bCs/>
                <w:sz w:val="20"/>
                <w:szCs w:val="20"/>
              </w:rPr>
              <w:t>Regarding CORESET#0 and SIB1 in idle/inactive/connected mode for RedCap UEs in FR1,</w:t>
            </w:r>
          </w:p>
          <w:p w14:paraId="34C89256" w14:textId="77777777" w:rsidR="00C07536" w:rsidRDefault="00C07536" w:rsidP="00C07536">
            <w:pPr>
              <w:pStyle w:val="afa"/>
              <w:numPr>
                <w:ilvl w:val="1"/>
                <w:numId w:val="18"/>
              </w:numPr>
              <w:rPr>
                <w:rFonts w:ascii="Times New Roman" w:hAnsi="Times New Roman" w:cs="Times New Roman"/>
                <w:b/>
                <w:bCs/>
                <w:sz w:val="20"/>
                <w:szCs w:val="20"/>
              </w:rPr>
            </w:pPr>
            <w:r>
              <w:rPr>
                <w:rFonts w:ascii="Times New Roman" w:hAnsi="Times New Roman" w:cs="Times New Roman"/>
                <w:b/>
                <w:bCs/>
                <w:sz w:val="20"/>
                <w:szCs w:val="20"/>
              </w:rPr>
              <w:t xml:space="preserve">If a separate initial DL BWP for RedCap UEs is configured in FR1, then the UE </w:t>
            </w:r>
            <w:r>
              <w:rPr>
                <w:rFonts w:ascii="Times New Roman" w:hAnsi="Times New Roman" w:cs="Times New Roman"/>
                <w:b/>
                <w:bCs/>
                <w:strike/>
                <w:color w:val="FF0000"/>
                <w:sz w:val="20"/>
                <w:szCs w:val="20"/>
              </w:rPr>
              <w:t>will not</w:t>
            </w:r>
            <w:r>
              <w:rPr>
                <w:rFonts w:ascii="Times New Roman" w:hAnsi="Times New Roman" w:cs="Times New Roman"/>
                <w:b/>
                <w:bCs/>
                <w:color w:val="FF0000"/>
                <w:sz w:val="20"/>
                <w:szCs w:val="20"/>
              </w:rPr>
              <w:t xml:space="preserve"> shall not </w:t>
            </w:r>
            <w:r>
              <w:rPr>
                <w:rFonts w:ascii="Times New Roman" w:hAnsi="Times New Roman" w:cs="Times New Roman"/>
                <w:b/>
                <w:bCs/>
                <w:sz w:val="20"/>
                <w:szCs w:val="20"/>
              </w:rPr>
              <w:t>expect it to contain MIB-configured CORESET#0 or SIB1.</w:t>
            </w:r>
          </w:p>
          <w:p w14:paraId="0DA2B5B4" w14:textId="77777777" w:rsidR="00C07536" w:rsidRDefault="00C07536" w:rsidP="00C07536">
            <w:pPr>
              <w:pStyle w:val="afa"/>
              <w:numPr>
                <w:ilvl w:val="2"/>
                <w:numId w:val="18"/>
              </w:numPr>
              <w:rPr>
                <w:rFonts w:ascii="Times New Roman" w:hAnsi="Times New Roman" w:cs="Times New Roman"/>
                <w:b/>
                <w:bCs/>
                <w:sz w:val="20"/>
                <w:szCs w:val="20"/>
              </w:rPr>
            </w:pPr>
            <w:r>
              <w:rPr>
                <w:rFonts w:ascii="Times New Roman" w:hAnsi="Times New Roman" w:cs="Times New Roman"/>
                <w:b/>
                <w:bCs/>
                <w:sz w:val="20"/>
                <w:szCs w:val="20"/>
              </w:rPr>
              <w:t xml:space="preserve">Note: The network may </w:t>
            </w:r>
            <w:r>
              <w:rPr>
                <w:rFonts w:ascii="Times New Roman" w:hAnsi="Times New Roman" w:cs="Times New Roman"/>
                <w:b/>
                <w:bCs/>
                <w:strike/>
                <w:color w:val="FF0000"/>
                <w:sz w:val="20"/>
                <w:szCs w:val="20"/>
              </w:rPr>
              <w:t>or may not</w:t>
            </w:r>
            <w:r>
              <w:rPr>
                <w:rFonts w:ascii="Times New Roman" w:hAnsi="Times New Roman" w:cs="Times New Roman"/>
                <w:b/>
                <w:bCs/>
                <w:sz w:val="20"/>
                <w:szCs w:val="20"/>
              </w:rPr>
              <w:t xml:space="preserve"> configure </w:t>
            </w:r>
            <w:r>
              <w:rPr>
                <w:rFonts w:ascii="Times New Roman" w:hAnsi="Times New Roman" w:cs="Times New Roman"/>
                <w:b/>
                <w:bCs/>
                <w:color w:val="FF0000"/>
                <w:sz w:val="20"/>
                <w:szCs w:val="20"/>
              </w:rPr>
              <w:t>MIB-configured</w:t>
            </w:r>
            <w:r>
              <w:rPr>
                <w:rFonts w:ascii="Times New Roman" w:hAnsi="Times New Roman" w:cs="Times New Roman"/>
                <w:b/>
                <w:bCs/>
                <w:sz w:val="20"/>
                <w:szCs w:val="20"/>
              </w:rPr>
              <w:t xml:space="preserve"> CORESET#0 or SIB1 to be within the separate initial DL BWP.</w:t>
            </w:r>
          </w:p>
          <w:p w14:paraId="3621604E" w14:textId="77777777" w:rsidR="00C07536" w:rsidRDefault="00C07536" w:rsidP="00C07536">
            <w:pPr>
              <w:pStyle w:val="afa"/>
              <w:numPr>
                <w:ilvl w:val="1"/>
                <w:numId w:val="18"/>
              </w:numPr>
              <w:rPr>
                <w:rFonts w:ascii="Times New Roman" w:hAnsi="Times New Roman" w:cs="Times New Roman"/>
                <w:b/>
                <w:bCs/>
                <w:sz w:val="20"/>
                <w:szCs w:val="20"/>
              </w:rPr>
            </w:pPr>
            <w:r>
              <w:rPr>
                <w:rFonts w:ascii="Times New Roman" w:hAnsi="Times New Roman" w:cs="Times New Roman"/>
                <w:b/>
                <w:bCs/>
                <w:sz w:val="20"/>
                <w:szCs w:val="20"/>
              </w:rPr>
              <w:t xml:space="preserve">If an RRC-configured DL BWP is configured in FR1, then the UE </w:t>
            </w:r>
            <w:r>
              <w:rPr>
                <w:rFonts w:ascii="Times New Roman" w:hAnsi="Times New Roman" w:cs="Times New Roman"/>
                <w:b/>
                <w:bCs/>
                <w:strike/>
                <w:color w:val="FF0000"/>
                <w:sz w:val="20"/>
                <w:szCs w:val="20"/>
              </w:rPr>
              <w:t>will not</w:t>
            </w:r>
            <w:r>
              <w:rPr>
                <w:rFonts w:ascii="Times New Roman" w:hAnsi="Times New Roman" w:cs="Times New Roman"/>
                <w:b/>
                <w:bCs/>
                <w:color w:val="FF0000"/>
                <w:sz w:val="20"/>
                <w:szCs w:val="20"/>
              </w:rPr>
              <w:t xml:space="preserve"> shall not </w:t>
            </w:r>
            <w:r>
              <w:rPr>
                <w:rFonts w:ascii="Times New Roman" w:hAnsi="Times New Roman" w:cs="Times New Roman"/>
                <w:b/>
                <w:bCs/>
                <w:sz w:val="20"/>
                <w:szCs w:val="20"/>
              </w:rPr>
              <w:t>expect it to contain MIB-configured CORESET#0 or SIB1.</w:t>
            </w:r>
          </w:p>
          <w:p w14:paraId="397866BB" w14:textId="77777777" w:rsidR="00C07536" w:rsidRDefault="00C07536" w:rsidP="00C07536">
            <w:pPr>
              <w:pStyle w:val="afa"/>
              <w:numPr>
                <w:ilvl w:val="2"/>
                <w:numId w:val="18"/>
              </w:numPr>
              <w:rPr>
                <w:rFonts w:ascii="Times New Roman" w:hAnsi="Times New Roman" w:cs="Times New Roman"/>
                <w:b/>
                <w:bCs/>
                <w:sz w:val="20"/>
                <w:szCs w:val="20"/>
              </w:rPr>
            </w:pPr>
            <w:r>
              <w:rPr>
                <w:rFonts w:ascii="Times New Roman" w:hAnsi="Times New Roman" w:cs="Times New Roman"/>
                <w:b/>
                <w:bCs/>
                <w:sz w:val="20"/>
                <w:szCs w:val="20"/>
              </w:rPr>
              <w:t xml:space="preserve">Note: The network may </w:t>
            </w:r>
            <w:r>
              <w:rPr>
                <w:rFonts w:ascii="Times New Roman" w:hAnsi="Times New Roman" w:cs="Times New Roman"/>
                <w:b/>
                <w:bCs/>
                <w:strike/>
                <w:color w:val="FF0000"/>
                <w:sz w:val="20"/>
                <w:szCs w:val="20"/>
              </w:rPr>
              <w:t>or may not</w:t>
            </w:r>
            <w:r>
              <w:rPr>
                <w:rFonts w:ascii="Times New Roman" w:hAnsi="Times New Roman" w:cs="Times New Roman"/>
                <w:b/>
                <w:bCs/>
                <w:sz w:val="20"/>
                <w:szCs w:val="20"/>
              </w:rPr>
              <w:t xml:space="preserve"> configure </w:t>
            </w:r>
            <w:r>
              <w:rPr>
                <w:rFonts w:ascii="Times New Roman" w:hAnsi="Times New Roman" w:cs="Times New Roman"/>
                <w:b/>
                <w:bCs/>
                <w:color w:val="FF0000"/>
                <w:sz w:val="20"/>
                <w:szCs w:val="20"/>
              </w:rPr>
              <w:t>MIB-configured</w:t>
            </w:r>
            <w:r>
              <w:rPr>
                <w:rFonts w:ascii="Times New Roman" w:hAnsi="Times New Roman" w:cs="Times New Roman"/>
                <w:b/>
                <w:bCs/>
                <w:sz w:val="20"/>
                <w:szCs w:val="20"/>
              </w:rPr>
              <w:t xml:space="preserve"> CORESET#0 or SIB1 to be within the RRC-configured DL BWP.</w:t>
            </w:r>
          </w:p>
          <w:p w14:paraId="5B09D7F8" w14:textId="77777777" w:rsidR="00C07536" w:rsidRDefault="00C07536" w:rsidP="00C07536">
            <w:pPr>
              <w:pStyle w:val="afa"/>
              <w:numPr>
                <w:ilvl w:val="1"/>
                <w:numId w:val="18"/>
              </w:numPr>
              <w:rPr>
                <w:rFonts w:ascii="Times New Roman" w:hAnsi="Times New Roman" w:cs="Times New Roman"/>
                <w:b/>
                <w:bCs/>
                <w:color w:val="FF0000"/>
                <w:sz w:val="20"/>
                <w:szCs w:val="20"/>
              </w:rPr>
            </w:pPr>
            <w:r>
              <w:rPr>
                <w:rFonts w:ascii="Times New Roman" w:hAnsi="Times New Roman" w:cs="Times New Roman"/>
                <w:b/>
                <w:bCs/>
                <w:color w:val="FF0000"/>
                <w:sz w:val="20"/>
                <w:szCs w:val="20"/>
              </w:rPr>
              <w:t>In connected mode, the UE is not required to monitor CORESET#0 periodically for SI updates.</w:t>
            </w:r>
          </w:p>
          <w:p w14:paraId="23AF1C3D" w14:textId="77777777" w:rsidR="00C07536" w:rsidRDefault="00C07536" w:rsidP="00C07536">
            <w:pPr>
              <w:pStyle w:val="afa"/>
              <w:numPr>
                <w:ilvl w:val="2"/>
                <w:numId w:val="18"/>
              </w:numPr>
              <w:rPr>
                <w:rFonts w:ascii="Times New Roman" w:hAnsi="Times New Roman" w:cs="Times New Roman"/>
                <w:b/>
                <w:bCs/>
                <w:color w:val="FF0000"/>
                <w:sz w:val="20"/>
                <w:szCs w:val="20"/>
              </w:rPr>
            </w:pPr>
            <w:r>
              <w:rPr>
                <w:rFonts w:ascii="Times New Roman" w:hAnsi="Times New Roman" w:cs="Times New Roman"/>
                <w:b/>
                <w:bCs/>
                <w:color w:val="FF0000"/>
                <w:sz w:val="20"/>
                <w:szCs w:val="20"/>
              </w:rPr>
              <w:t>FFS: How SI update notifications are indicated to RedCap UEs</w:t>
            </w:r>
          </w:p>
          <w:p w14:paraId="0FDB0D28" w14:textId="77777777" w:rsidR="00C07536" w:rsidRDefault="00C07536" w:rsidP="00C07536">
            <w:pPr>
              <w:pStyle w:val="afa"/>
              <w:numPr>
                <w:ilvl w:val="0"/>
                <w:numId w:val="18"/>
              </w:numPr>
              <w:rPr>
                <w:rFonts w:ascii="Times New Roman" w:hAnsi="Times New Roman" w:cs="Times New Roman"/>
                <w:b/>
                <w:bCs/>
                <w:sz w:val="20"/>
                <w:szCs w:val="20"/>
              </w:rPr>
            </w:pPr>
            <w:r>
              <w:rPr>
                <w:rFonts w:ascii="Times New Roman" w:hAnsi="Times New Roman" w:cs="Times New Roman"/>
                <w:b/>
                <w:bCs/>
                <w:sz w:val="20"/>
                <w:szCs w:val="20"/>
              </w:rPr>
              <w:t>Regarding connected mode in an RRC-configured active DL BWP for a RedCap UE in FR1,</w:t>
            </w:r>
          </w:p>
          <w:p w14:paraId="61946576" w14:textId="77777777" w:rsidR="00C07536" w:rsidRDefault="00C07536" w:rsidP="00C07536">
            <w:pPr>
              <w:pStyle w:val="afa"/>
              <w:numPr>
                <w:ilvl w:val="1"/>
                <w:numId w:val="18"/>
              </w:numPr>
              <w:rPr>
                <w:rFonts w:ascii="Times New Roman" w:hAnsi="Times New Roman" w:cs="Times New Roman"/>
                <w:b/>
                <w:bCs/>
                <w:sz w:val="20"/>
                <w:szCs w:val="20"/>
              </w:rPr>
            </w:pPr>
            <w:r>
              <w:rPr>
                <w:rFonts w:ascii="Times New Roman" w:hAnsi="Times New Roman" w:cs="Times New Roman"/>
                <w:b/>
                <w:bCs/>
                <w:sz w:val="20"/>
                <w:szCs w:val="20"/>
              </w:rPr>
              <w:t>Whether the UE can expect SSB transmission in the RRC-configured active DL BWP depends on its UE capabilities (e.g., whether it supports FG 6-1a or only FG 6-1).</w:t>
            </w:r>
          </w:p>
          <w:p w14:paraId="150546F9" w14:textId="77777777" w:rsidR="00C07536" w:rsidRDefault="00C07536" w:rsidP="00C07536">
            <w:pPr>
              <w:pStyle w:val="afa"/>
              <w:numPr>
                <w:ilvl w:val="2"/>
                <w:numId w:val="18"/>
              </w:numPr>
              <w:rPr>
                <w:rFonts w:ascii="Times New Roman" w:hAnsi="Times New Roman" w:cs="Times New Roman"/>
                <w:b/>
                <w:bCs/>
                <w:sz w:val="20"/>
                <w:szCs w:val="20"/>
              </w:rPr>
            </w:pPr>
            <w:r>
              <w:rPr>
                <w:rFonts w:ascii="Times New Roman" w:hAnsi="Times New Roman" w:cs="Times New Roman"/>
                <w:b/>
                <w:bCs/>
                <w:sz w:val="20"/>
                <w:szCs w:val="20"/>
              </w:rPr>
              <w:t xml:space="preserve">A UE not supporting operation without SSB transmission in the RRC-configured </w:t>
            </w:r>
            <w:r>
              <w:rPr>
                <w:rFonts w:ascii="Times New Roman" w:hAnsi="Times New Roman" w:cs="Times New Roman"/>
                <w:b/>
                <w:bCs/>
                <w:color w:val="FF0000"/>
                <w:sz w:val="20"/>
                <w:szCs w:val="20"/>
              </w:rPr>
              <w:t>active</w:t>
            </w:r>
            <w:r>
              <w:rPr>
                <w:rFonts w:ascii="Times New Roman" w:hAnsi="Times New Roman" w:cs="Times New Roman"/>
                <w:b/>
                <w:bCs/>
                <w:sz w:val="20"/>
                <w:szCs w:val="20"/>
              </w:rPr>
              <w:t xml:space="preserve"> DL BWP </w:t>
            </w:r>
            <w:r>
              <w:rPr>
                <w:rFonts w:ascii="Times New Roman" w:hAnsi="Times New Roman" w:cs="Times New Roman"/>
                <w:b/>
                <w:bCs/>
                <w:color w:val="FF0000"/>
                <w:sz w:val="20"/>
                <w:szCs w:val="20"/>
              </w:rPr>
              <w:t>may</w:t>
            </w:r>
            <w:r>
              <w:rPr>
                <w:rFonts w:ascii="Times New Roman" w:hAnsi="Times New Roman" w:cs="Times New Roman"/>
                <w:b/>
                <w:bCs/>
                <w:sz w:val="20"/>
                <w:szCs w:val="20"/>
              </w:rPr>
              <w:t xml:space="preserve"> expect SSB transmission in the RRC-configured </w:t>
            </w:r>
            <w:r>
              <w:rPr>
                <w:rFonts w:ascii="Times New Roman" w:hAnsi="Times New Roman" w:cs="Times New Roman"/>
                <w:b/>
                <w:bCs/>
                <w:color w:val="FF0000"/>
                <w:sz w:val="20"/>
                <w:szCs w:val="20"/>
              </w:rPr>
              <w:t>active</w:t>
            </w:r>
            <w:r>
              <w:rPr>
                <w:rFonts w:ascii="Times New Roman" w:hAnsi="Times New Roman" w:cs="Times New Roman"/>
                <w:b/>
                <w:bCs/>
                <w:sz w:val="20"/>
                <w:szCs w:val="20"/>
              </w:rPr>
              <w:t xml:space="preserve"> DL BWP.</w:t>
            </w:r>
          </w:p>
          <w:p w14:paraId="06806F8A" w14:textId="77777777" w:rsidR="00C07536" w:rsidRDefault="00C07536" w:rsidP="00C07536">
            <w:pPr>
              <w:pStyle w:val="afa"/>
              <w:numPr>
                <w:ilvl w:val="3"/>
                <w:numId w:val="18"/>
              </w:numPr>
              <w:rPr>
                <w:rFonts w:ascii="Times New Roman" w:hAnsi="Times New Roman" w:cs="Times New Roman"/>
                <w:b/>
                <w:bCs/>
                <w:color w:val="FF0000"/>
                <w:sz w:val="20"/>
                <w:szCs w:val="20"/>
              </w:rPr>
            </w:pPr>
            <w:r>
              <w:rPr>
                <w:rFonts w:ascii="Times New Roman" w:hAnsi="Times New Roman" w:cs="Times New Roman"/>
                <w:b/>
                <w:bCs/>
                <w:color w:val="FF0000"/>
                <w:sz w:val="20"/>
                <w:szCs w:val="20"/>
              </w:rPr>
              <w:t>This corresponds to mandatory RedCap UE feature.</w:t>
            </w:r>
          </w:p>
          <w:p w14:paraId="0843B3A3" w14:textId="77777777" w:rsidR="00C07536" w:rsidRDefault="00C07536" w:rsidP="00C07536">
            <w:pPr>
              <w:pStyle w:val="afa"/>
              <w:numPr>
                <w:ilvl w:val="2"/>
                <w:numId w:val="18"/>
              </w:numPr>
              <w:rPr>
                <w:rFonts w:ascii="Times New Roman" w:hAnsi="Times New Roman" w:cs="Times New Roman"/>
                <w:b/>
                <w:bCs/>
                <w:sz w:val="20"/>
                <w:szCs w:val="20"/>
              </w:rPr>
            </w:pPr>
            <w:r>
              <w:rPr>
                <w:rFonts w:ascii="Times New Roman" w:hAnsi="Times New Roman" w:cs="Times New Roman"/>
                <w:b/>
                <w:bCs/>
                <w:sz w:val="20"/>
                <w:szCs w:val="20"/>
              </w:rPr>
              <w:t xml:space="preserve">A UE </w:t>
            </w:r>
            <w:r>
              <w:rPr>
                <w:rFonts w:ascii="Times New Roman" w:hAnsi="Times New Roman" w:cs="Times New Roman"/>
                <w:b/>
                <w:bCs/>
                <w:color w:val="FF0000"/>
                <w:sz w:val="20"/>
                <w:szCs w:val="20"/>
              </w:rPr>
              <w:t>optionally</w:t>
            </w:r>
            <w:r>
              <w:rPr>
                <w:rFonts w:ascii="Times New Roman" w:hAnsi="Times New Roman" w:cs="Times New Roman"/>
                <w:b/>
                <w:bCs/>
                <w:sz w:val="20"/>
                <w:szCs w:val="20"/>
              </w:rPr>
              <w:t xml:space="preserve"> supporting operation without SSB transmission in the RRC-configured </w:t>
            </w:r>
            <w:r>
              <w:rPr>
                <w:rFonts w:ascii="Times New Roman" w:hAnsi="Times New Roman" w:cs="Times New Roman"/>
                <w:b/>
                <w:bCs/>
                <w:color w:val="FF0000"/>
                <w:sz w:val="20"/>
                <w:szCs w:val="20"/>
              </w:rPr>
              <w:t>active</w:t>
            </w:r>
            <w:r>
              <w:rPr>
                <w:rFonts w:ascii="Times New Roman" w:hAnsi="Times New Roman" w:cs="Times New Roman"/>
                <w:b/>
                <w:bCs/>
                <w:sz w:val="20"/>
                <w:szCs w:val="20"/>
              </w:rPr>
              <w:t xml:space="preserve"> DL BWP </w:t>
            </w:r>
            <w:r>
              <w:rPr>
                <w:rFonts w:ascii="Times New Roman" w:hAnsi="Times New Roman" w:cs="Times New Roman"/>
                <w:b/>
                <w:bCs/>
                <w:strike/>
                <w:color w:val="FF0000"/>
                <w:sz w:val="20"/>
                <w:szCs w:val="20"/>
              </w:rPr>
              <w:t>will not</w:t>
            </w:r>
            <w:r>
              <w:rPr>
                <w:rFonts w:ascii="Times New Roman" w:hAnsi="Times New Roman" w:cs="Times New Roman"/>
                <w:b/>
                <w:bCs/>
                <w:color w:val="FF0000"/>
                <w:sz w:val="20"/>
                <w:szCs w:val="20"/>
              </w:rPr>
              <w:t xml:space="preserve"> shall not </w:t>
            </w:r>
            <w:r>
              <w:rPr>
                <w:rFonts w:ascii="Times New Roman" w:hAnsi="Times New Roman" w:cs="Times New Roman"/>
                <w:b/>
                <w:bCs/>
                <w:sz w:val="20"/>
                <w:szCs w:val="20"/>
              </w:rPr>
              <w:t xml:space="preserve">expect SSB transmission in the RRC-configured </w:t>
            </w:r>
            <w:r>
              <w:rPr>
                <w:rFonts w:ascii="Times New Roman" w:hAnsi="Times New Roman" w:cs="Times New Roman"/>
                <w:b/>
                <w:bCs/>
                <w:color w:val="FF0000"/>
                <w:sz w:val="20"/>
                <w:szCs w:val="20"/>
              </w:rPr>
              <w:t>active</w:t>
            </w:r>
            <w:r>
              <w:rPr>
                <w:rFonts w:ascii="Times New Roman" w:hAnsi="Times New Roman" w:cs="Times New Roman"/>
                <w:b/>
                <w:bCs/>
                <w:sz w:val="20"/>
                <w:szCs w:val="20"/>
              </w:rPr>
              <w:t xml:space="preserve"> DL BWP.</w:t>
            </w:r>
          </w:p>
          <w:p w14:paraId="284F3807" w14:textId="77777777" w:rsidR="00C07536" w:rsidRDefault="00C07536" w:rsidP="00C07536">
            <w:pPr>
              <w:pStyle w:val="afa"/>
              <w:numPr>
                <w:ilvl w:val="3"/>
                <w:numId w:val="18"/>
              </w:numPr>
              <w:rPr>
                <w:rFonts w:ascii="Times New Roman" w:hAnsi="Times New Roman" w:cs="Times New Roman"/>
                <w:b/>
                <w:bCs/>
                <w:color w:val="FF0000"/>
                <w:sz w:val="20"/>
                <w:szCs w:val="20"/>
              </w:rPr>
            </w:pPr>
            <w:r>
              <w:rPr>
                <w:rFonts w:ascii="Times New Roman" w:hAnsi="Times New Roman" w:cs="Times New Roman"/>
                <w:b/>
                <w:bCs/>
                <w:color w:val="FF0000"/>
                <w:sz w:val="20"/>
                <w:szCs w:val="20"/>
              </w:rPr>
              <w:t>This corresponds to optional RedCap UE feature.</w:t>
            </w:r>
          </w:p>
          <w:p w14:paraId="022526C9" w14:textId="77777777" w:rsidR="00C07536" w:rsidRDefault="00C07536" w:rsidP="00C07536">
            <w:pPr>
              <w:pStyle w:val="afa"/>
              <w:numPr>
                <w:ilvl w:val="1"/>
                <w:numId w:val="18"/>
              </w:numPr>
              <w:rPr>
                <w:rFonts w:ascii="Times New Roman" w:hAnsi="Times New Roman" w:cs="Times New Roman"/>
                <w:b/>
                <w:bCs/>
                <w:sz w:val="20"/>
                <w:szCs w:val="20"/>
              </w:rPr>
            </w:pPr>
            <w:r>
              <w:rPr>
                <w:rFonts w:ascii="Times New Roman" w:hAnsi="Times New Roman" w:cs="Times New Roman"/>
                <w:b/>
                <w:bCs/>
                <w:sz w:val="20"/>
                <w:szCs w:val="20"/>
              </w:rPr>
              <w:t>FFS: For BWP#0 configuration option 1, whether the UE can expect SSB transmission in the separate initial DL BWP when it is used in connected mode</w:t>
            </w:r>
          </w:p>
          <w:p w14:paraId="4AC4E24B" w14:textId="664D9002" w:rsidR="00C07536" w:rsidRDefault="00C07536" w:rsidP="00C07536">
            <w:pPr>
              <w:rPr>
                <w:lang w:eastAsia="ja-JP"/>
              </w:rPr>
            </w:pPr>
            <w:r>
              <w:rPr>
                <w:b/>
                <w:bCs/>
                <w:lang w:val="en-US"/>
              </w:rPr>
              <w:lastRenderedPageBreak/>
              <w:t>Note: According to 38.331 Annex B.2, BWP#0 is considered to be an RRC-configured BWP in BWP#0 configuration option 2 but not in BWP#0 configuration option 1.</w:t>
            </w:r>
          </w:p>
        </w:tc>
      </w:tr>
    </w:tbl>
    <w:p w14:paraId="787B8334" w14:textId="13B8C33C" w:rsidR="00C07536" w:rsidRDefault="00C07536" w:rsidP="00137660">
      <w:pPr>
        <w:rPr>
          <w:lang w:eastAsia="ja-JP"/>
        </w:rPr>
      </w:pPr>
    </w:p>
    <w:p w14:paraId="32268D85" w14:textId="3CB00C9D" w:rsidR="00C07536" w:rsidRPr="00137660" w:rsidRDefault="00893F83" w:rsidP="00137660">
      <w:pPr>
        <w:rPr>
          <w:lang w:eastAsia="ja-JP"/>
        </w:rPr>
      </w:pPr>
      <w:r>
        <w:rPr>
          <w:rFonts w:hint="eastAsia"/>
          <w:lang w:eastAsia="ja-JP"/>
        </w:rPr>
        <w:t>This pap</w:t>
      </w:r>
      <w:r w:rsidR="005A1194">
        <w:rPr>
          <w:rFonts w:hint="eastAsia"/>
          <w:lang w:eastAsia="ja-JP"/>
        </w:rPr>
        <w:t>er discusses the key issues to be ironed out for the BWP operations.</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073BBC3C" w14:textId="65208A2E" w:rsidR="00137660" w:rsidRDefault="00D12B1C" w:rsidP="00D12B1C">
      <w:pPr>
        <w:tabs>
          <w:tab w:val="left" w:pos="8940"/>
        </w:tabs>
        <w:rPr>
          <w:lang w:eastAsia="ja-JP"/>
        </w:rPr>
      </w:pPr>
      <w:r>
        <w:rPr>
          <w:rFonts w:hint="eastAsia"/>
          <w:lang w:eastAsia="ja-JP"/>
        </w:rPr>
        <w:t>When a separate UL BWP is configured for RedCap UEs,</w:t>
      </w:r>
      <w:r>
        <w:rPr>
          <w:lang w:eastAsia="ja-JP"/>
        </w:rPr>
        <w:t xml:space="preserve"> e.g. due to narrower Max. bandwidth than non-RedCap UEs, </w:t>
      </w:r>
      <w:r w:rsidR="001F4D0C">
        <w:rPr>
          <w:lang w:eastAsia="ja-JP"/>
        </w:rPr>
        <w:t>the current agreements so far enable the network to locate the separate UL BWP a</w:t>
      </w:r>
      <w:r w:rsidR="004A3653">
        <w:rPr>
          <w:lang w:eastAsia="ja-JP"/>
        </w:rPr>
        <w:t>t</w:t>
      </w:r>
      <w:r w:rsidR="001F4D0C">
        <w:rPr>
          <w:lang w:eastAsia="ja-JP"/>
        </w:rPr>
        <w:t xml:space="preserve"> the edge of the carrier </w:t>
      </w:r>
      <w:r w:rsidR="00EE4E51">
        <w:rPr>
          <w:lang w:eastAsia="ja-JP"/>
        </w:rPr>
        <w:t xml:space="preserve">and disable PUCCH frequency hopping </w:t>
      </w:r>
      <w:r w:rsidR="001F4D0C">
        <w:rPr>
          <w:lang w:eastAsia="ja-JP"/>
        </w:rPr>
        <w:t xml:space="preserve">to avoid the fragmentation of PUSCH for non-RedCap UEs. </w:t>
      </w:r>
      <w:r w:rsidR="00377208">
        <w:rPr>
          <w:lang w:eastAsia="ja-JP"/>
        </w:rPr>
        <w:t xml:space="preserve">In case of TDD, </w:t>
      </w:r>
      <w:r w:rsidR="004A3653">
        <w:rPr>
          <w:lang w:eastAsia="ja-JP"/>
        </w:rPr>
        <w:t xml:space="preserve">a separate DL BWP needs to be located at the same location as for a separate UL BWP, so that the centre frequency of the DL BWP is aligned with the UL BWP. In this case, </w:t>
      </w:r>
      <w:r w:rsidR="00882F11">
        <w:rPr>
          <w:lang w:eastAsia="ja-JP"/>
        </w:rPr>
        <w:t>Cell-Defining SSB (CD-SSB) may not be confined within the separate DL BWP. The question in issue is whether an additional SSB is transmitted in the separate DL BWP</w:t>
      </w:r>
      <w:r w:rsidR="00933F50">
        <w:rPr>
          <w:lang w:eastAsia="ja-JP"/>
        </w:rPr>
        <w:t>.</w:t>
      </w:r>
      <w:r w:rsidR="0008240D">
        <w:rPr>
          <w:lang w:eastAsia="ja-JP"/>
        </w:rPr>
        <w:t xml:space="preserve"> It somehow hinges on whether RedCap UEs are mandated to support FG 6-1a (i.e. </w:t>
      </w:r>
      <w:r w:rsidR="0008240D" w:rsidRPr="0008240D">
        <w:rPr>
          <w:lang w:eastAsia="ja-JP"/>
        </w:rPr>
        <w:t>BWP operation without restriction on BW of BWP(s)</w:t>
      </w:r>
      <w:r w:rsidR="0008240D">
        <w:rPr>
          <w:lang w:eastAsia="ja-JP"/>
        </w:rPr>
        <w:t xml:space="preserve">). </w:t>
      </w:r>
    </w:p>
    <w:p w14:paraId="38A26D95" w14:textId="41ED47C8" w:rsidR="002E121E" w:rsidRDefault="002E121E" w:rsidP="002E121E">
      <w:pPr>
        <w:pStyle w:val="B1"/>
      </w:pPr>
      <w:r>
        <w:rPr>
          <w:rFonts w:hint="eastAsia"/>
        </w:rPr>
        <w:t>1.</w:t>
      </w:r>
      <w:r>
        <w:rPr>
          <w:rFonts w:hint="eastAsia"/>
        </w:rPr>
        <w:tab/>
        <w:t xml:space="preserve">If SSB is always transmitted in the separate DL BWP, RedCap UEs </w:t>
      </w:r>
      <w:r>
        <w:t>do not have to support FG 6-1a. Namely, it is enough to support FG 6-1 (</w:t>
      </w:r>
      <w:r w:rsidRPr="002E121E">
        <w:t>Basic BWP operation with restriction</w:t>
      </w:r>
      <w:r>
        <w:t>).</w:t>
      </w:r>
    </w:p>
    <w:p w14:paraId="46E79C39" w14:textId="595C6F6B" w:rsidR="002E121E" w:rsidRDefault="002E121E" w:rsidP="002E121E">
      <w:pPr>
        <w:pStyle w:val="B1"/>
      </w:pPr>
      <w:r>
        <w:t>2.</w:t>
      </w:r>
      <w:r>
        <w:tab/>
        <w:t>If SSB is not always transmitted in the separate DL BWP, RedCap UEs have to support FG 6-1a, so that the RedCap UE can access the separate DL BWP with or without SSB.</w:t>
      </w:r>
    </w:p>
    <w:p w14:paraId="0F748189" w14:textId="67D3593F" w:rsidR="00F23FC2" w:rsidRDefault="001E385F" w:rsidP="00137660">
      <w:pPr>
        <w:rPr>
          <w:lang w:eastAsia="ja-JP"/>
        </w:rPr>
      </w:pPr>
      <w:r>
        <w:rPr>
          <w:lang w:eastAsia="ja-JP"/>
        </w:rPr>
        <w:t xml:space="preserve">For the key driver of RedCap WI, it is desirable to reduce UE complexity by not mandating to support FG 6-1a, albeit the network has </w:t>
      </w:r>
      <w:r w:rsidR="005829D6">
        <w:rPr>
          <w:lang w:eastAsia="ja-JP"/>
        </w:rPr>
        <w:t xml:space="preserve">to transmit SSB in the separate </w:t>
      </w:r>
      <w:r>
        <w:rPr>
          <w:lang w:eastAsia="ja-JP"/>
        </w:rPr>
        <w:t xml:space="preserve">DL BWP. It would be cumbersome from the network viewpoint, if paging messages have to be </w:t>
      </w:r>
      <w:r w:rsidR="005829D6">
        <w:rPr>
          <w:lang w:eastAsia="ja-JP"/>
        </w:rPr>
        <w:t>transmitted in two initial DL BWPs; one is for RedCap UEs, and the other is the non-RedCap UEs. Nonetheless, the network can choose not to deliver paging messages in the separate initial DL BWP by not configuring the search space for paging in the separate initial DL BWP.</w:t>
      </w:r>
      <w:r w:rsidR="00AB7752">
        <w:rPr>
          <w:lang w:eastAsia="ja-JP"/>
        </w:rPr>
        <w:t xml:space="preserve"> </w:t>
      </w:r>
      <w:r w:rsidR="00DA4F0D">
        <w:rPr>
          <w:lang w:eastAsia="ja-JP"/>
        </w:rPr>
        <w:t xml:space="preserve">If paging messages are not transmitted in the separate initial DL BWP, the broadcast overhead of SSB would not be considerable, especially if it is transmitted with longer periodicity (e.g. 160 ms). </w:t>
      </w:r>
      <w:r w:rsidR="004833A4">
        <w:rPr>
          <w:lang w:eastAsia="ja-JP"/>
        </w:rPr>
        <w:t>Therefore, the followings are proposed.</w:t>
      </w:r>
    </w:p>
    <w:p w14:paraId="3213B59B" w14:textId="56ACD458" w:rsidR="004833A4" w:rsidRPr="005E3F35" w:rsidRDefault="0099203A" w:rsidP="0099203A">
      <w:pPr>
        <w:pStyle w:val="B1"/>
        <w:rPr>
          <w:b/>
        </w:rPr>
      </w:pPr>
      <w:r w:rsidRPr="005E3F35">
        <w:rPr>
          <w:rFonts w:hint="eastAsia"/>
          <w:b/>
        </w:rPr>
        <w:t>Proposal 1:</w:t>
      </w:r>
      <w:r w:rsidRPr="005E3F35">
        <w:rPr>
          <w:rFonts w:hint="eastAsia"/>
          <w:b/>
        </w:rPr>
        <w:tab/>
      </w:r>
      <w:r w:rsidRPr="005E3F35">
        <w:rPr>
          <w:b/>
        </w:rPr>
        <w:t>FG 6-1a (BWP operation without restriction on BW of BWP(s)) is optional for RedCap UEs.</w:t>
      </w:r>
    </w:p>
    <w:p w14:paraId="3F5B118E" w14:textId="3454F4DE" w:rsidR="0099203A" w:rsidRPr="005E3F35" w:rsidRDefault="0099203A" w:rsidP="0099203A">
      <w:pPr>
        <w:pStyle w:val="B1"/>
        <w:rPr>
          <w:b/>
        </w:rPr>
      </w:pPr>
      <w:r w:rsidRPr="005E3F35">
        <w:rPr>
          <w:b/>
        </w:rPr>
        <w:t>Proposal 2:</w:t>
      </w:r>
      <w:r w:rsidRPr="005E3F35">
        <w:rPr>
          <w:b/>
        </w:rPr>
        <w:tab/>
        <w:t xml:space="preserve">If the separate initial DL BWP is configured for RedCap UEs, the RedCap UE expects that SSB </w:t>
      </w:r>
      <w:r w:rsidR="005E3F35">
        <w:rPr>
          <w:b/>
        </w:rPr>
        <w:tab/>
      </w:r>
      <w:r w:rsidR="005E3F35">
        <w:rPr>
          <w:b/>
        </w:rPr>
        <w:tab/>
      </w:r>
      <w:r w:rsidR="005E3F35">
        <w:rPr>
          <w:b/>
        </w:rPr>
        <w:tab/>
      </w:r>
      <w:r w:rsidRPr="005E3F35">
        <w:rPr>
          <w:b/>
        </w:rPr>
        <w:t xml:space="preserve">is transmitted in the separate initial DL BWP, no matter if random access and/or paging is </w:t>
      </w:r>
      <w:r w:rsidR="005E3F35">
        <w:rPr>
          <w:b/>
        </w:rPr>
        <w:tab/>
      </w:r>
      <w:r w:rsidR="005E3F35">
        <w:rPr>
          <w:b/>
        </w:rPr>
        <w:tab/>
      </w:r>
      <w:r w:rsidR="005E3F35">
        <w:rPr>
          <w:b/>
        </w:rPr>
        <w:tab/>
      </w:r>
      <w:r w:rsidR="005E3F35">
        <w:rPr>
          <w:b/>
        </w:rPr>
        <w:tab/>
      </w:r>
      <w:r w:rsidRPr="005E3F35">
        <w:rPr>
          <w:b/>
        </w:rPr>
        <w:t>configured</w:t>
      </w:r>
      <w:r w:rsidR="005E3F35" w:rsidRPr="005E3F35">
        <w:rPr>
          <w:b/>
        </w:rPr>
        <w:t>.</w:t>
      </w:r>
    </w:p>
    <w:p w14:paraId="2D554C3B" w14:textId="70F375FF" w:rsidR="004833A4" w:rsidRDefault="005E3F35" w:rsidP="00137660">
      <w:pPr>
        <w:rPr>
          <w:lang w:eastAsia="ja-JP"/>
        </w:rPr>
      </w:pPr>
      <w:r>
        <w:rPr>
          <w:lang w:eastAsia="ja-JP"/>
        </w:rPr>
        <w:t xml:space="preserve">For an active DL BWP configured for RedCap UEs in the connected mode, SSB transmission is based on the UE support of FG 6-1a, as discussed in the last meeting. RedCap UEs capable of FG 6-1a </w:t>
      </w:r>
      <w:r w:rsidR="00C5516F">
        <w:rPr>
          <w:lang w:eastAsia="ja-JP"/>
        </w:rPr>
        <w:t xml:space="preserve">(as well as FG 6-1) </w:t>
      </w:r>
      <w:r>
        <w:rPr>
          <w:lang w:eastAsia="ja-JP"/>
        </w:rPr>
        <w:t xml:space="preserve">can work in the active DL BWP without SSB. In contrast, RedCap UEs </w:t>
      </w:r>
      <w:r w:rsidR="00C5516F">
        <w:rPr>
          <w:lang w:eastAsia="ja-JP"/>
        </w:rPr>
        <w:t>capable of FG 6-1 only can work in the active DL BWP with SSB. Hence, the following is proposed.</w:t>
      </w:r>
    </w:p>
    <w:p w14:paraId="47029898" w14:textId="0DA19446" w:rsidR="00C5516F" w:rsidRPr="00622453" w:rsidRDefault="00C5516F" w:rsidP="00C5516F">
      <w:pPr>
        <w:pStyle w:val="B1"/>
        <w:rPr>
          <w:b/>
        </w:rPr>
      </w:pPr>
      <w:r w:rsidRPr="00622453">
        <w:rPr>
          <w:rFonts w:hint="eastAsia"/>
          <w:b/>
        </w:rPr>
        <w:t>Proposal 3:</w:t>
      </w:r>
      <w:r w:rsidRPr="00622453">
        <w:rPr>
          <w:rFonts w:hint="eastAsia"/>
          <w:b/>
        </w:rPr>
        <w:tab/>
      </w:r>
      <w:r w:rsidRPr="00622453">
        <w:rPr>
          <w:b/>
        </w:rPr>
        <w:t xml:space="preserve">It is up to UE capabilities (i.e. supporting both 6-1a and 6-1, or 6-1 only) whether RedCap UEs </w:t>
      </w:r>
      <w:r w:rsidR="00622453">
        <w:rPr>
          <w:b/>
        </w:rPr>
        <w:tab/>
      </w:r>
      <w:r w:rsidR="00622453">
        <w:rPr>
          <w:b/>
        </w:rPr>
        <w:tab/>
      </w:r>
      <w:r w:rsidR="00622453">
        <w:rPr>
          <w:b/>
        </w:rPr>
        <w:tab/>
      </w:r>
      <w:r w:rsidRPr="00622453">
        <w:rPr>
          <w:b/>
        </w:rPr>
        <w:t>can expect SSB transmission in the RRC-configured active DL BWP</w:t>
      </w:r>
      <w:r w:rsidR="00DA04F3">
        <w:rPr>
          <w:b/>
        </w:rPr>
        <w:t>.</w:t>
      </w:r>
    </w:p>
    <w:p w14:paraId="3B2831B9" w14:textId="5F60F4FA" w:rsidR="00C5516F" w:rsidRDefault="001A7D4C" w:rsidP="00137660">
      <w:pPr>
        <w:rPr>
          <w:lang w:eastAsia="ja-JP"/>
        </w:rPr>
      </w:pPr>
      <w:r>
        <w:rPr>
          <w:rFonts w:hint="eastAsia"/>
          <w:lang w:eastAsia="ja-JP"/>
        </w:rPr>
        <w:t xml:space="preserve">With regards to </w:t>
      </w:r>
      <w:r>
        <w:rPr>
          <w:lang w:eastAsia="ja-JP"/>
        </w:rPr>
        <w:t>the following FFS,</w:t>
      </w:r>
    </w:p>
    <w:tbl>
      <w:tblPr>
        <w:tblStyle w:val="af4"/>
        <w:tblW w:w="0" w:type="auto"/>
        <w:tblLook w:val="04A0" w:firstRow="1" w:lastRow="0" w:firstColumn="1" w:lastColumn="0" w:noHBand="0" w:noVBand="1"/>
      </w:tblPr>
      <w:tblGrid>
        <w:gridCol w:w="9629"/>
      </w:tblGrid>
      <w:tr w:rsidR="001A7D4C" w14:paraId="16737EA5" w14:textId="77777777" w:rsidTr="001A7D4C">
        <w:tc>
          <w:tcPr>
            <w:tcW w:w="9629" w:type="dxa"/>
          </w:tcPr>
          <w:p w14:paraId="3478D89E" w14:textId="77777777" w:rsidR="001A7D4C" w:rsidRDefault="001A7D4C" w:rsidP="001A7D4C">
            <w:pPr>
              <w:pStyle w:val="afa"/>
              <w:numPr>
                <w:ilvl w:val="1"/>
                <w:numId w:val="19"/>
              </w:numPr>
              <w:rPr>
                <w:rFonts w:ascii="Times New Roman" w:hAnsi="Times New Roman" w:cs="Times New Roman"/>
                <w:b/>
                <w:bCs/>
                <w:color w:val="FF0000"/>
                <w:sz w:val="20"/>
                <w:szCs w:val="20"/>
              </w:rPr>
            </w:pPr>
            <w:r>
              <w:rPr>
                <w:rFonts w:ascii="Times New Roman" w:hAnsi="Times New Roman" w:cs="Times New Roman"/>
                <w:b/>
                <w:bCs/>
                <w:color w:val="FF0000"/>
                <w:sz w:val="20"/>
                <w:szCs w:val="20"/>
              </w:rPr>
              <w:t>In connected mode, the UE is not required to monitor CORESET#0 periodically for SI updates.</w:t>
            </w:r>
          </w:p>
          <w:p w14:paraId="126A6363" w14:textId="08CAAB61" w:rsidR="001A7D4C" w:rsidRPr="001A7D4C" w:rsidRDefault="001A7D4C" w:rsidP="00137660">
            <w:pPr>
              <w:pStyle w:val="afa"/>
              <w:numPr>
                <w:ilvl w:val="2"/>
                <w:numId w:val="19"/>
              </w:numPr>
              <w:rPr>
                <w:rFonts w:ascii="Times New Roman" w:hAnsi="Times New Roman" w:cs="Times New Roman"/>
                <w:b/>
                <w:bCs/>
                <w:color w:val="FF0000"/>
                <w:sz w:val="20"/>
                <w:szCs w:val="20"/>
              </w:rPr>
            </w:pPr>
            <w:r>
              <w:rPr>
                <w:rFonts w:ascii="Times New Roman" w:hAnsi="Times New Roman" w:cs="Times New Roman"/>
                <w:b/>
                <w:bCs/>
                <w:color w:val="FF0000"/>
                <w:sz w:val="20"/>
                <w:szCs w:val="20"/>
              </w:rPr>
              <w:t>FFS: How SI update notifications are indicated to RedCap UEs</w:t>
            </w:r>
          </w:p>
        </w:tc>
      </w:tr>
    </w:tbl>
    <w:p w14:paraId="7D46C744" w14:textId="56C1854F" w:rsidR="001A7D4C" w:rsidRDefault="001A7D4C" w:rsidP="00137660">
      <w:pPr>
        <w:rPr>
          <w:lang w:eastAsia="ja-JP"/>
        </w:rPr>
      </w:pPr>
    </w:p>
    <w:p w14:paraId="59240702" w14:textId="6B341D1F" w:rsidR="001A7D4C" w:rsidRDefault="001A7D4C" w:rsidP="00137660">
      <w:pPr>
        <w:rPr>
          <w:lang w:eastAsia="ja-JP"/>
        </w:rPr>
      </w:pPr>
      <w:r>
        <w:rPr>
          <w:rFonts w:hint="eastAsia"/>
          <w:lang w:eastAsia="ja-JP"/>
        </w:rPr>
        <w:t>The existing mechanism of dedicated SI delivery can be used for RedCap UEs,</w:t>
      </w:r>
      <w:r>
        <w:rPr>
          <w:lang w:eastAsia="ja-JP"/>
        </w:rPr>
        <w:t xml:space="preserve"> when SI is updated. Given that SI update is not so frequent typically and the number of RedCap UEs is not so large in the initial deployment phase, the existing dedicated signalling mechanism would not result in significant overhead. </w:t>
      </w:r>
      <w:r w:rsidR="00DA04F3">
        <w:rPr>
          <w:lang w:eastAsia="ja-JP"/>
        </w:rPr>
        <w:t>Additional mechanisms could be discussed in later releases, if the existing mechanism turns out to be problematic. The following is proposed.</w:t>
      </w:r>
    </w:p>
    <w:p w14:paraId="494E0FD1" w14:textId="42990B62" w:rsidR="00DA04F3" w:rsidRPr="00DA04F3" w:rsidRDefault="00DA04F3" w:rsidP="00DA04F3">
      <w:pPr>
        <w:pStyle w:val="B1"/>
        <w:rPr>
          <w:b/>
        </w:rPr>
      </w:pPr>
      <w:r w:rsidRPr="00DA04F3">
        <w:rPr>
          <w:rFonts w:hint="eastAsia"/>
          <w:b/>
        </w:rPr>
        <w:t>Proposal 4:</w:t>
      </w:r>
      <w:r w:rsidRPr="00DA04F3">
        <w:rPr>
          <w:rFonts w:hint="eastAsia"/>
          <w:b/>
        </w:rPr>
        <w:tab/>
      </w:r>
      <w:r w:rsidRPr="00DA04F3">
        <w:rPr>
          <w:b/>
        </w:rPr>
        <w:t>Dedicated SI delivery is used for RedCap UEs to convey updated SIBs.</w:t>
      </w:r>
    </w:p>
    <w:p w14:paraId="21E5B524" w14:textId="77777777" w:rsidR="00E57063" w:rsidRDefault="00863065" w:rsidP="00C30470">
      <w:pPr>
        <w:pStyle w:val="2"/>
        <w:numPr>
          <w:ilvl w:val="0"/>
          <w:numId w:val="2"/>
        </w:numPr>
        <w:rPr>
          <w:lang w:eastAsia="ja-JP"/>
        </w:rPr>
      </w:pPr>
      <w:r>
        <w:rPr>
          <w:rFonts w:hint="eastAsia"/>
          <w:lang w:eastAsia="ja-JP"/>
        </w:rPr>
        <w:lastRenderedPageBreak/>
        <w:t>Summary and proposal</w:t>
      </w:r>
    </w:p>
    <w:p w14:paraId="0462F49B" w14:textId="3E988424" w:rsidR="00137660" w:rsidRDefault="00DA04F3" w:rsidP="00137660">
      <w:pPr>
        <w:rPr>
          <w:lang w:eastAsia="ja-JP"/>
        </w:rPr>
      </w:pPr>
      <w:r>
        <w:rPr>
          <w:rFonts w:hint="eastAsia"/>
          <w:lang w:eastAsia="ja-JP"/>
        </w:rPr>
        <w:t>This paper discussed the key open issues on BWP operations for RedCap UEs.</w:t>
      </w:r>
      <w:r>
        <w:rPr>
          <w:lang w:eastAsia="ja-JP"/>
        </w:rPr>
        <w:t xml:space="preserve"> In summary, the followings were proposed.</w:t>
      </w:r>
    </w:p>
    <w:p w14:paraId="2DA08ED2" w14:textId="77777777" w:rsidR="00DA04F3" w:rsidRPr="005E3F35" w:rsidRDefault="00DA04F3" w:rsidP="00DA04F3">
      <w:pPr>
        <w:pStyle w:val="B1"/>
        <w:rPr>
          <w:b/>
        </w:rPr>
      </w:pPr>
      <w:r w:rsidRPr="005E3F35">
        <w:rPr>
          <w:rFonts w:hint="eastAsia"/>
          <w:b/>
        </w:rPr>
        <w:t>Proposal 1:</w:t>
      </w:r>
      <w:r w:rsidRPr="005E3F35">
        <w:rPr>
          <w:rFonts w:hint="eastAsia"/>
          <w:b/>
        </w:rPr>
        <w:tab/>
      </w:r>
      <w:r w:rsidRPr="005E3F35">
        <w:rPr>
          <w:b/>
        </w:rPr>
        <w:t>FG 6-1a (BWP operation without restriction on BW of BWP(s)) is optional for RedCap UEs.</w:t>
      </w:r>
    </w:p>
    <w:p w14:paraId="0393CC69" w14:textId="77777777" w:rsidR="00DA04F3" w:rsidRPr="005E3F35" w:rsidRDefault="00DA04F3" w:rsidP="00DA04F3">
      <w:pPr>
        <w:pStyle w:val="B1"/>
        <w:rPr>
          <w:b/>
        </w:rPr>
      </w:pPr>
      <w:r w:rsidRPr="005E3F35">
        <w:rPr>
          <w:b/>
        </w:rPr>
        <w:t>Proposal 2:</w:t>
      </w:r>
      <w:r w:rsidRPr="005E3F35">
        <w:rPr>
          <w:b/>
        </w:rPr>
        <w:tab/>
        <w:t xml:space="preserve">If the separate initial DL BWP is configured for RedCap UEs, the RedCap UE expects that SSB </w:t>
      </w:r>
      <w:r>
        <w:rPr>
          <w:b/>
        </w:rPr>
        <w:tab/>
      </w:r>
      <w:r>
        <w:rPr>
          <w:b/>
        </w:rPr>
        <w:tab/>
      </w:r>
      <w:r>
        <w:rPr>
          <w:b/>
        </w:rPr>
        <w:tab/>
      </w:r>
      <w:r w:rsidRPr="005E3F35">
        <w:rPr>
          <w:b/>
        </w:rPr>
        <w:t xml:space="preserve">is transmitted in the separate initial DL BWP, no matter if random access and/or paging is </w:t>
      </w:r>
      <w:r>
        <w:rPr>
          <w:b/>
        </w:rPr>
        <w:tab/>
      </w:r>
      <w:r>
        <w:rPr>
          <w:b/>
        </w:rPr>
        <w:tab/>
      </w:r>
      <w:r>
        <w:rPr>
          <w:b/>
        </w:rPr>
        <w:tab/>
      </w:r>
      <w:r>
        <w:rPr>
          <w:b/>
        </w:rPr>
        <w:tab/>
      </w:r>
      <w:r w:rsidRPr="005E3F35">
        <w:rPr>
          <w:b/>
        </w:rPr>
        <w:t>configured.</w:t>
      </w:r>
    </w:p>
    <w:p w14:paraId="26FC1A3C" w14:textId="77777777" w:rsidR="00DA04F3" w:rsidRPr="00622453" w:rsidRDefault="00DA04F3" w:rsidP="00DA04F3">
      <w:pPr>
        <w:pStyle w:val="B1"/>
        <w:rPr>
          <w:b/>
        </w:rPr>
      </w:pPr>
      <w:r w:rsidRPr="00622453">
        <w:rPr>
          <w:rFonts w:hint="eastAsia"/>
          <w:b/>
        </w:rPr>
        <w:t>Proposal 3:</w:t>
      </w:r>
      <w:r w:rsidRPr="00622453">
        <w:rPr>
          <w:rFonts w:hint="eastAsia"/>
          <w:b/>
        </w:rPr>
        <w:tab/>
      </w:r>
      <w:r w:rsidRPr="00622453">
        <w:rPr>
          <w:b/>
        </w:rPr>
        <w:t xml:space="preserve">It is up to UE capabilities (i.e. supporting both 6-1a and 6-1, or 6-1 only) whether RedCap UEs </w:t>
      </w:r>
      <w:r>
        <w:rPr>
          <w:b/>
        </w:rPr>
        <w:tab/>
      </w:r>
      <w:r>
        <w:rPr>
          <w:b/>
        </w:rPr>
        <w:tab/>
      </w:r>
      <w:r>
        <w:rPr>
          <w:b/>
        </w:rPr>
        <w:tab/>
      </w:r>
      <w:r w:rsidRPr="00622453">
        <w:rPr>
          <w:b/>
        </w:rPr>
        <w:t>can expect SSB transmission in the RRC-configured active DL BWP</w:t>
      </w:r>
      <w:r>
        <w:rPr>
          <w:b/>
        </w:rPr>
        <w:t>.</w:t>
      </w:r>
    </w:p>
    <w:p w14:paraId="7C12350D" w14:textId="175D5A7A" w:rsidR="00DA04F3" w:rsidRPr="00DA04F3" w:rsidRDefault="00DA04F3" w:rsidP="00DA04F3">
      <w:pPr>
        <w:pStyle w:val="B1"/>
      </w:pPr>
      <w:r w:rsidRPr="00DA04F3">
        <w:rPr>
          <w:rFonts w:hint="eastAsia"/>
          <w:b/>
        </w:rPr>
        <w:t>Proposal 4:</w:t>
      </w:r>
      <w:r w:rsidRPr="00DA04F3">
        <w:rPr>
          <w:rFonts w:hint="eastAsia"/>
          <w:b/>
        </w:rPr>
        <w:tab/>
      </w:r>
      <w:r w:rsidRPr="00DA04F3">
        <w:rPr>
          <w:b/>
        </w:rPr>
        <w:t>Dedicated SI delivery is used for RedCap UEs to convey updated SIBs.</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7C377C3B" w:rsidR="00137660" w:rsidRDefault="008D3ACC" w:rsidP="00137660">
      <w:pPr>
        <w:rPr>
          <w:lang w:eastAsia="ja-JP"/>
        </w:rPr>
      </w:pPr>
      <w:r>
        <w:rPr>
          <w:rFonts w:hint="eastAsia"/>
          <w:lang w:eastAsia="ja-JP"/>
        </w:rPr>
        <w:t xml:space="preserve">[1] </w:t>
      </w:r>
      <w:hyperlink r:id="rId7" w:history="1">
        <w:r w:rsidRPr="00975D7C">
          <w:rPr>
            <w:rStyle w:val="ab"/>
            <w:lang w:eastAsia="ja-JP"/>
          </w:rPr>
          <w:t>R1-2108692</w:t>
        </w:r>
      </w:hyperlink>
      <w:r>
        <w:rPr>
          <w:lang w:eastAsia="ja-JP"/>
        </w:rPr>
        <w:t>, “</w:t>
      </w:r>
      <w:r w:rsidRPr="008D3ACC">
        <w:rPr>
          <w:lang w:eastAsia="ja-JP"/>
        </w:rPr>
        <w:t>Report of RAN1#106-e meeting</w:t>
      </w:r>
      <w:r>
        <w:rPr>
          <w:lang w:eastAsia="ja-JP"/>
        </w:rPr>
        <w:t>,” ETSI MCC.</w:t>
      </w:r>
    </w:p>
    <w:p w14:paraId="06D4D768" w14:textId="753A1D85" w:rsidR="008D3ACC" w:rsidRDefault="008D3ACC" w:rsidP="00137660">
      <w:pPr>
        <w:rPr>
          <w:lang w:eastAsia="ja-JP"/>
        </w:rPr>
      </w:pPr>
      <w:r>
        <w:rPr>
          <w:lang w:eastAsia="ja-JP"/>
        </w:rPr>
        <w:t xml:space="preserve">[2] </w:t>
      </w:r>
      <w:hyperlink r:id="rId8" w:history="1">
        <w:r w:rsidRPr="00DB523C">
          <w:rPr>
            <w:rStyle w:val="ab"/>
            <w:lang w:eastAsia="ja-JP"/>
          </w:rPr>
          <w:t>R1-2108632</w:t>
        </w:r>
      </w:hyperlink>
      <w:r>
        <w:rPr>
          <w:lang w:eastAsia="ja-JP"/>
        </w:rPr>
        <w:t>, “</w:t>
      </w:r>
      <w:r w:rsidRPr="008D3ACC">
        <w:rPr>
          <w:lang w:eastAsia="ja-JP"/>
        </w:rPr>
        <w:t>FL summary #7 on reduced maximum UE bandwidth for RedCap</w:t>
      </w:r>
      <w:r>
        <w:rPr>
          <w:lang w:eastAsia="ja-JP"/>
        </w:rPr>
        <w:t xml:space="preserve">,” </w:t>
      </w:r>
      <w:r w:rsidRPr="008D3ACC">
        <w:rPr>
          <w:lang w:eastAsia="ja-JP"/>
        </w:rPr>
        <w:t>Moderator (Ericsson)</w:t>
      </w:r>
      <w:r>
        <w:rPr>
          <w:lang w:eastAsia="ja-JP"/>
        </w:rPr>
        <w:t>.</w:t>
      </w:r>
    </w:p>
    <w:p w14:paraId="287382D9" w14:textId="5158A4FC" w:rsidR="00FD1666" w:rsidRDefault="008265EC" w:rsidP="00B63110">
      <w:pPr>
        <w:pStyle w:val="8"/>
        <w:rPr>
          <w:lang w:eastAsia="ja-JP"/>
        </w:rPr>
      </w:pPr>
      <w:r>
        <w:rPr>
          <w:rFonts w:hint="eastAsia"/>
          <w:lang w:eastAsia="ja-JP"/>
        </w:rPr>
        <w:t>Annex A</w:t>
      </w:r>
      <w:r>
        <w:rPr>
          <w:lang w:eastAsia="ja-JP"/>
        </w:rPr>
        <w:t>: Agreements at RAN1 #106-e</w:t>
      </w:r>
    </w:p>
    <w:p w14:paraId="44D6EFF8" w14:textId="77777777" w:rsidR="008265EC" w:rsidRPr="009D6270" w:rsidRDefault="008265EC" w:rsidP="008265EC">
      <w:pPr>
        <w:shd w:val="clear" w:color="auto" w:fill="FFFFFF"/>
        <w:spacing w:line="231" w:lineRule="atLeast"/>
        <w:jc w:val="both"/>
        <w:rPr>
          <w:rFonts w:eastAsia="SimSun"/>
          <w:b/>
          <w:bCs/>
          <w:color w:val="000000"/>
          <w:highlight w:val="green"/>
          <w:lang w:val="en-US" w:eastAsia="zh-CN"/>
        </w:rPr>
      </w:pPr>
      <w:r w:rsidRPr="009D6270">
        <w:rPr>
          <w:rFonts w:eastAsia="SimSun"/>
          <w:b/>
          <w:bCs/>
          <w:color w:val="000000"/>
          <w:highlight w:val="green"/>
          <w:shd w:val="clear" w:color="auto" w:fill="FFFF00"/>
          <w:lang w:val="en-US" w:eastAsia="zh-CN"/>
        </w:rPr>
        <w:t>Agreement</w:t>
      </w:r>
      <w:r w:rsidRPr="00283002">
        <w:rPr>
          <w:rFonts w:eastAsia="SimSun"/>
          <w:b/>
          <w:bCs/>
          <w:color w:val="000000"/>
          <w:highlight w:val="green"/>
          <w:lang w:val="en-US" w:eastAsia="zh-CN"/>
        </w:rPr>
        <w:t xml:space="preserve"> </w:t>
      </w:r>
    </w:p>
    <w:p w14:paraId="04C0DEE1" w14:textId="77777777" w:rsidR="008265EC" w:rsidRPr="00283002" w:rsidRDefault="008265EC" w:rsidP="008265EC">
      <w:pPr>
        <w:shd w:val="clear" w:color="auto" w:fill="FFFFFF"/>
        <w:spacing w:line="231" w:lineRule="atLeast"/>
        <w:jc w:val="both"/>
        <w:rPr>
          <w:rFonts w:ascii="Calibri" w:eastAsia="SimSun" w:hAnsi="Calibri" w:cs="Calibri"/>
          <w:color w:val="000000"/>
          <w:sz w:val="22"/>
          <w:szCs w:val="22"/>
          <w:lang w:val="en-US" w:eastAsia="zh-CN"/>
        </w:rPr>
      </w:pPr>
      <w:r w:rsidRPr="00283002">
        <w:rPr>
          <w:rFonts w:eastAsia="SimSun"/>
          <w:color w:val="000000"/>
          <w:lang w:val="en-US" w:eastAsia="zh-CN"/>
        </w:rPr>
        <w:t>Replace the RAN1#104bis-e working assumption with the following agreement:</w:t>
      </w:r>
    </w:p>
    <w:p w14:paraId="763312C9" w14:textId="77777777" w:rsidR="008265EC" w:rsidRPr="00283002" w:rsidRDefault="008265EC" w:rsidP="008265EC">
      <w:pPr>
        <w:numPr>
          <w:ilvl w:val="0"/>
          <w:numId w:val="14"/>
        </w:numPr>
        <w:shd w:val="clear" w:color="auto" w:fill="FFFFFF"/>
        <w:spacing w:after="0" w:line="231" w:lineRule="atLeast"/>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During initial access, the bandwidth of the initial DL BWP for RedCap UEs is not expected to exceed the maximum RedCap UE bandwidth.</w:t>
      </w:r>
    </w:p>
    <w:p w14:paraId="206499F0" w14:textId="77777777" w:rsidR="008265EC" w:rsidRPr="00283002" w:rsidRDefault="008265EC" w:rsidP="008265EC">
      <w:pPr>
        <w:numPr>
          <w:ilvl w:val="1"/>
          <w:numId w:val="14"/>
        </w:numPr>
        <w:shd w:val="clear" w:color="auto" w:fill="FFFFFF"/>
        <w:spacing w:after="0" w:line="231" w:lineRule="atLeast"/>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RedCap UEs and non-RedCap UEs can share the same MIB-configured initial DL BWP (including the bandwidth and location).</w:t>
      </w:r>
    </w:p>
    <w:p w14:paraId="4E725BD6" w14:textId="77777777" w:rsidR="008265EC" w:rsidRPr="00283002" w:rsidRDefault="008265EC" w:rsidP="008265EC">
      <w:pPr>
        <w:numPr>
          <w:ilvl w:val="1"/>
          <w:numId w:val="14"/>
        </w:numPr>
        <w:shd w:val="clear" w:color="auto" w:fill="FFFFFF"/>
        <w:spacing w:after="0" w:line="231" w:lineRule="atLeast"/>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This does not preclude a SIB-configured initial DL BWP for non-RedCap UEs only with a wider bandwidth than the maximum RedCap UE bandwidth.</w:t>
      </w:r>
    </w:p>
    <w:p w14:paraId="1439FDCE" w14:textId="77777777" w:rsidR="008265EC" w:rsidRPr="00283002" w:rsidRDefault="008265EC" w:rsidP="008265EC">
      <w:pPr>
        <w:numPr>
          <w:ilvl w:val="1"/>
          <w:numId w:val="14"/>
        </w:numPr>
        <w:shd w:val="clear" w:color="auto" w:fill="FFFFFF"/>
        <w:spacing w:after="0" w:line="231" w:lineRule="atLeast"/>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 xml:space="preserve">This does not preclude separate or additional bandwidth and location for initial DL BWP for RedCap UEs </w:t>
      </w:r>
      <w:r w:rsidRPr="00283002">
        <w:rPr>
          <w:rFonts w:eastAsia="Microsoft YaHei UI" w:cs="Times"/>
          <w:strike/>
          <w:color w:val="000000"/>
          <w:lang w:val="en-US" w:eastAsia="zh-CN"/>
        </w:rPr>
        <w:t>(FFS)</w:t>
      </w:r>
      <w:r w:rsidRPr="00283002">
        <w:rPr>
          <w:rFonts w:eastAsia="Microsoft YaHei UI" w:cs="Times"/>
          <w:color w:val="000000"/>
          <w:lang w:val="en-US" w:eastAsia="zh-CN"/>
        </w:rPr>
        <w:t>.</w:t>
      </w:r>
    </w:p>
    <w:p w14:paraId="0FCA923E" w14:textId="77777777" w:rsidR="008265EC" w:rsidRPr="00283002" w:rsidRDefault="008265EC" w:rsidP="008265EC">
      <w:pPr>
        <w:shd w:val="clear" w:color="auto" w:fill="FFFFFF"/>
        <w:spacing w:line="231" w:lineRule="atLeast"/>
        <w:rPr>
          <w:rFonts w:ascii="Calibri" w:eastAsia="SimSun" w:hAnsi="Calibri" w:cs="Calibri"/>
          <w:color w:val="000000"/>
          <w:sz w:val="22"/>
          <w:szCs w:val="22"/>
          <w:lang w:val="en-US" w:eastAsia="zh-CN"/>
        </w:rPr>
      </w:pPr>
      <w:r w:rsidRPr="00283002">
        <w:rPr>
          <w:rFonts w:eastAsia="SimSun" w:cs="Times"/>
          <w:b/>
          <w:bCs/>
          <w:color w:val="000000"/>
          <w:lang w:val="en-US" w:eastAsia="zh-CN"/>
        </w:rPr>
        <w:t> </w:t>
      </w:r>
    </w:p>
    <w:p w14:paraId="69591629" w14:textId="77777777" w:rsidR="008265EC" w:rsidRPr="009D6270" w:rsidRDefault="008265EC" w:rsidP="008265EC">
      <w:pPr>
        <w:shd w:val="clear" w:color="auto" w:fill="FFFFFF"/>
        <w:spacing w:line="231" w:lineRule="atLeast"/>
        <w:jc w:val="both"/>
        <w:rPr>
          <w:rFonts w:eastAsia="SimSun"/>
          <w:b/>
          <w:bCs/>
          <w:color w:val="000000"/>
          <w:highlight w:val="green"/>
          <w:lang w:val="en-US" w:eastAsia="zh-CN"/>
        </w:rPr>
      </w:pPr>
      <w:r w:rsidRPr="009D6270">
        <w:rPr>
          <w:rFonts w:eastAsia="SimSun"/>
          <w:b/>
          <w:bCs/>
          <w:color w:val="000000"/>
          <w:highlight w:val="green"/>
          <w:shd w:val="clear" w:color="auto" w:fill="FFFF00"/>
          <w:lang w:val="en-US" w:eastAsia="zh-CN"/>
        </w:rPr>
        <w:t>Agreement</w:t>
      </w:r>
    </w:p>
    <w:p w14:paraId="19B4013B" w14:textId="77777777" w:rsidR="008265EC" w:rsidRPr="00283002" w:rsidRDefault="008265EC" w:rsidP="008265EC">
      <w:pPr>
        <w:shd w:val="clear" w:color="auto" w:fill="FFFFFF"/>
        <w:spacing w:line="231" w:lineRule="atLeast"/>
        <w:jc w:val="both"/>
        <w:rPr>
          <w:rFonts w:ascii="Calibri" w:eastAsia="SimSun" w:hAnsi="Calibri" w:cs="Calibri"/>
          <w:color w:val="000000"/>
          <w:sz w:val="22"/>
          <w:szCs w:val="22"/>
          <w:lang w:val="en-US" w:eastAsia="zh-CN"/>
        </w:rPr>
      </w:pPr>
      <w:r w:rsidRPr="00283002">
        <w:rPr>
          <w:rFonts w:eastAsia="SimSun"/>
          <w:color w:val="000000"/>
          <w:lang w:val="en-US" w:eastAsia="zh-CN"/>
        </w:rPr>
        <w:t xml:space="preserve"> Confirm the following working assumptions from RAN1#105-e:</w:t>
      </w:r>
    </w:p>
    <w:p w14:paraId="29A00236" w14:textId="77777777" w:rsidR="008265EC" w:rsidRPr="00283002" w:rsidRDefault="008265EC" w:rsidP="008265EC">
      <w:pPr>
        <w:numPr>
          <w:ilvl w:val="0"/>
          <w:numId w:val="15"/>
        </w:numPr>
        <w:shd w:val="clear" w:color="auto" w:fill="FFFFFF"/>
        <w:spacing w:after="0" w:line="231" w:lineRule="atLeast"/>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After initial access (i.e., after RRC Setup, RRC Resume, or RRC Reestablishment), for BWP#0 configuration </w:t>
      </w:r>
      <w:r w:rsidRPr="00283002">
        <w:rPr>
          <w:rFonts w:eastAsia="Microsoft YaHei UI" w:cs="Times"/>
          <w:color w:val="000000"/>
          <w:u w:val="single"/>
          <w:lang w:val="en-US" w:eastAsia="zh-CN"/>
        </w:rPr>
        <w:t>option 1</w:t>
      </w:r>
      <w:r w:rsidRPr="00283002">
        <w:rPr>
          <w:rFonts w:eastAsia="Microsoft YaHei UI" w:cs="Times"/>
          <w:color w:val="000000"/>
          <w:lang w:val="en-US" w:eastAsia="zh-CN"/>
        </w:rPr>
        <w:t> (as in 38.331, Appendix B2), a RedCap UE is not expected to operate with an initial DL BWP wider than the maximum RedCap UE bandwidth.</w:t>
      </w:r>
    </w:p>
    <w:p w14:paraId="7A8199EB" w14:textId="77777777" w:rsidR="008265EC" w:rsidRPr="00283002" w:rsidRDefault="008265EC" w:rsidP="008265EC">
      <w:pPr>
        <w:numPr>
          <w:ilvl w:val="0"/>
          <w:numId w:val="15"/>
        </w:numPr>
        <w:shd w:val="clear" w:color="auto" w:fill="FFFFFF"/>
        <w:spacing w:after="0" w:line="231" w:lineRule="atLeast"/>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After initial access (i.e., after RRC Setup, RRC Resume, or RRC Reestablishment), for BWP#0 configuration </w:t>
      </w:r>
      <w:r w:rsidRPr="00283002">
        <w:rPr>
          <w:rFonts w:eastAsia="Microsoft YaHei UI" w:cs="Times"/>
          <w:color w:val="000000"/>
          <w:u w:val="single"/>
          <w:lang w:val="en-US" w:eastAsia="zh-CN"/>
        </w:rPr>
        <w:t>option 2</w:t>
      </w:r>
      <w:r w:rsidRPr="00283002">
        <w:rPr>
          <w:rFonts w:eastAsia="Microsoft YaHei UI" w:cs="Times"/>
          <w:color w:val="000000"/>
          <w:lang w:val="en-US" w:eastAsia="zh-CN"/>
        </w:rPr>
        <w:t> (as in 38.331, Appendix B2), a RedCap UE is not expected to operate with an initial DL BWP wider than the maximum RedCap UE bandwidth.</w:t>
      </w:r>
    </w:p>
    <w:p w14:paraId="58FAD770" w14:textId="77777777" w:rsidR="008265EC" w:rsidRPr="00283002" w:rsidRDefault="008265EC" w:rsidP="008265EC">
      <w:pPr>
        <w:shd w:val="clear" w:color="auto" w:fill="FFFFFF"/>
        <w:spacing w:line="231" w:lineRule="atLeast"/>
        <w:rPr>
          <w:rFonts w:ascii="Calibri" w:eastAsia="SimSun" w:hAnsi="Calibri" w:cs="Calibri"/>
          <w:color w:val="000000"/>
          <w:sz w:val="22"/>
          <w:szCs w:val="22"/>
          <w:lang w:val="en-US" w:eastAsia="zh-CN"/>
        </w:rPr>
      </w:pPr>
      <w:r w:rsidRPr="00283002">
        <w:rPr>
          <w:rFonts w:eastAsia="SimSun" w:cs="Times"/>
          <w:b/>
          <w:bCs/>
          <w:color w:val="000000"/>
          <w:lang w:val="en-US" w:eastAsia="zh-CN"/>
        </w:rPr>
        <w:t> </w:t>
      </w:r>
    </w:p>
    <w:p w14:paraId="2A27C253" w14:textId="77777777" w:rsidR="008265EC" w:rsidRPr="00015006" w:rsidRDefault="008265EC" w:rsidP="008265EC">
      <w:pPr>
        <w:shd w:val="clear" w:color="auto" w:fill="FFFFFF"/>
        <w:spacing w:line="231" w:lineRule="atLeast"/>
        <w:jc w:val="both"/>
        <w:rPr>
          <w:rFonts w:eastAsia="SimSun"/>
          <w:b/>
          <w:bCs/>
          <w:color w:val="000000"/>
          <w:highlight w:val="green"/>
          <w:lang w:val="en-US" w:eastAsia="zh-CN"/>
        </w:rPr>
      </w:pPr>
      <w:r w:rsidRPr="00015006">
        <w:rPr>
          <w:rFonts w:eastAsia="SimSun"/>
          <w:b/>
          <w:bCs/>
          <w:color w:val="000000"/>
          <w:highlight w:val="green"/>
          <w:shd w:val="clear" w:color="auto" w:fill="FFFF00"/>
          <w:lang w:val="en-US" w:eastAsia="zh-CN"/>
        </w:rPr>
        <w:t>Agreement</w:t>
      </w:r>
    </w:p>
    <w:p w14:paraId="5256AD70" w14:textId="77777777" w:rsidR="008265EC" w:rsidRPr="00283002" w:rsidRDefault="008265EC" w:rsidP="008265EC">
      <w:pPr>
        <w:shd w:val="clear" w:color="auto" w:fill="FFFFFF"/>
        <w:spacing w:line="231" w:lineRule="atLeast"/>
        <w:jc w:val="both"/>
        <w:rPr>
          <w:rFonts w:ascii="Calibri" w:eastAsia="SimSun" w:hAnsi="Calibri" w:cs="Calibri"/>
          <w:color w:val="000000"/>
          <w:sz w:val="22"/>
          <w:szCs w:val="22"/>
          <w:lang w:val="en-US" w:eastAsia="zh-CN"/>
        </w:rPr>
      </w:pPr>
      <w:r w:rsidRPr="00283002">
        <w:rPr>
          <w:rFonts w:eastAsia="SimSun"/>
          <w:color w:val="000000"/>
          <w:lang w:val="en-US" w:eastAsia="zh-CN"/>
        </w:rPr>
        <w:t>Confirm the following working assumption from RAN1#105-e regarding RACH occasions.</w:t>
      </w:r>
    </w:p>
    <w:p w14:paraId="62487FDF" w14:textId="77777777" w:rsidR="008265EC" w:rsidRPr="00283002" w:rsidRDefault="008265EC" w:rsidP="008265EC">
      <w:pPr>
        <w:numPr>
          <w:ilvl w:val="0"/>
          <w:numId w:val="16"/>
        </w:numPr>
        <w:shd w:val="clear" w:color="auto" w:fill="FFFFFF"/>
        <w:spacing w:after="0" w:line="231" w:lineRule="atLeast"/>
        <w:rPr>
          <w:rFonts w:ascii="Calibri" w:eastAsia="Microsoft YaHei UI" w:hAnsi="Calibri" w:cs="Calibri"/>
          <w:color w:val="000000"/>
          <w:sz w:val="22"/>
          <w:szCs w:val="22"/>
          <w:lang w:val="en-US" w:eastAsia="zh-CN"/>
        </w:rPr>
      </w:pPr>
      <w:r w:rsidRPr="00283002">
        <w:rPr>
          <w:rFonts w:eastAsia="Microsoft YaHei UI"/>
          <w:color w:val="000000"/>
          <w:lang w:val="en-US" w:eastAsia="zh-CN"/>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125E7438" w14:textId="77777777" w:rsidR="008265EC" w:rsidRPr="00283002" w:rsidRDefault="008265EC" w:rsidP="008265EC">
      <w:pPr>
        <w:numPr>
          <w:ilvl w:val="1"/>
          <w:numId w:val="16"/>
        </w:numPr>
        <w:shd w:val="clear" w:color="auto" w:fill="FFFFFF"/>
        <w:spacing w:after="0" w:line="231" w:lineRule="atLeast"/>
        <w:rPr>
          <w:rFonts w:ascii="Calibri" w:eastAsia="Microsoft YaHei UI" w:hAnsi="Calibri" w:cs="Calibri"/>
          <w:color w:val="000000"/>
          <w:sz w:val="22"/>
          <w:szCs w:val="22"/>
          <w:lang w:val="en-US" w:eastAsia="zh-CN"/>
        </w:rPr>
      </w:pPr>
      <w:r w:rsidRPr="00283002">
        <w:rPr>
          <w:rFonts w:eastAsia="Microsoft YaHei UI"/>
          <w:color w:val="000000"/>
          <w:lang w:val="en-US" w:eastAsia="zh-CN"/>
        </w:rPr>
        <w:t>Note: these ROs can be dedicated for RedCap UEs or shared with non-RedCap UEs.</w:t>
      </w:r>
    </w:p>
    <w:p w14:paraId="4C9D3287" w14:textId="77777777" w:rsidR="008265EC" w:rsidRPr="00C348E6" w:rsidRDefault="008265EC" w:rsidP="008265EC">
      <w:pPr>
        <w:shd w:val="clear" w:color="auto" w:fill="FFFFFF"/>
        <w:spacing w:line="231" w:lineRule="atLeast"/>
        <w:rPr>
          <w:rFonts w:ascii="Calibri" w:eastAsia="SimSun" w:hAnsi="Calibri" w:cs="Calibri"/>
          <w:color w:val="000000"/>
          <w:sz w:val="22"/>
          <w:szCs w:val="22"/>
          <w:lang w:val="en-US" w:eastAsia="zh-CN"/>
        </w:rPr>
      </w:pPr>
      <w:r w:rsidRPr="00283002">
        <w:rPr>
          <w:rFonts w:eastAsia="SimSun"/>
          <w:b/>
          <w:bCs/>
          <w:color w:val="000000"/>
          <w:lang w:val="en-US" w:eastAsia="zh-CN"/>
        </w:rPr>
        <w:t> </w:t>
      </w:r>
      <w:r w:rsidRPr="00C348E6">
        <w:rPr>
          <w:rFonts w:eastAsia="SimSun"/>
          <w:b/>
          <w:bCs/>
          <w:color w:val="000000"/>
          <w:lang w:eastAsia="zh-CN"/>
        </w:rPr>
        <w:t> </w:t>
      </w:r>
    </w:p>
    <w:p w14:paraId="45A848FF" w14:textId="77777777" w:rsidR="008265EC" w:rsidRPr="009D167A" w:rsidRDefault="008265EC" w:rsidP="008265EC">
      <w:pPr>
        <w:shd w:val="clear" w:color="auto" w:fill="FFFFFF"/>
        <w:spacing w:line="233" w:lineRule="atLeast"/>
        <w:rPr>
          <w:rFonts w:ascii="Calibri" w:eastAsia="SimSun" w:hAnsi="Calibri" w:cs="Calibri"/>
          <w:color w:val="000000"/>
          <w:sz w:val="22"/>
          <w:szCs w:val="22"/>
          <w:highlight w:val="green"/>
          <w:lang w:val="en-US" w:eastAsia="zh-CN"/>
        </w:rPr>
      </w:pPr>
      <w:r w:rsidRPr="009D167A">
        <w:rPr>
          <w:rFonts w:eastAsia="SimSun"/>
          <w:b/>
          <w:bCs/>
          <w:color w:val="000000"/>
          <w:highlight w:val="green"/>
          <w:shd w:val="clear" w:color="auto" w:fill="FFFF00"/>
          <w:lang w:val="en-US" w:eastAsia="zh-CN"/>
        </w:rPr>
        <w:lastRenderedPageBreak/>
        <w:t>Agreement</w:t>
      </w:r>
    </w:p>
    <w:p w14:paraId="64054450" w14:textId="77777777" w:rsidR="008265EC" w:rsidRPr="00591C9D" w:rsidRDefault="008265EC" w:rsidP="008265EC">
      <w:pPr>
        <w:numPr>
          <w:ilvl w:val="0"/>
          <w:numId w:val="17"/>
        </w:numPr>
        <w:shd w:val="clear" w:color="auto" w:fill="FFFFFF"/>
        <w:spacing w:after="0" w:line="231" w:lineRule="atLeast"/>
        <w:rPr>
          <w:rFonts w:ascii="Calibri" w:eastAsia="Microsoft YaHei UI" w:hAnsi="Calibri" w:cs="Calibri"/>
          <w:color w:val="000000"/>
          <w:sz w:val="22"/>
          <w:szCs w:val="22"/>
          <w:lang w:val="en-US" w:eastAsia="zh-CN"/>
        </w:rPr>
      </w:pPr>
      <w:r w:rsidRPr="00591C9D">
        <w:rPr>
          <w:rFonts w:eastAsia="Microsoft YaHei UI" w:cs="Times"/>
          <w:color w:val="000000"/>
          <w:lang w:val="en-US" w:eastAsia="zh-CN"/>
        </w:rPr>
        <w:t xml:space="preserve">In case a separate initial UL BWP is configured for RedCap UEs, it is supported that the network can enable/disable intra-slot PUCCH frequency hopping within the separate initial UL BWP in the PUCCH </w:t>
      </w:r>
      <w:r>
        <w:rPr>
          <w:rFonts w:eastAsia="Microsoft YaHei UI" w:cs="Times"/>
          <w:color w:val="000000"/>
          <w:lang w:val="en-US" w:eastAsia="zh-CN"/>
        </w:rPr>
        <w:t>resource</w:t>
      </w:r>
      <w:r w:rsidRPr="00591C9D">
        <w:rPr>
          <w:rFonts w:eastAsia="Microsoft YaHei UI" w:cs="Times"/>
          <w:color w:val="000000"/>
          <w:lang w:val="en-US" w:eastAsia="zh-CN"/>
        </w:rPr>
        <w:t xml:space="preserve"> for HARQ feedback for Msg4/MsgB for RedCap UEs.</w:t>
      </w:r>
    </w:p>
    <w:p w14:paraId="50BE33B5" w14:textId="2254436F" w:rsidR="008265EC" w:rsidRPr="008265EC" w:rsidRDefault="008265EC" w:rsidP="000C3B32">
      <w:pPr>
        <w:numPr>
          <w:ilvl w:val="1"/>
          <w:numId w:val="17"/>
        </w:numPr>
        <w:shd w:val="clear" w:color="auto" w:fill="FFFFFF"/>
        <w:spacing w:after="0" w:line="231" w:lineRule="atLeast"/>
        <w:rPr>
          <w:lang w:val="en-US" w:eastAsia="ja-JP"/>
        </w:rPr>
      </w:pPr>
      <w:r w:rsidRPr="008265EC">
        <w:rPr>
          <w:rFonts w:eastAsia="Microsoft YaHei UI" w:cs="Times"/>
          <w:color w:val="000000"/>
          <w:lang w:val="en-US" w:eastAsia="zh-CN"/>
        </w:rPr>
        <w:t>Working assumption: The frequency hopping is enabled/disabled at least via SIB.</w:t>
      </w:r>
    </w:p>
    <w:sectPr w:rsidR="008265EC" w:rsidRPr="008265EC">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FE5CC" w14:textId="77777777" w:rsidR="000F326C" w:rsidRDefault="000F326C">
      <w:r>
        <w:separator/>
      </w:r>
    </w:p>
  </w:endnote>
  <w:endnote w:type="continuationSeparator" w:id="0">
    <w:p w14:paraId="19A92641" w14:textId="77777777" w:rsidR="000F326C" w:rsidRDefault="000F3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3A68B40F"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692AAA">
      <w:rPr>
        <w:rStyle w:val="af7"/>
      </w:rPr>
      <w:t>1</w:t>
    </w:r>
    <w:r>
      <w:rPr>
        <w:rStyle w:val="af7"/>
      </w:rPr>
      <w:fldChar w:fldCharType="end"/>
    </w:r>
  </w:p>
  <w:p w14:paraId="7321CB8C"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554FF" w14:textId="77777777" w:rsidR="000F326C" w:rsidRDefault="000F326C">
      <w:r>
        <w:separator/>
      </w:r>
    </w:p>
  </w:footnote>
  <w:footnote w:type="continuationSeparator" w:id="0">
    <w:p w14:paraId="01FF4FF9" w14:textId="77777777" w:rsidR="000F326C" w:rsidRDefault="000F3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5"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6" w15:restartNumberingAfterBreak="0">
    <w:nsid w:val="262A5181"/>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8"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1" w15:restartNumberingAfterBreak="0">
    <w:nsid w:val="364A6752"/>
    <w:multiLevelType w:val="multilevel"/>
    <w:tmpl w:val="05E80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27F2737"/>
    <w:multiLevelType w:val="multilevel"/>
    <w:tmpl w:val="527F2737"/>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6"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7"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8"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6"/>
  </w:num>
  <w:num w:numId="2">
    <w:abstractNumId w:val="15"/>
  </w:num>
  <w:num w:numId="3">
    <w:abstractNumId w:val="9"/>
  </w:num>
  <w:num w:numId="4">
    <w:abstractNumId w:val="4"/>
  </w:num>
  <w:num w:numId="5">
    <w:abstractNumId w:val="1"/>
  </w:num>
  <w:num w:numId="6">
    <w:abstractNumId w:val="7"/>
  </w:num>
  <w:num w:numId="7">
    <w:abstractNumId w:val="17"/>
  </w:num>
  <w:num w:numId="8">
    <w:abstractNumId w:val="10"/>
  </w:num>
  <w:num w:numId="9">
    <w:abstractNumId w:val="5"/>
  </w:num>
  <w:num w:numId="10">
    <w:abstractNumId w:val="18"/>
  </w:num>
  <w:num w:numId="11">
    <w:abstractNumId w:val="0"/>
  </w:num>
  <w:num w:numId="12">
    <w:abstractNumId w:val="2"/>
  </w:num>
  <w:num w:numId="13">
    <w:abstractNumId w:val="8"/>
  </w:num>
  <w:num w:numId="14">
    <w:abstractNumId w:val="3"/>
  </w:num>
  <w:num w:numId="15">
    <w:abstractNumId w:val="14"/>
  </w:num>
  <w:num w:numId="16">
    <w:abstractNumId w:val="12"/>
  </w:num>
  <w:num w:numId="17">
    <w:abstractNumId w:val="11"/>
  </w:num>
  <w:num w:numId="18">
    <w:abstractNumId w:val="13"/>
  </w:num>
  <w:num w:numId="1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3A5A"/>
    <w:rsid w:val="000555B2"/>
    <w:rsid w:val="00056CBF"/>
    <w:rsid w:val="00061D2B"/>
    <w:rsid w:val="00063B2C"/>
    <w:rsid w:val="000648E4"/>
    <w:rsid w:val="00065827"/>
    <w:rsid w:val="00066137"/>
    <w:rsid w:val="000704F5"/>
    <w:rsid w:val="000706D0"/>
    <w:rsid w:val="00070FEF"/>
    <w:rsid w:val="000711D0"/>
    <w:rsid w:val="00071866"/>
    <w:rsid w:val="00076C4C"/>
    <w:rsid w:val="00077440"/>
    <w:rsid w:val="0008050D"/>
    <w:rsid w:val="00080516"/>
    <w:rsid w:val="00080E86"/>
    <w:rsid w:val="00081AFC"/>
    <w:rsid w:val="0008208A"/>
    <w:rsid w:val="0008240D"/>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326C"/>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35CC"/>
    <w:rsid w:val="00133A6E"/>
    <w:rsid w:val="00133C5F"/>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98D"/>
    <w:rsid w:val="001A2217"/>
    <w:rsid w:val="001A2372"/>
    <w:rsid w:val="001A4E98"/>
    <w:rsid w:val="001A552F"/>
    <w:rsid w:val="001A6612"/>
    <w:rsid w:val="001A6F0F"/>
    <w:rsid w:val="001A7D4C"/>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85F"/>
    <w:rsid w:val="001E3B7F"/>
    <w:rsid w:val="001E40F3"/>
    <w:rsid w:val="001E45F3"/>
    <w:rsid w:val="001E4AC2"/>
    <w:rsid w:val="001E6555"/>
    <w:rsid w:val="001F1AD9"/>
    <w:rsid w:val="001F3820"/>
    <w:rsid w:val="001F4D0C"/>
    <w:rsid w:val="001F4FD5"/>
    <w:rsid w:val="001F6DD2"/>
    <w:rsid w:val="00202106"/>
    <w:rsid w:val="00202226"/>
    <w:rsid w:val="00203216"/>
    <w:rsid w:val="0020440C"/>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43AE"/>
    <w:rsid w:val="00277900"/>
    <w:rsid w:val="00281169"/>
    <w:rsid w:val="002811A1"/>
    <w:rsid w:val="002816BC"/>
    <w:rsid w:val="00282754"/>
    <w:rsid w:val="00283143"/>
    <w:rsid w:val="002831C8"/>
    <w:rsid w:val="00284E31"/>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5245"/>
    <w:rsid w:val="002D0934"/>
    <w:rsid w:val="002D0AE4"/>
    <w:rsid w:val="002D1F9F"/>
    <w:rsid w:val="002D4081"/>
    <w:rsid w:val="002D5122"/>
    <w:rsid w:val="002D5CB0"/>
    <w:rsid w:val="002D61A8"/>
    <w:rsid w:val="002D6E51"/>
    <w:rsid w:val="002D773F"/>
    <w:rsid w:val="002D77E2"/>
    <w:rsid w:val="002E0B88"/>
    <w:rsid w:val="002E121E"/>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6210"/>
    <w:rsid w:val="0037636D"/>
    <w:rsid w:val="00376731"/>
    <w:rsid w:val="00376BC4"/>
    <w:rsid w:val="00377208"/>
    <w:rsid w:val="00377B67"/>
    <w:rsid w:val="00377E05"/>
    <w:rsid w:val="00382F2A"/>
    <w:rsid w:val="00383A91"/>
    <w:rsid w:val="00383AFA"/>
    <w:rsid w:val="0038455D"/>
    <w:rsid w:val="003845B6"/>
    <w:rsid w:val="00384AFC"/>
    <w:rsid w:val="003857C4"/>
    <w:rsid w:val="003864C0"/>
    <w:rsid w:val="00386D9C"/>
    <w:rsid w:val="00390EB1"/>
    <w:rsid w:val="00393320"/>
    <w:rsid w:val="00393840"/>
    <w:rsid w:val="00393BEC"/>
    <w:rsid w:val="003A0BAD"/>
    <w:rsid w:val="003A0CF1"/>
    <w:rsid w:val="003A32DE"/>
    <w:rsid w:val="003A3607"/>
    <w:rsid w:val="003A3F19"/>
    <w:rsid w:val="003A601E"/>
    <w:rsid w:val="003A6561"/>
    <w:rsid w:val="003A66FA"/>
    <w:rsid w:val="003A7272"/>
    <w:rsid w:val="003A7556"/>
    <w:rsid w:val="003A7E63"/>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2B8A"/>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30BF"/>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3A4"/>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A3653"/>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9D6"/>
    <w:rsid w:val="00582F0E"/>
    <w:rsid w:val="0058440E"/>
    <w:rsid w:val="005852CD"/>
    <w:rsid w:val="005857B8"/>
    <w:rsid w:val="00586C5D"/>
    <w:rsid w:val="005911BF"/>
    <w:rsid w:val="0059406C"/>
    <w:rsid w:val="0059442F"/>
    <w:rsid w:val="00595ED4"/>
    <w:rsid w:val="005966F5"/>
    <w:rsid w:val="0059752F"/>
    <w:rsid w:val="0059777B"/>
    <w:rsid w:val="005A1194"/>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C7D59"/>
    <w:rsid w:val="005D0193"/>
    <w:rsid w:val="005D0C91"/>
    <w:rsid w:val="005D50B6"/>
    <w:rsid w:val="005D6185"/>
    <w:rsid w:val="005D61C1"/>
    <w:rsid w:val="005D6278"/>
    <w:rsid w:val="005D7BE6"/>
    <w:rsid w:val="005D7D0B"/>
    <w:rsid w:val="005E072E"/>
    <w:rsid w:val="005E0861"/>
    <w:rsid w:val="005E0B28"/>
    <w:rsid w:val="005E3F35"/>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453"/>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2AAA"/>
    <w:rsid w:val="006948EA"/>
    <w:rsid w:val="00695426"/>
    <w:rsid w:val="006963D6"/>
    <w:rsid w:val="006963F5"/>
    <w:rsid w:val="006974A0"/>
    <w:rsid w:val="00697B41"/>
    <w:rsid w:val="006A00CA"/>
    <w:rsid w:val="006A204B"/>
    <w:rsid w:val="006A26F8"/>
    <w:rsid w:val="006A3D76"/>
    <w:rsid w:val="006A4D02"/>
    <w:rsid w:val="006B0717"/>
    <w:rsid w:val="006B0737"/>
    <w:rsid w:val="006B0B2B"/>
    <w:rsid w:val="006B2DBE"/>
    <w:rsid w:val="006B364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BCE"/>
    <w:rsid w:val="006E2066"/>
    <w:rsid w:val="006E42E7"/>
    <w:rsid w:val="006E4432"/>
    <w:rsid w:val="006E50F8"/>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61C"/>
    <w:rsid w:val="00721E15"/>
    <w:rsid w:val="00724138"/>
    <w:rsid w:val="00724321"/>
    <w:rsid w:val="00724965"/>
    <w:rsid w:val="00724EE9"/>
    <w:rsid w:val="0072530D"/>
    <w:rsid w:val="0072752A"/>
    <w:rsid w:val="00727613"/>
    <w:rsid w:val="007276E1"/>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770C"/>
    <w:rsid w:val="00777B45"/>
    <w:rsid w:val="00781EB9"/>
    <w:rsid w:val="007821E5"/>
    <w:rsid w:val="00783B42"/>
    <w:rsid w:val="00783C90"/>
    <w:rsid w:val="00785315"/>
    <w:rsid w:val="00790C3F"/>
    <w:rsid w:val="007915EE"/>
    <w:rsid w:val="007926BB"/>
    <w:rsid w:val="00792E35"/>
    <w:rsid w:val="00794CDA"/>
    <w:rsid w:val="00794F2E"/>
    <w:rsid w:val="00794FAF"/>
    <w:rsid w:val="00796479"/>
    <w:rsid w:val="007964BD"/>
    <w:rsid w:val="00796D2A"/>
    <w:rsid w:val="007970D4"/>
    <w:rsid w:val="007A03B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F0DC5"/>
    <w:rsid w:val="007F1345"/>
    <w:rsid w:val="007F15D5"/>
    <w:rsid w:val="007F1CA3"/>
    <w:rsid w:val="007F3983"/>
    <w:rsid w:val="007F45AA"/>
    <w:rsid w:val="007F4D0E"/>
    <w:rsid w:val="00800148"/>
    <w:rsid w:val="00800B9C"/>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265EC"/>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2F11"/>
    <w:rsid w:val="00883A6D"/>
    <w:rsid w:val="00883AA5"/>
    <w:rsid w:val="008845EF"/>
    <w:rsid w:val="00891094"/>
    <w:rsid w:val="00892803"/>
    <w:rsid w:val="00893601"/>
    <w:rsid w:val="00893A7E"/>
    <w:rsid w:val="00893F83"/>
    <w:rsid w:val="008955DA"/>
    <w:rsid w:val="00895BF4"/>
    <w:rsid w:val="008A064D"/>
    <w:rsid w:val="008A1A41"/>
    <w:rsid w:val="008A5382"/>
    <w:rsid w:val="008A5816"/>
    <w:rsid w:val="008B0487"/>
    <w:rsid w:val="008B04B7"/>
    <w:rsid w:val="008B1003"/>
    <w:rsid w:val="008B5579"/>
    <w:rsid w:val="008B6355"/>
    <w:rsid w:val="008C0FB0"/>
    <w:rsid w:val="008C18E9"/>
    <w:rsid w:val="008C2A6A"/>
    <w:rsid w:val="008C3A95"/>
    <w:rsid w:val="008C4A4D"/>
    <w:rsid w:val="008C4DC4"/>
    <w:rsid w:val="008C6467"/>
    <w:rsid w:val="008C7E71"/>
    <w:rsid w:val="008C7E85"/>
    <w:rsid w:val="008D12CE"/>
    <w:rsid w:val="008D3ACC"/>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3F50"/>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0E5"/>
    <w:rsid w:val="00947941"/>
    <w:rsid w:val="009479FA"/>
    <w:rsid w:val="00952158"/>
    <w:rsid w:val="0095249B"/>
    <w:rsid w:val="00952C0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3D3B"/>
    <w:rsid w:val="00975096"/>
    <w:rsid w:val="00975D7C"/>
    <w:rsid w:val="00975EB8"/>
    <w:rsid w:val="009762E9"/>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03A"/>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752"/>
    <w:rsid w:val="00AB7B54"/>
    <w:rsid w:val="00AC33CC"/>
    <w:rsid w:val="00AC3B8A"/>
    <w:rsid w:val="00AC43D7"/>
    <w:rsid w:val="00AC594D"/>
    <w:rsid w:val="00AC68DC"/>
    <w:rsid w:val="00AD2858"/>
    <w:rsid w:val="00AD4F86"/>
    <w:rsid w:val="00AE0372"/>
    <w:rsid w:val="00AE120D"/>
    <w:rsid w:val="00AE439E"/>
    <w:rsid w:val="00AE55D9"/>
    <w:rsid w:val="00AE5BC8"/>
    <w:rsid w:val="00AE5C1C"/>
    <w:rsid w:val="00AE698A"/>
    <w:rsid w:val="00AE7C99"/>
    <w:rsid w:val="00AF0065"/>
    <w:rsid w:val="00AF0ED9"/>
    <w:rsid w:val="00AF1572"/>
    <w:rsid w:val="00AF26C3"/>
    <w:rsid w:val="00AF3B36"/>
    <w:rsid w:val="00AF424F"/>
    <w:rsid w:val="00AF465D"/>
    <w:rsid w:val="00AF4D1B"/>
    <w:rsid w:val="00AF600C"/>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3110"/>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536"/>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16F"/>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5F00"/>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2B1C"/>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7AF6"/>
    <w:rsid w:val="00DA04F3"/>
    <w:rsid w:val="00DA0F22"/>
    <w:rsid w:val="00DA43AC"/>
    <w:rsid w:val="00DA4F0D"/>
    <w:rsid w:val="00DA591D"/>
    <w:rsid w:val="00DA5DB0"/>
    <w:rsid w:val="00DB033A"/>
    <w:rsid w:val="00DB0664"/>
    <w:rsid w:val="00DB0758"/>
    <w:rsid w:val="00DB11D0"/>
    <w:rsid w:val="00DB30C4"/>
    <w:rsid w:val="00DB333B"/>
    <w:rsid w:val="00DB3E99"/>
    <w:rsid w:val="00DB48BF"/>
    <w:rsid w:val="00DB523C"/>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F42"/>
    <w:rsid w:val="00E20F48"/>
    <w:rsid w:val="00E21828"/>
    <w:rsid w:val="00E231E4"/>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26F7"/>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6DE"/>
    <w:rsid w:val="00EE351D"/>
    <w:rsid w:val="00EE428D"/>
    <w:rsid w:val="00EE4E51"/>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5DC7"/>
    <w:rsid w:val="00F17759"/>
    <w:rsid w:val="00F20A0F"/>
    <w:rsid w:val="00F20DA7"/>
    <w:rsid w:val="00F216FD"/>
    <w:rsid w:val="00F21A07"/>
    <w:rsid w:val="00F227FB"/>
    <w:rsid w:val="00F23FC2"/>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DA1"/>
    <w:rsid w:val="00F62F9E"/>
    <w:rsid w:val="00F63955"/>
    <w:rsid w:val="00F648DE"/>
    <w:rsid w:val="00F65EB3"/>
    <w:rsid w:val="00F66025"/>
    <w:rsid w:val="00F67F48"/>
    <w:rsid w:val="00F71EA1"/>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D1666"/>
    <w:rsid w:val="00FD18D6"/>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character" w:customStyle="1" w:styleId="af9">
    <w:name w:val="リスト段落 (文字)"/>
    <w:link w:val="afa"/>
    <w:uiPriority w:val="34"/>
    <w:qFormat/>
    <w:locked/>
    <w:rsid w:val="00C07536"/>
    <w:rPr>
      <w:rFonts w:ascii="Times" w:eastAsia="SimSun" w:hAnsi="Times" w:cs="Times"/>
      <w:sz w:val="22"/>
      <w:szCs w:val="24"/>
    </w:rPr>
  </w:style>
  <w:style w:type="paragraph" w:styleId="afa">
    <w:name w:val="List Paragraph"/>
    <w:basedOn w:val="a"/>
    <w:link w:val="af9"/>
    <w:uiPriority w:val="34"/>
    <w:qFormat/>
    <w:rsid w:val="00C07536"/>
    <w:pPr>
      <w:spacing w:line="252" w:lineRule="auto"/>
      <w:ind w:left="720"/>
      <w:contextualSpacing/>
    </w:pPr>
    <w:rPr>
      <w:rFonts w:ascii="Times" w:eastAsia="SimSun" w:hAnsi="Times" w:cs="Times"/>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6-e/Docs/R1-2108632.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WG1_RL1/TSGR1_106b-e/Docs/R1-2108692.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1477</Words>
  <Characters>8421</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
  <LinksUpToDate>false</LinksUpToDate>
  <CharactersWithSpaces>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DENSO CORPORATION</cp:lastModifiedBy>
  <cp:revision>5</cp:revision>
  <cp:lastPrinted>2006-02-09T00:55:00Z</cp:lastPrinted>
  <dcterms:created xsi:type="dcterms:W3CDTF">2021-10-01T17:37:00Z</dcterms:created>
  <dcterms:modified xsi:type="dcterms:W3CDTF">2021-10-01T17:39:00Z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ies>
</file>