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enter" w:pos="4536" w:leader="none"/>
          <w:tab w:val="right" w:pos="8280" w:leader="none"/>
          <w:tab w:val="right" w:pos="9639" w:leader="none"/>
        </w:tabs>
        <w:ind w:right="2" w:hanging="0"/>
        <w:jc w:val="both"/>
        <w:rPr>
          <w:rFonts w:ascii="Arial" w:hAnsi="Arial" w:cs="Arial"/>
          <w:b/>
          <w:b/>
          <w:bCs/>
          <w:sz w:val="28"/>
        </w:rPr>
      </w:pPr>
      <w:bookmarkStart w:id="0" w:name="_Ref513464071"/>
      <w:bookmarkStart w:id="1" w:name="_Hlk47516216"/>
      <w:bookmarkEnd w:id="1"/>
      <w:r>
        <w:rPr>
          <w:rFonts w:cs="Arial" w:ascii="Arial" w:hAnsi="Arial"/>
          <w:b/>
          <w:bCs/>
          <w:position w:val="6"/>
          <w:sz w:val="28"/>
        </w:rPr>
        <w:t xml:space="preserve">3GPP TSG RAN WG1 </w:t>
      </w:r>
      <w:r>
        <w:rPr>
          <w:rFonts w:cs="Arial" w:ascii="Arial" w:hAnsi="Arial"/>
          <w:b/>
          <w:bCs/>
          <w:sz w:val="28"/>
        </w:rPr>
        <w:t>#106-e</w:t>
        <w:tab/>
        <w:tab/>
        <w:tab/>
        <w:t>R1-2107039</w:t>
      </w:r>
    </w:p>
    <w:p>
      <w:pPr>
        <w:pStyle w:val="Normal"/>
        <w:tabs>
          <w:tab w:val="center" w:pos="4536" w:leader="none"/>
          <w:tab w:val="right" w:pos="9072" w:leader="none"/>
        </w:tabs>
        <w:jc w:val="both"/>
        <w:rPr>
          <w:rFonts w:ascii="Arial" w:hAnsi="Arial" w:eastAsia="MS Mincho" w:cs="Arial"/>
          <w:b/>
          <w:b/>
          <w:bCs/>
          <w:sz w:val="28"/>
          <w:lang w:eastAsia="ja-JP"/>
        </w:rPr>
      </w:pPr>
      <w:r>
        <w:rPr>
          <w:rFonts w:eastAsia="MS Mincho" w:cs="Arial" w:ascii="Arial" w:hAnsi="Arial"/>
          <w:b/>
          <w:bCs/>
          <w:sz w:val="28"/>
          <w:lang w:eastAsia="ja-JP"/>
        </w:rPr>
        <w:t>e-Meeting, August 16</w:t>
      </w:r>
      <w:r>
        <w:rPr>
          <w:rFonts w:eastAsia="MS Mincho" w:cs="Arial" w:ascii="Arial" w:hAnsi="Arial"/>
          <w:b/>
          <w:bCs/>
          <w:sz w:val="28"/>
          <w:vertAlign w:val="superscript"/>
          <w:lang w:eastAsia="ja-JP"/>
        </w:rPr>
        <w:t>th</w:t>
      </w:r>
      <w:r>
        <w:rPr>
          <w:rFonts w:eastAsia="MS Mincho" w:cs="Arial" w:ascii="Arial" w:hAnsi="Arial"/>
          <w:b/>
          <w:bCs/>
          <w:sz w:val="28"/>
          <w:lang w:eastAsia="ja-JP"/>
        </w:rPr>
        <w:t xml:space="preserve"> – 27</w:t>
      </w:r>
      <w:r>
        <w:rPr>
          <w:rFonts w:eastAsia="MS Mincho" w:cs="Arial" w:ascii="Arial" w:hAnsi="Arial"/>
          <w:b/>
          <w:bCs/>
          <w:sz w:val="28"/>
          <w:vertAlign w:val="superscript"/>
          <w:lang w:eastAsia="ja-JP"/>
        </w:rPr>
        <w:t>th</w:t>
      </w:r>
      <w:r>
        <w:rPr>
          <w:rFonts w:eastAsia="MS Mincho" w:cs="Arial" w:ascii="Arial" w:hAnsi="Arial"/>
          <w:b/>
          <w:bCs/>
          <w:sz w:val="28"/>
          <w:lang w:eastAsia="ja-JP"/>
        </w:rPr>
        <w:t>, 2021</w:t>
      </w:r>
      <w:bookmarkStart w:id="2" w:name="_Hlk53437339"/>
      <w:bookmarkEnd w:id="2"/>
    </w:p>
    <w:p>
      <w:pPr>
        <w:pStyle w:val="CRCoverPage"/>
        <w:tabs>
          <w:tab w:val="left" w:pos="1980" w:leader="none"/>
        </w:tabs>
        <w:spacing w:lineRule="auto" w:line="276"/>
        <w:jc w:val="both"/>
        <w:rPr>
          <w:rFonts w:cs="Arial"/>
          <w:b/>
          <w:b/>
          <w:bCs/>
          <w:sz w:val="24"/>
          <w:szCs w:val="24"/>
          <w:lang w:val="en-US" w:eastAsia="ja-JP"/>
        </w:rPr>
      </w:pPr>
      <w:r>
        <w:rPr>
          <w:rFonts w:cs="Arial"/>
          <w:b/>
          <w:bCs/>
          <w:sz w:val="24"/>
          <w:szCs w:val="24"/>
          <w:lang w:val="en-US"/>
        </w:rPr>
        <w:t>Agenda Item:</w:t>
        <w:tab/>
        <w:t>8.2.5</w:t>
      </w:r>
    </w:p>
    <w:p>
      <w:pPr>
        <w:pStyle w:val="Normal"/>
        <w:tabs>
          <w:tab w:val="left" w:pos="1985" w:leader="none"/>
        </w:tabs>
        <w:spacing w:lineRule="auto" w:line="276"/>
        <w:jc w:val="both"/>
        <w:rPr>
          <w:rFonts w:ascii="Arial" w:hAnsi="Arial" w:cs="Arial"/>
          <w:bCs/>
        </w:rPr>
      </w:pPr>
      <w:r>
        <w:rPr>
          <w:rFonts w:cs="Arial" w:ascii="Arial" w:hAnsi="Arial"/>
          <w:b/>
          <w:bCs/>
        </w:rPr>
        <w:t>Source:</w:t>
        <w:tab/>
        <w:t>CEWiT, Tejas Networks, IITM, IITH, IITB</w:t>
      </w:r>
    </w:p>
    <w:p>
      <w:pPr>
        <w:pStyle w:val="Normal"/>
        <w:spacing w:lineRule="auto" w:line="276"/>
        <w:ind w:left="1985" w:hanging="1985"/>
        <w:jc w:val="both"/>
        <w:rPr>
          <w:rFonts w:ascii="Arial" w:hAnsi="Arial" w:cs="Arial"/>
          <w:b/>
          <w:b/>
          <w:bCs/>
        </w:rPr>
      </w:pPr>
      <w:r>
        <w:rPr>
          <w:rFonts w:cs="Arial" w:ascii="Arial" w:hAnsi="Arial"/>
          <w:b/>
          <w:bCs/>
        </w:rPr>
        <w:t>Title:</w:t>
        <w:tab/>
      </w:r>
      <w:bookmarkStart w:id="3" w:name="_Hlk62068673"/>
      <w:r>
        <w:rPr>
          <w:rFonts w:cs="Arial" w:ascii="Arial" w:hAnsi="Arial"/>
          <w:b/>
          <w:bCs/>
        </w:rPr>
        <w:t xml:space="preserve">Enhancements of PDSCH/PUSCH Scheduling </w:t>
      </w:r>
      <w:bookmarkEnd w:id="3"/>
      <w:r>
        <w:rPr>
          <w:rFonts w:cs="Arial" w:ascii="Arial" w:hAnsi="Arial"/>
          <w:b/>
          <w:bCs/>
        </w:rPr>
        <w:t>for 52.6 GHz to 71 GHz Band</w:t>
      </w:r>
    </w:p>
    <w:p>
      <w:pPr>
        <w:pStyle w:val="Normal"/>
        <w:spacing w:lineRule="auto" w:line="276"/>
        <w:ind w:left="1985" w:hanging="1985"/>
        <w:jc w:val="both"/>
        <w:rPr>
          <w:rFonts w:ascii="Arial" w:hAnsi="Arial" w:cs="Arial"/>
          <w:b/>
          <w:b/>
          <w:bCs/>
        </w:rPr>
      </w:pPr>
      <w:r>
        <w:rPr>
          <w:rFonts w:cs="Arial" w:ascii="Arial" w:hAnsi="Arial"/>
          <w:b/>
          <w:bCs/>
        </w:rPr>
        <w:t>Document for:</w:t>
        <w:tab/>
        <w:t>Discussion</w:t>
      </w:r>
      <w:bookmarkStart w:id="4" w:name="_Hlk4231204"/>
      <w:bookmarkEnd w:id="4"/>
    </w:p>
    <w:p>
      <w:pPr>
        <w:pStyle w:val="Heading1"/>
        <w:numPr>
          <w:ilvl w:val="0"/>
          <w:numId w:val="2"/>
        </w:numPr>
        <w:jc w:val="both"/>
        <w:rPr>
          <w:rFonts w:cs="Arial"/>
          <w:b/>
          <w:b/>
          <w:sz w:val="32"/>
          <w:szCs w:val="32"/>
        </w:rPr>
      </w:pPr>
      <w:bookmarkStart w:id="5" w:name="_Ref513464071"/>
      <w:r>
        <w:rPr>
          <w:rFonts w:cs="Arial"/>
          <w:b/>
          <w:sz w:val="32"/>
          <w:szCs w:val="32"/>
        </w:rPr>
        <w:t>Introduction</w:t>
      </w:r>
      <w:bookmarkEnd w:id="5"/>
    </w:p>
    <w:p>
      <w:pPr>
        <w:pStyle w:val="TextBody"/>
        <w:spacing w:before="0" w:after="0"/>
        <w:ind w:firstLine="288"/>
        <w:jc w:val="both"/>
        <w:rPr>
          <w:rFonts w:ascii="Cambria" w:hAnsi="Cambria" w:cs="Arial" w:asciiTheme="minorHAnsi" w:hAnsiTheme="minorHAnsi"/>
          <w:lang w:eastAsia="zh-CN"/>
        </w:rPr>
      </w:pPr>
      <w:r>
        <w:rPr>
          <w:rFonts w:cs="Arial" w:ascii="Cambria" w:hAnsi="Cambria" w:asciiTheme="minorHAnsi" w:hAnsiTheme="minorHAnsi"/>
        </w:rPr>
        <w:t xml:space="preserve">In WG1 Meetings #105-e [1], RAN1 continued the discussion on enhancements for PDSCH and PUSCH to support NR operation in 52.6 GHz to 71 GHz. </w:t>
      </w:r>
      <w:r>
        <w:rPr>
          <w:rFonts w:cs="Arial" w:ascii="Cambria" w:hAnsi="Cambria" w:asciiTheme="minorHAnsi" w:hAnsiTheme="minorHAnsi"/>
          <w:lang w:eastAsia="zh-CN"/>
        </w:rPr>
        <w:t>Based on the discussion, the following agreements and conclusions were reached on scheduling enhancements</w:t>
      </w:r>
    </w:p>
    <w:p>
      <w:pPr>
        <w:pStyle w:val="TextBody"/>
        <w:spacing w:before="0" w:after="0"/>
        <w:ind w:firstLine="288"/>
        <w:jc w:val="both"/>
        <w:rPr>
          <w:rFonts w:cs="Times"/>
          <w:lang w:eastAsia="zh-CN"/>
        </w:rPr>
      </w:pPr>
      <w:r>
        <w:rPr>
          <w:rFonts w:cs="Times"/>
          <w:lang w:eastAsia="zh-CN"/>
        </w:rPr>
      </w:r>
    </w:p>
    <w:tbl>
      <w:tblPr>
        <w:tblStyle w:val="TableGrid"/>
        <w:tblW w:w="9962" w:type="dxa"/>
        <w:jc w:val="left"/>
        <w:tblInd w:w="0" w:type="dxa"/>
        <w:tblCellMar>
          <w:top w:w="0" w:type="dxa"/>
          <w:left w:w="108" w:type="dxa"/>
          <w:bottom w:w="0" w:type="dxa"/>
          <w:right w:w="108" w:type="dxa"/>
        </w:tblCellMar>
        <w:tblLook w:lastRow="0" w:firstRow="1" w:lastColumn="0" w:firstColumn="1" w:val="04a0" w:noHBand="0" w:noVBand="1"/>
      </w:tblPr>
      <w:tblGrid>
        <w:gridCol w:w="9962"/>
      </w:tblGrid>
      <w:tr>
        <w:trPr/>
        <w:tc>
          <w:tcPr>
            <w:tcW w:w="9962" w:type="dxa"/>
            <w:tcBorders/>
            <w:shd w:fill="auto" w:val="clear"/>
          </w:tcPr>
          <w:p>
            <w:pPr>
              <w:pStyle w:val="Normal"/>
              <w:jc w:val="both"/>
              <w:rPr>
                <w:rFonts w:eastAsia="Batang" w:cs="Times New Roman"/>
                <w:sz w:val="18"/>
                <w:lang w:eastAsia="x-none"/>
              </w:rPr>
            </w:pPr>
            <w:r>
              <w:rPr>
                <w:sz w:val="20"/>
                <w:szCs w:val="20"/>
                <w:highlight w:val="green"/>
                <w:lang w:eastAsia="x-none"/>
              </w:rPr>
              <w:t>Agreement:</w:t>
            </w:r>
          </w:p>
          <w:p>
            <w:pPr>
              <w:pStyle w:val="ListParagraph"/>
              <w:numPr>
                <w:ilvl w:val="0"/>
                <w:numId w:val="4"/>
              </w:numPr>
              <w:spacing w:lineRule="auto" w:line="252" w:before="0" w:after="160"/>
              <w:contextualSpacing/>
              <w:jc w:val="both"/>
              <w:rPr>
                <w:rFonts w:ascii="Cambria" w:hAnsi="Cambria" w:eastAsia="Malgun Gothic" w:asciiTheme="minorHAnsi" w:hAnsiTheme="minorHAnsi"/>
                <w:sz w:val="20"/>
                <w:szCs w:val="20"/>
                <w:lang w:eastAsia="x-none"/>
              </w:rPr>
            </w:pPr>
            <w:r>
              <w:rPr>
                <w:rFonts w:eastAsia="Malgun Gothic" w:ascii="Cambria" w:hAnsi="Cambria" w:asciiTheme="minorHAnsi" w:hAnsiTheme="minorHAnsi"/>
                <w:sz w:val="20"/>
                <w:szCs w:val="20"/>
                <w:lang w:eastAsia="ko-KR"/>
              </w:rPr>
              <w:t>Do not use fallback DCI (i.e., DCI formats 0_0 and 1_0) for multi-PDSCH/PUSCH scheduling.</w:t>
            </w:r>
          </w:p>
          <w:p>
            <w:pPr>
              <w:pStyle w:val="ListParagraph"/>
              <w:numPr>
                <w:ilvl w:val="0"/>
                <w:numId w:val="4"/>
              </w:numPr>
              <w:spacing w:lineRule="auto" w:line="252" w:before="0" w:after="0"/>
              <w:contextualSpacing/>
              <w:jc w:val="both"/>
              <w:rPr>
                <w:rFonts w:ascii="Cambria" w:hAnsi="Cambria" w:eastAsia="Malgun Gothic" w:asciiTheme="minorHAnsi" w:hAnsiTheme="minorHAnsi"/>
                <w:sz w:val="20"/>
                <w:szCs w:val="20"/>
              </w:rPr>
            </w:pPr>
            <w:r>
              <w:rPr>
                <w:rFonts w:eastAsia="Malgun Gothic" w:ascii="Cambria" w:hAnsi="Cambria" w:asciiTheme="minorHAnsi" w:hAnsiTheme="minorHAnsi"/>
                <w:sz w:val="20"/>
                <w:szCs w:val="20"/>
                <w:lang w:eastAsia="ko-KR"/>
              </w:rPr>
              <w:t>Use DCI format 0_1 to schedule multiple PUSCHs with a single DCI.</w:t>
            </w:r>
          </w:p>
          <w:p>
            <w:pPr>
              <w:pStyle w:val="ListParagraph"/>
              <w:numPr>
                <w:ilvl w:val="0"/>
                <w:numId w:val="4"/>
              </w:numPr>
              <w:spacing w:lineRule="auto" w:line="252" w:before="0" w:after="0"/>
              <w:contextualSpacing/>
              <w:jc w:val="both"/>
              <w:rPr>
                <w:rFonts w:ascii="Cambria" w:hAnsi="Cambria" w:eastAsia="Malgun Gothic" w:asciiTheme="minorHAnsi" w:hAnsiTheme="minorHAnsi"/>
                <w:sz w:val="20"/>
                <w:szCs w:val="20"/>
              </w:rPr>
            </w:pPr>
            <w:r>
              <w:rPr>
                <w:rFonts w:eastAsia="Malgun Gothic" w:ascii="Cambria" w:hAnsi="Cambria" w:asciiTheme="minorHAnsi" w:hAnsiTheme="minorHAnsi"/>
                <w:sz w:val="20"/>
                <w:szCs w:val="20"/>
                <w:lang w:eastAsia="ko-KR"/>
              </w:rPr>
              <w:t>Use DCI format 1_1 to schedule multiple PDSCHs with a single DCI.</w:t>
            </w:r>
          </w:p>
          <w:p>
            <w:pPr>
              <w:pStyle w:val="Normal"/>
              <w:jc w:val="both"/>
              <w:rPr>
                <w:rFonts w:eastAsia="Batang"/>
                <w:sz w:val="20"/>
                <w:szCs w:val="20"/>
                <w:lang w:val="en-GB" w:eastAsia="x-none"/>
              </w:rPr>
            </w:pPr>
            <w:r>
              <w:rPr>
                <w:rFonts w:eastAsia="Batang"/>
                <w:sz w:val="20"/>
                <w:szCs w:val="20"/>
                <w:lang w:val="en-GB" w:eastAsia="x-none"/>
              </w:rPr>
            </w:r>
          </w:p>
          <w:p>
            <w:pPr>
              <w:pStyle w:val="Normal"/>
              <w:jc w:val="both"/>
              <w:rPr>
                <w:sz w:val="20"/>
                <w:szCs w:val="20"/>
                <w:u w:val="single"/>
                <w:lang w:eastAsia="x-none"/>
              </w:rPr>
            </w:pPr>
            <w:r>
              <w:rPr>
                <w:sz w:val="20"/>
                <w:szCs w:val="20"/>
                <w:u w:val="single"/>
                <w:lang w:eastAsia="x-none"/>
              </w:rPr>
              <w:t>Conclusion:</w:t>
            </w:r>
          </w:p>
          <w:p>
            <w:pPr>
              <w:pStyle w:val="ListParagraph"/>
              <w:spacing w:lineRule="auto" w:line="252" w:before="0" w:after="160"/>
              <w:ind w:left="0" w:hanging="0"/>
              <w:contextualSpacing/>
              <w:jc w:val="both"/>
              <w:rPr>
                <w:rFonts w:ascii="Cambria" w:hAnsi="Cambria" w:eastAsia="Gulim" w:asciiTheme="minorHAnsi" w:hAnsiTheme="minorHAnsi"/>
                <w:sz w:val="20"/>
                <w:szCs w:val="20"/>
                <w:lang w:eastAsia="ko-KR"/>
              </w:rPr>
            </w:pPr>
            <w:r>
              <w:rPr>
                <w:rFonts w:eastAsia="Gulim" w:ascii="Cambria" w:hAnsi="Cambria" w:asciiTheme="minorHAnsi" w:hAnsiTheme="minorHAnsi"/>
                <w:sz w:val="20"/>
                <w:szCs w:val="20"/>
                <w:lang w:eastAsia="ko-KR"/>
              </w:rPr>
              <w:t>For a DCI that can schedule multiple PUSCHs,</w:t>
            </w:r>
          </w:p>
          <w:p>
            <w:pPr>
              <w:pStyle w:val="ListParagraph"/>
              <w:numPr>
                <w:ilvl w:val="0"/>
                <w:numId w:val="5"/>
              </w:numPr>
              <w:spacing w:lineRule="auto" w:line="252" w:before="0" w:after="0"/>
              <w:contextualSpacing/>
              <w:jc w:val="both"/>
              <w:rPr>
                <w:rFonts w:ascii="Cambria" w:hAnsi="Cambria" w:eastAsia="Gulim" w:asciiTheme="minorHAnsi" w:hAnsiTheme="minorHAnsi"/>
                <w:sz w:val="20"/>
                <w:szCs w:val="18"/>
                <w:lang w:eastAsia="zh-CN"/>
              </w:rPr>
            </w:pPr>
            <w:r>
              <w:rPr>
                <w:rFonts w:eastAsia="Gulim" w:ascii="Cambria" w:hAnsi="Cambria" w:asciiTheme="minorHAnsi" w:hAnsiTheme="minorHAnsi"/>
                <w:sz w:val="20"/>
                <w:szCs w:val="20"/>
                <w:lang w:eastAsia="ko-KR"/>
              </w:rPr>
              <w:t>CSI-request: When the DCI schedules M PUSCHs, the PUSCH that carries the aperiodic CSI feedback is M-th scheduled PUSCH for M &lt;= 2, or (M-1)-th scheduled PUSCH for M &gt; 2.</w:t>
            </w:r>
          </w:p>
          <w:p>
            <w:pPr>
              <w:pStyle w:val="ListParagraph"/>
              <w:spacing w:lineRule="auto" w:line="252" w:before="0" w:after="160"/>
              <w:ind w:left="0" w:hanging="0"/>
              <w:contextualSpacing/>
              <w:jc w:val="both"/>
              <w:rPr>
                <w:rFonts w:ascii="Cambria" w:hAnsi="Cambria" w:eastAsia="Gulim" w:asciiTheme="minorHAnsi" w:hAnsiTheme="minorHAnsi"/>
                <w:sz w:val="20"/>
                <w:lang w:val="en-GB" w:eastAsia="ko-KR"/>
              </w:rPr>
            </w:pPr>
            <w:r>
              <w:rPr>
                <w:rFonts w:eastAsia="Gulim" w:ascii="Cambria" w:hAnsi="Cambria"/>
                <w:sz w:val="20"/>
                <w:lang w:val="en-GB" w:eastAsia="ko-KR"/>
              </w:rPr>
            </w:r>
          </w:p>
          <w:p>
            <w:pPr>
              <w:pStyle w:val="ListParagraph"/>
              <w:spacing w:lineRule="auto" w:line="252" w:before="0" w:after="160"/>
              <w:ind w:left="0" w:hanging="0"/>
              <w:contextualSpacing/>
              <w:jc w:val="both"/>
              <w:rPr>
                <w:rFonts w:ascii="Cambria" w:hAnsi="Cambria" w:eastAsia="Gulim" w:asciiTheme="minorHAnsi" w:hAnsiTheme="minorHAnsi"/>
                <w:sz w:val="20"/>
                <w:szCs w:val="20"/>
                <w:lang w:eastAsia="ko-KR"/>
              </w:rPr>
            </w:pPr>
            <w:r>
              <w:rPr>
                <w:rFonts w:eastAsia="Gulim" w:ascii="Cambria" w:hAnsi="Cambria" w:asciiTheme="minorHAnsi" w:hAnsiTheme="minorHAnsi"/>
                <w:sz w:val="20"/>
                <w:szCs w:val="20"/>
                <w:highlight w:val="green"/>
                <w:lang w:eastAsia="ko-KR"/>
              </w:rPr>
              <w:t>Agreement:</w:t>
            </w:r>
          </w:p>
          <w:p>
            <w:pPr>
              <w:pStyle w:val="ListParagraph"/>
              <w:numPr>
                <w:ilvl w:val="0"/>
                <w:numId w:val="6"/>
              </w:numPr>
              <w:spacing w:lineRule="auto" w:line="252" w:before="0" w:after="0"/>
              <w:contextualSpacing/>
              <w:jc w:val="both"/>
              <w:rPr>
                <w:rFonts w:ascii="Cambria" w:hAnsi="Cambria" w:eastAsia="Gulim" w:asciiTheme="minorHAnsi" w:hAnsiTheme="minorHAnsi"/>
                <w:sz w:val="20"/>
                <w:szCs w:val="18"/>
                <w:lang w:eastAsia="zh-CN"/>
              </w:rPr>
            </w:pPr>
            <w:r>
              <w:rPr>
                <w:rFonts w:eastAsia="Gulim" w:ascii="Cambria" w:hAnsi="Cambria" w:asciiTheme="minorHAnsi" w:hAnsiTheme="minorHAnsi"/>
                <w:sz w:val="20"/>
                <w:szCs w:val="20"/>
                <w:lang w:eastAsia="ko-KR"/>
              </w:rPr>
              <w:t xml:space="preserve">If a PDSCH among multiple PDSCHs that are scheduled by a single DCI is collided with uplink symbol(s) indicated by </w:t>
            </w:r>
            <w:r>
              <w:rPr>
                <w:rFonts w:eastAsia="Gulim" w:ascii="Cambria" w:hAnsi="Cambria" w:asciiTheme="minorHAnsi" w:hAnsiTheme="minorHAnsi"/>
                <w:i/>
                <w:iCs/>
                <w:sz w:val="20"/>
                <w:szCs w:val="20"/>
                <w:lang w:eastAsia="ko-KR"/>
              </w:rPr>
              <w:t>tdd-UL-DL-ConfigurationCommon</w:t>
            </w:r>
            <w:r>
              <w:rPr>
                <w:rFonts w:eastAsia="Gulim" w:ascii="Cambria" w:hAnsi="Cambria" w:asciiTheme="minorHAnsi" w:hAnsiTheme="minorHAnsi"/>
                <w:sz w:val="20"/>
                <w:szCs w:val="20"/>
                <w:lang w:eastAsia="ko-KR"/>
              </w:rPr>
              <w:t xml:space="preserve"> or </w:t>
            </w:r>
            <w:r>
              <w:rPr>
                <w:rFonts w:eastAsia="Gulim" w:ascii="Cambria" w:hAnsi="Cambria" w:asciiTheme="minorHAnsi" w:hAnsiTheme="minorHAnsi"/>
                <w:i/>
                <w:iCs/>
                <w:sz w:val="20"/>
                <w:szCs w:val="20"/>
                <w:lang w:eastAsia="ko-KR"/>
              </w:rPr>
              <w:t>tdd-UL-DL-ConfigurationDedicated</w:t>
            </w:r>
            <w:r>
              <w:rPr>
                <w:rFonts w:eastAsia="Gulim" w:ascii="Cambria" w:hAnsi="Cambria" w:asciiTheme="minorHAnsi" w:hAnsiTheme="minorHAnsi"/>
                <w:sz w:val="20"/>
                <w:szCs w:val="20"/>
                <w:lang w:eastAsia="ko-KR"/>
              </w:rPr>
              <w:t>, the UE does not receive the PDSCH.</w:t>
            </w:r>
          </w:p>
          <w:p>
            <w:pPr>
              <w:pStyle w:val="ListParagraph"/>
              <w:numPr>
                <w:ilvl w:val="1"/>
                <w:numId w:val="6"/>
              </w:numPr>
              <w:spacing w:lineRule="auto" w:line="252" w:before="0" w:after="0"/>
              <w:contextualSpacing/>
              <w:jc w:val="both"/>
              <w:rPr>
                <w:rFonts w:ascii="Cambria" w:hAnsi="Cambria" w:eastAsia="Gulim" w:asciiTheme="minorHAnsi" w:hAnsiTheme="minorHAnsi"/>
                <w:sz w:val="20"/>
                <w:lang w:eastAsia="ko-KR"/>
              </w:rPr>
            </w:pPr>
            <w:r>
              <w:rPr>
                <w:rFonts w:eastAsia="Gulim" w:ascii="Cambria" w:hAnsi="Cambria" w:asciiTheme="minorHAnsi" w:hAnsiTheme="minorHAnsi"/>
                <w:sz w:val="20"/>
                <w:szCs w:val="20"/>
                <w:lang w:eastAsia="ko-KR"/>
              </w:rPr>
              <w:t>FFS on how to handle HARQ-related issue for the PDSCH (e.g., HARQ process numbering)</w:t>
            </w:r>
          </w:p>
          <w:p>
            <w:pPr>
              <w:pStyle w:val="ListParagraph"/>
              <w:numPr>
                <w:ilvl w:val="0"/>
                <w:numId w:val="6"/>
              </w:numPr>
              <w:spacing w:lineRule="auto" w:line="252" w:before="0" w:after="0"/>
              <w:contextualSpacing/>
              <w:jc w:val="both"/>
              <w:rPr>
                <w:rFonts w:ascii="Cambria" w:hAnsi="Cambria" w:eastAsia="Gulim" w:asciiTheme="minorHAnsi" w:hAnsiTheme="minorHAnsi"/>
                <w:sz w:val="20"/>
                <w:szCs w:val="20"/>
                <w:lang w:eastAsia="ko-KR"/>
              </w:rPr>
            </w:pPr>
            <w:r>
              <w:rPr>
                <w:rFonts w:eastAsia="Gulim" w:ascii="Cambria" w:hAnsi="Cambria" w:asciiTheme="minorHAnsi" w:hAnsiTheme="minorHAnsi"/>
                <w:sz w:val="20"/>
                <w:szCs w:val="20"/>
                <w:lang w:eastAsia="ko-KR"/>
              </w:rPr>
              <w:t xml:space="preserve">The UE does not expect to be scheduled with multiple PDSCHs by a single DCI, where every PDSCH is collided with uplink symbol(s) indicated by </w:t>
            </w:r>
            <w:r>
              <w:rPr>
                <w:rFonts w:eastAsia="Gulim" w:ascii="Cambria" w:hAnsi="Cambria" w:asciiTheme="minorHAnsi" w:hAnsiTheme="minorHAnsi"/>
                <w:i/>
                <w:iCs/>
                <w:sz w:val="20"/>
                <w:szCs w:val="20"/>
                <w:lang w:eastAsia="ko-KR"/>
              </w:rPr>
              <w:t>tdd-UL-DL-ConfigurationCommon</w:t>
            </w:r>
            <w:r>
              <w:rPr>
                <w:rFonts w:eastAsia="Gulim" w:ascii="Cambria" w:hAnsi="Cambria" w:asciiTheme="minorHAnsi" w:hAnsiTheme="minorHAnsi"/>
                <w:sz w:val="20"/>
                <w:szCs w:val="20"/>
                <w:lang w:eastAsia="ko-KR"/>
              </w:rPr>
              <w:t xml:space="preserve"> or </w:t>
            </w:r>
            <w:r>
              <w:rPr>
                <w:rFonts w:eastAsia="Gulim" w:ascii="Cambria" w:hAnsi="Cambria" w:asciiTheme="minorHAnsi" w:hAnsiTheme="minorHAnsi"/>
                <w:i/>
                <w:iCs/>
                <w:sz w:val="20"/>
                <w:szCs w:val="20"/>
                <w:lang w:eastAsia="ko-KR"/>
              </w:rPr>
              <w:t>tdd-UL-DL-ConfigurationDedicated</w:t>
            </w:r>
            <w:r>
              <w:rPr>
                <w:rFonts w:eastAsia="Gulim" w:ascii="Cambria" w:hAnsi="Cambria" w:asciiTheme="minorHAnsi" w:hAnsiTheme="minorHAnsi"/>
                <w:sz w:val="20"/>
                <w:szCs w:val="20"/>
                <w:lang w:eastAsia="ko-KR"/>
              </w:rPr>
              <w:t>.</w:t>
            </w:r>
          </w:p>
          <w:p>
            <w:pPr>
              <w:pStyle w:val="ListParagraph"/>
              <w:numPr>
                <w:ilvl w:val="0"/>
                <w:numId w:val="6"/>
              </w:numPr>
              <w:spacing w:lineRule="auto" w:line="252" w:before="0" w:after="0"/>
              <w:contextualSpacing/>
              <w:jc w:val="both"/>
              <w:rPr>
                <w:rFonts w:ascii="Cambria" w:hAnsi="Cambria" w:eastAsia="Gulim" w:asciiTheme="minorHAnsi" w:hAnsiTheme="minorHAnsi"/>
                <w:sz w:val="20"/>
                <w:szCs w:val="20"/>
                <w:lang w:eastAsia="ko-KR"/>
              </w:rPr>
            </w:pPr>
            <w:r>
              <w:rPr>
                <w:rFonts w:eastAsia="Gulim" w:ascii="Cambria" w:hAnsi="Cambria" w:asciiTheme="minorHAnsi" w:hAnsiTheme="minorHAnsi"/>
                <w:sz w:val="20"/>
                <w:szCs w:val="20"/>
                <w:lang w:eastAsia="ko-KR"/>
              </w:rPr>
              <w:t xml:space="preserve">If a PUSCH among multiple PUSCHs that are scheduled by a single DCI is collided with downlink symbol(s) indicated by </w:t>
            </w:r>
            <w:r>
              <w:rPr>
                <w:rFonts w:eastAsia="Gulim" w:ascii="Cambria" w:hAnsi="Cambria" w:asciiTheme="minorHAnsi" w:hAnsiTheme="minorHAnsi"/>
                <w:i/>
                <w:iCs/>
                <w:sz w:val="20"/>
                <w:szCs w:val="20"/>
                <w:lang w:eastAsia="ko-KR"/>
              </w:rPr>
              <w:t>tdd-UL-DL-ConfigurationCommon</w:t>
            </w:r>
            <w:r>
              <w:rPr>
                <w:rFonts w:eastAsia="Gulim" w:ascii="Cambria" w:hAnsi="Cambria" w:asciiTheme="minorHAnsi" w:hAnsiTheme="minorHAnsi"/>
                <w:sz w:val="20"/>
                <w:szCs w:val="20"/>
                <w:lang w:eastAsia="ko-KR"/>
              </w:rPr>
              <w:t xml:space="preserve"> or </w:t>
            </w:r>
            <w:r>
              <w:rPr>
                <w:rFonts w:eastAsia="Gulim" w:ascii="Cambria" w:hAnsi="Cambria" w:asciiTheme="minorHAnsi" w:hAnsiTheme="minorHAnsi"/>
                <w:i/>
                <w:iCs/>
                <w:sz w:val="20"/>
                <w:szCs w:val="20"/>
                <w:lang w:eastAsia="ko-KR"/>
              </w:rPr>
              <w:t>tdd-UL-DL-ConfigurationDedicated</w:t>
            </w:r>
            <w:r>
              <w:rPr>
                <w:rFonts w:eastAsia="Gulim" w:ascii="Cambria" w:hAnsi="Cambria" w:asciiTheme="minorHAnsi" w:hAnsiTheme="minorHAnsi"/>
                <w:sz w:val="20"/>
                <w:szCs w:val="20"/>
                <w:lang w:eastAsia="ko-KR"/>
              </w:rPr>
              <w:t>, the UE does not transmit the PUSCH.</w:t>
            </w:r>
          </w:p>
          <w:p>
            <w:pPr>
              <w:pStyle w:val="ListParagraph"/>
              <w:numPr>
                <w:ilvl w:val="1"/>
                <w:numId w:val="6"/>
              </w:numPr>
              <w:spacing w:lineRule="auto" w:line="252" w:before="0" w:after="0"/>
              <w:contextualSpacing/>
              <w:jc w:val="both"/>
              <w:rPr>
                <w:rFonts w:ascii="Cambria" w:hAnsi="Cambria" w:eastAsia="Gulim" w:asciiTheme="minorHAnsi" w:hAnsiTheme="minorHAnsi"/>
                <w:sz w:val="20"/>
                <w:szCs w:val="20"/>
                <w:lang w:eastAsia="ko-KR"/>
              </w:rPr>
            </w:pPr>
            <w:r>
              <w:rPr>
                <w:rFonts w:eastAsia="Gulim" w:ascii="Cambria" w:hAnsi="Cambria" w:asciiTheme="minorHAnsi" w:hAnsiTheme="minorHAnsi"/>
                <w:sz w:val="20"/>
                <w:szCs w:val="20"/>
                <w:lang w:eastAsia="ko-KR"/>
              </w:rPr>
              <w:t>FFS on how to handle HARQ-related issue for the PUSCH (e.g., HARQ process numbering)</w:t>
            </w:r>
          </w:p>
          <w:p>
            <w:pPr>
              <w:pStyle w:val="ListParagraph"/>
              <w:numPr>
                <w:ilvl w:val="0"/>
                <w:numId w:val="6"/>
              </w:numPr>
              <w:spacing w:lineRule="auto" w:line="252" w:before="0" w:after="0"/>
              <w:contextualSpacing/>
              <w:jc w:val="both"/>
              <w:rPr>
                <w:rFonts w:ascii="Cambria" w:hAnsi="Cambria" w:eastAsia="Gulim" w:asciiTheme="minorHAnsi" w:hAnsiTheme="minorHAnsi"/>
                <w:sz w:val="20"/>
                <w:szCs w:val="20"/>
                <w:lang w:eastAsia="ko-KR"/>
              </w:rPr>
            </w:pPr>
            <w:r>
              <w:rPr>
                <w:rFonts w:eastAsia="Gulim" w:ascii="Cambria" w:hAnsi="Cambria" w:asciiTheme="minorHAnsi" w:hAnsiTheme="minorHAnsi"/>
                <w:sz w:val="20"/>
                <w:szCs w:val="20"/>
                <w:lang w:eastAsia="ko-KR"/>
              </w:rPr>
              <w:t xml:space="preserve">The UE does not expect to be scheduled with multiple PUSCHs by a single DCI, where every PUSCH is collided with downlink symbol(s) indicated by </w:t>
            </w:r>
            <w:r>
              <w:rPr>
                <w:rFonts w:eastAsia="Gulim" w:ascii="Cambria" w:hAnsi="Cambria" w:asciiTheme="minorHAnsi" w:hAnsiTheme="minorHAnsi"/>
                <w:i/>
                <w:iCs/>
                <w:sz w:val="20"/>
                <w:szCs w:val="20"/>
                <w:lang w:eastAsia="ko-KR"/>
              </w:rPr>
              <w:t>tdd-UL-DL-ConfigurationCommon</w:t>
            </w:r>
            <w:r>
              <w:rPr>
                <w:rFonts w:eastAsia="Gulim" w:ascii="Cambria" w:hAnsi="Cambria" w:asciiTheme="minorHAnsi" w:hAnsiTheme="minorHAnsi"/>
                <w:sz w:val="20"/>
                <w:szCs w:val="20"/>
                <w:lang w:eastAsia="ko-KR"/>
              </w:rPr>
              <w:t xml:space="preserve"> or </w:t>
            </w:r>
            <w:r>
              <w:rPr>
                <w:rFonts w:eastAsia="Gulim" w:ascii="Cambria" w:hAnsi="Cambria" w:asciiTheme="minorHAnsi" w:hAnsiTheme="minorHAnsi"/>
                <w:i/>
                <w:iCs/>
                <w:sz w:val="20"/>
                <w:szCs w:val="20"/>
                <w:lang w:eastAsia="ko-KR"/>
              </w:rPr>
              <w:t>tdd-UL-DL-ConfigurationDedicated</w:t>
            </w:r>
            <w:r>
              <w:rPr>
                <w:rFonts w:eastAsia="Gulim" w:ascii="Cambria" w:hAnsi="Cambria" w:asciiTheme="minorHAnsi" w:hAnsiTheme="minorHAnsi"/>
                <w:sz w:val="20"/>
                <w:szCs w:val="20"/>
                <w:lang w:eastAsia="ko-KR"/>
              </w:rPr>
              <w:t>.</w:t>
            </w:r>
            <w:bookmarkStart w:id="6" w:name="_Hlk72788144"/>
            <w:bookmarkEnd w:id="6"/>
          </w:p>
          <w:p>
            <w:pPr>
              <w:pStyle w:val="ListParagraph"/>
              <w:spacing w:lineRule="auto" w:line="252" w:before="0" w:after="160"/>
              <w:ind w:left="0" w:hanging="0"/>
              <w:contextualSpacing/>
              <w:jc w:val="both"/>
              <w:rPr>
                <w:rFonts w:ascii="Cambria" w:hAnsi="Cambria" w:eastAsia="Gulim" w:asciiTheme="minorHAnsi" w:hAnsiTheme="minorHAnsi"/>
                <w:sz w:val="20"/>
                <w:szCs w:val="18"/>
                <w:lang w:eastAsia="zh-CN"/>
              </w:rPr>
            </w:pPr>
            <w:r>
              <w:rPr>
                <w:rFonts w:eastAsia="Gulim" w:ascii="Cambria" w:hAnsi="Cambria"/>
                <w:sz w:val="20"/>
                <w:szCs w:val="18"/>
                <w:lang w:eastAsia="zh-CN"/>
              </w:rPr>
            </w:r>
          </w:p>
          <w:p>
            <w:pPr>
              <w:pStyle w:val="ListParagraph"/>
              <w:spacing w:lineRule="auto" w:line="252" w:before="0" w:after="160"/>
              <w:ind w:left="0" w:hanging="0"/>
              <w:contextualSpacing/>
              <w:jc w:val="both"/>
              <w:rPr>
                <w:rFonts w:ascii="Cambria" w:hAnsi="Cambria" w:eastAsia="Gulim" w:asciiTheme="minorHAnsi" w:hAnsiTheme="minorHAnsi"/>
                <w:sz w:val="20"/>
                <w:szCs w:val="18"/>
                <w:lang w:eastAsia="zh-CN"/>
              </w:rPr>
            </w:pPr>
            <w:r>
              <w:rPr>
                <w:rFonts w:eastAsia="Gulim" w:ascii="Cambria" w:hAnsi="Cambria"/>
                <w:sz w:val="20"/>
                <w:szCs w:val="18"/>
                <w:lang w:eastAsia="zh-CN"/>
              </w:rPr>
            </w:r>
          </w:p>
          <w:p>
            <w:pPr>
              <w:pStyle w:val="ListParagraph"/>
              <w:spacing w:lineRule="auto" w:line="252" w:before="0" w:after="160"/>
              <w:ind w:left="0" w:hanging="0"/>
              <w:contextualSpacing/>
              <w:jc w:val="both"/>
              <w:rPr>
                <w:rFonts w:ascii="Cambria" w:hAnsi="Cambria" w:eastAsia="Gulim" w:asciiTheme="minorHAnsi" w:hAnsiTheme="minorHAnsi"/>
                <w:sz w:val="20"/>
                <w:szCs w:val="18"/>
                <w:lang w:eastAsia="zh-CN"/>
              </w:rPr>
            </w:pPr>
            <w:r>
              <w:rPr>
                <w:rFonts w:eastAsia="Gulim" w:ascii="Cambria" w:hAnsi="Cambria" w:asciiTheme="minorHAnsi" w:hAnsiTheme="minorHAnsi"/>
                <w:sz w:val="20"/>
                <w:szCs w:val="18"/>
                <w:highlight w:val="green"/>
                <w:lang w:eastAsia="zh-CN"/>
              </w:rPr>
              <w:t>Agreement:</w:t>
            </w:r>
          </w:p>
          <w:p>
            <w:pPr>
              <w:pStyle w:val="Normal"/>
              <w:spacing w:lineRule="auto" w:line="252"/>
              <w:jc w:val="both"/>
              <w:rPr>
                <w:rFonts w:eastAsia="Times New Roman"/>
                <w:sz w:val="20"/>
                <w:lang w:val="en-GB" w:eastAsia="zh-CN"/>
              </w:rPr>
            </w:pPr>
            <w:r>
              <w:rPr>
                <w:rFonts w:eastAsia="Times New Roman" w:cs="Times"/>
                <w:sz w:val="20"/>
                <w:szCs w:val="20"/>
                <w:lang w:eastAsia="zh-CN"/>
              </w:rPr>
              <w:t>For TDRA in a DCI that can schedule multiple PDSCHs (or PUSCHs),</w:t>
            </w:r>
          </w:p>
          <w:p>
            <w:pPr>
              <w:pStyle w:val="Normal"/>
              <w:numPr>
                <w:ilvl w:val="0"/>
                <w:numId w:val="6"/>
              </w:numPr>
              <w:spacing w:lineRule="auto" w:line="252" w:before="0" w:after="0"/>
              <w:jc w:val="both"/>
              <w:rPr>
                <w:rFonts w:eastAsia="Times New Roman"/>
                <w:sz w:val="20"/>
                <w:szCs w:val="20"/>
                <w:lang w:eastAsia="zh-CN"/>
              </w:rPr>
            </w:pPr>
            <w:r>
              <w:rPr>
                <w:rFonts w:eastAsia="Times New Roman" w:cs="Times"/>
                <w:sz w:val="20"/>
                <w:szCs w:val="20"/>
                <w:lang w:eastAsia="zh-CN"/>
              </w:rPr>
              <w:t>A row of the TDRA table can indicate PDSCHs (or PUSCHs) that are in consecutive or non-consecutive slots.</w:t>
            </w:r>
          </w:p>
          <w:p>
            <w:pPr>
              <w:pStyle w:val="Normal"/>
              <w:numPr>
                <w:ilvl w:val="1"/>
                <w:numId w:val="6"/>
              </w:numPr>
              <w:spacing w:lineRule="auto" w:line="252" w:before="0" w:after="0"/>
              <w:jc w:val="both"/>
              <w:rPr>
                <w:rFonts w:eastAsia="Times New Roman"/>
                <w:sz w:val="20"/>
                <w:szCs w:val="20"/>
                <w:lang w:eastAsia="zh-CN"/>
              </w:rPr>
            </w:pPr>
            <w:r>
              <w:rPr>
                <w:rFonts w:eastAsia="Times New Roman"/>
                <w:sz w:val="20"/>
                <w:szCs w:val="20"/>
                <w:lang w:eastAsia="ko-KR"/>
              </w:rPr>
              <w:t>FFS: The maximum value of the gap between two consecutively scheduled PDSCHs or between two consecutively scheduled PUSCHs</w:t>
            </w:r>
          </w:p>
          <w:p>
            <w:pPr>
              <w:pStyle w:val="Normal"/>
              <w:numPr>
                <w:ilvl w:val="1"/>
                <w:numId w:val="6"/>
              </w:numPr>
              <w:spacing w:lineRule="auto" w:line="252" w:before="0" w:after="0"/>
              <w:jc w:val="both"/>
              <w:rPr>
                <w:rFonts w:eastAsia="Times New Roman"/>
                <w:sz w:val="20"/>
                <w:szCs w:val="20"/>
                <w:lang w:eastAsia="zh-CN"/>
              </w:rPr>
            </w:pPr>
            <w:r>
              <w:rPr>
                <w:rFonts w:eastAsia="Times New Roman"/>
                <w:sz w:val="20"/>
                <w:szCs w:val="20"/>
                <w:lang w:eastAsia="ko-KR"/>
              </w:rPr>
              <w:t>FFS: The maximum value of the gap between the first scheduled PDSCH and the last scheduled PDSCH or between the first scheduled PUSCH and the last scheduled PUSCH</w:t>
            </w:r>
          </w:p>
          <w:p>
            <w:pPr>
              <w:pStyle w:val="Normal"/>
              <w:numPr>
                <w:ilvl w:val="1"/>
                <w:numId w:val="6"/>
              </w:numPr>
              <w:spacing w:lineRule="auto" w:line="252" w:before="0" w:after="0"/>
              <w:jc w:val="both"/>
              <w:rPr>
                <w:rFonts w:eastAsia="Times New Roman"/>
                <w:sz w:val="20"/>
                <w:szCs w:val="20"/>
                <w:lang w:eastAsia="zh-CN"/>
              </w:rPr>
            </w:pPr>
            <w:r>
              <w:rPr>
                <w:rFonts w:eastAsia="Times New Roman"/>
                <w:sz w:val="20"/>
                <w:szCs w:val="20"/>
                <w:lang w:eastAsia="ko-KR"/>
              </w:rPr>
              <w:t>FFS: Details to introduce the gap between PDSCHs or between PUSCHs</w:t>
            </w:r>
          </w:p>
          <w:p>
            <w:pPr>
              <w:pStyle w:val="Normal"/>
              <w:jc w:val="both"/>
              <w:rPr>
                <w:rFonts w:eastAsia="Malgun Gothic" w:cs="Calibri"/>
                <w:sz w:val="20"/>
                <w:szCs w:val="20"/>
                <w:lang w:eastAsia="ko-KR"/>
              </w:rPr>
            </w:pPr>
            <w:r>
              <w:rPr>
                <w:rFonts w:eastAsia="Malgun Gothic" w:cs="Calibri"/>
                <w:sz w:val="20"/>
                <w:szCs w:val="20"/>
                <w:lang w:eastAsia="ko-KR"/>
              </w:rPr>
            </w:r>
          </w:p>
          <w:p>
            <w:pPr>
              <w:pStyle w:val="Normal"/>
              <w:jc w:val="both"/>
              <w:rPr>
                <w:rFonts w:eastAsia="Malgun Gothic" w:cs="Calibri"/>
                <w:sz w:val="20"/>
                <w:szCs w:val="20"/>
                <w:lang w:eastAsia="ko-KR"/>
              </w:rPr>
            </w:pPr>
            <w:r>
              <w:rPr>
                <w:rFonts w:eastAsia="Gulim"/>
                <w:sz w:val="20"/>
                <w:szCs w:val="18"/>
                <w:highlight w:val="green"/>
                <w:lang w:eastAsia="zh-CN"/>
              </w:rPr>
              <w:t>Agreement:</w:t>
            </w:r>
          </w:p>
          <w:p>
            <w:pPr>
              <w:pStyle w:val="Normal"/>
              <w:spacing w:lineRule="auto" w:line="252"/>
              <w:jc w:val="both"/>
              <w:rPr>
                <w:rFonts w:eastAsia="Times New Roman" w:cs="Times New Roman"/>
                <w:sz w:val="20"/>
                <w:szCs w:val="20"/>
                <w:lang w:val="en-GB" w:eastAsia="zh-CN"/>
              </w:rPr>
            </w:pPr>
            <w:r>
              <w:rPr>
                <w:rFonts w:eastAsia="Times New Roman" w:cs="Times"/>
                <w:sz w:val="20"/>
                <w:szCs w:val="20"/>
                <w:lang w:eastAsia="zh-CN"/>
              </w:rPr>
              <w:t>For enhancements of generating type-1 HARQ-ACK codebook corresponding to DCI that can schedule multiple PDSCHs, the set of candidates PDSCH reception occasions corresponding to a UL slot with HARQ-ACK transmission is determined based on a set of DL slots and a set of SLIVs corresponding to each DL slot belonging to the set of DL slots.</w:t>
            </w:r>
          </w:p>
          <w:p>
            <w:pPr>
              <w:pStyle w:val="Normal"/>
              <w:numPr>
                <w:ilvl w:val="0"/>
                <w:numId w:val="6"/>
              </w:numPr>
              <w:spacing w:lineRule="auto" w:line="252" w:before="0" w:after="0"/>
              <w:jc w:val="both"/>
              <w:rPr>
                <w:rFonts w:eastAsia="Times New Roman" w:cs="Times"/>
                <w:sz w:val="20"/>
                <w:szCs w:val="20"/>
                <w:lang w:eastAsia="zh-CN"/>
              </w:rPr>
            </w:pPr>
            <w:r>
              <w:rPr>
                <w:rFonts w:eastAsia="Times New Roman" w:cs="Times"/>
                <w:sz w:val="20"/>
                <w:szCs w:val="20"/>
                <w:lang w:eastAsia="zh-CN"/>
              </w:rPr>
              <w:t>The set of DL slots includes all the unique DL slots that can be scheduled by any row index r of TDRA table in DCI indicating the UL slot as HARQ-ACK feedback timing.</w:t>
            </w:r>
          </w:p>
          <w:p>
            <w:pPr>
              <w:pStyle w:val="Normal"/>
              <w:numPr>
                <w:ilvl w:val="0"/>
                <w:numId w:val="6"/>
              </w:numPr>
              <w:spacing w:lineRule="auto" w:line="252" w:before="0" w:after="0"/>
              <w:jc w:val="both"/>
              <w:rPr>
                <w:rFonts w:eastAsia="Times New Roman" w:cs="Times"/>
                <w:sz w:val="20"/>
                <w:szCs w:val="20"/>
                <w:lang w:eastAsia="zh-CN"/>
              </w:rPr>
            </w:pPr>
            <w:r>
              <w:rPr>
                <w:rFonts w:eastAsia="Times New Roman" w:cs="Times"/>
                <w:sz w:val="20"/>
                <w:szCs w:val="20"/>
                <w:lang w:eastAsia="zh-CN"/>
              </w:rPr>
              <w:t>The set of SLIVs corresponding to a DL slot (belonging to the set of DL slots) at least include all the SLIVs that can be scheduled within the DL slot by any row index r of TDRA table in DCI indicating the UL slot as HARQ-ACK feedback timing.</w:t>
            </w:r>
          </w:p>
          <w:p>
            <w:pPr>
              <w:pStyle w:val="Normal"/>
              <w:numPr>
                <w:ilvl w:val="1"/>
                <w:numId w:val="6"/>
              </w:numPr>
              <w:spacing w:lineRule="auto" w:line="252" w:before="0" w:after="0"/>
              <w:jc w:val="both"/>
              <w:rPr>
                <w:rFonts w:eastAsia="Times New Roman" w:cs="Times"/>
                <w:sz w:val="20"/>
                <w:szCs w:val="20"/>
                <w:lang w:eastAsia="zh-CN"/>
              </w:rPr>
            </w:pPr>
            <w:r>
              <w:rPr>
                <w:rFonts w:eastAsia="Times New Roman" w:cs="Times"/>
                <w:sz w:val="20"/>
                <w:szCs w:val="20"/>
                <w:lang w:eastAsia="zh-CN"/>
              </w:rPr>
              <w:t>FFS: details of further pruning of the set of SLIVs</w:t>
            </w:r>
          </w:p>
          <w:p>
            <w:pPr>
              <w:pStyle w:val="Normal"/>
              <w:numPr>
                <w:ilvl w:val="1"/>
                <w:numId w:val="6"/>
              </w:numPr>
              <w:spacing w:lineRule="auto" w:line="252" w:before="0" w:after="0"/>
              <w:jc w:val="both"/>
              <w:rPr>
                <w:rFonts w:eastAsia="Times New Roman" w:cs="Times"/>
                <w:sz w:val="20"/>
                <w:szCs w:val="20"/>
                <w:lang w:eastAsia="zh-CN"/>
              </w:rPr>
            </w:pPr>
            <w:r>
              <w:rPr>
                <w:rFonts w:eastAsia="Times New Roman" w:cs="Times"/>
                <w:sz w:val="20"/>
                <w:szCs w:val="20"/>
                <w:lang w:eastAsia="zh-CN"/>
              </w:rPr>
              <w:t>FFS: impact if receiving more than one PDSCH in a slot is allowed, e.g., handling of overlapped SLIVs from different rows in the same and different DL slot</w:t>
            </w:r>
          </w:p>
          <w:p>
            <w:pPr>
              <w:pStyle w:val="Normal"/>
              <w:numPr>
                <w:ilvl w:val="1"/>
                <w:numId w:val="6"/>
              </w:numPr>
              <w:spacing w:lineRule="auto" w:line="252" w:before="0" w:after="0"/>
              <w:jc w:val="both"/>
              <w:rPr>
                <w:rFonts w:eastAsia="Times New Roman" w:cs="Times"/>
                <w:sz w:val="20"/>
                <w:szCs w:val="20"/>
                <w:lang w:eastAsia="zh-CN"/>
              </w:rPr>
            </w:pPr>
            <w:r>
              <w:rPr>
                <w:rFonts w:eastAsia="Times New Roman" w:cs="Times"/>
                <w:sz w:val="20"/>
                <w:szCs w:val="20"/>
                <w:lang w:eastAsia="zh-CN"/>
              </w:rPr>
              <w:t>FFS impact of time domain bundling, if supported</w:t>
            </w:r>
          </w:p>
          <w:p>
            <w:pPr>
              <w:pStyle w:val="Normal"/>
              <w:jc w:val="both"/>
              <w:rPr/>
            </w:pPr>
            <w:r>
              <w:rPr/>
            </w:r>
            <w:bookmarkStart w:id="7" w:name="_Hlk73013137"/>
            <w:bookmarkStart w:id="8" w:name="_Hlk73013137"/>
            <w:bookmarkEnd w:id="8"/>
          </w:p>
          <w:p>
            <w:pPr>
              <w:pStyle w:val="Normal"/>
              <w:numPr>
                <w:ilvl w:val="0"/>
                <w:numId w:val="6"/>
              </w:numPr>
              <w:spacing w:lineRule="auto" w:line="252" w:before="0" w:after="0"/>
              <w:jc w:val="both"/>
              <w:rPr>
                <w:rFonts w:ascii="Arial" w:hAnsi="Arial" w:cs="Arial"/>
                <w:sz w:val="18"/>
                <w:szCs w:val="18"/>
              </w:rPr>
            </w:pPr>
            <w:r>
              <w:rPr>
                <w:rFonts w:cs="Arial" w:ascii="Arial" w:hAnsi="Arial"/>
                <w:sz w:val="18"/>
                <w:szCs w:val="18"/>
              </w:rPr>
            </w:r>
          </w:p>
        </w:tc>
      </w:tr>
    </w:tbl>
    <w:p>
      <w:pPr>
        <w:pStyle w:val="Normal"/>
        <w:spacing w:lineRule="auto" w:line="276" w:before="240" w:after="160"/>
        <w:ind w:firstLine="360"/>
        <w:jc w:val="both"/>
        <w:rPr>
          <w:rFonts w:cs="Arial"/>
        </w:rPr>
      </w:pPr>
      <w:r>
        <w:rPr>
          <w:rFonts w:cs="Arial"/>
        </w:rPr>
        <w:t xml:space="preserve">In this contribution, we discuss potential enhancements for PDSCH/PUSCH scheduling related aspects in 52.6 </w:t>
      </w:r>
      <w:r>
        <w:rPr>
          <w:rFonts w:cs="Arial"/>
          <w:bCs/>
          <w:i/>
          <w:iCs/>
        </w:rPr>
        <w:t>–</w:t>
      </w:r>
      <w:r>
        <w:rPr>
          <w:rFonts w:cs="Arial"/>
        </w:rPr>
        <w:t xml:space="preserve"> 71GHz and associated standard impacts. </w:t>
      </w:r>
    </w:p>
    <w:p>
      <w:pPr>
        <w:pStyle w:val="Heading1"/>
        <w:numPr>
          <w:ilvl w:val="0"/>
          <w:numId w:val="2"/>
        </w:numPr>
        <w:pBdr>
          <w:top w:val="single" w:sz="12" w:space="5" w:color="000000"/>
        </w:pBdr>
        <w:spacing w:before="0" w:after="120"/>
        <w:jc w:val="both"/>
        <w:rPr>
          <w:rFonts w:cs="Arial"/>
          <w:b/>
          <w:b/>
          <w:sz w:val="32"/>
          <w:szCs w:val="32"/>
        </w:rPr>
      </w:pPr>
      <w:r>
        <w:rPr>
          <w:rFonts w:cs="Arial"/>
          <w:b/>
          <w:sz w:val="32"/>
          <w:szCs w:val="32"/>
        </w:rPr>
        <w:t>Discussions</w:t>
      </w:r>
    </w:p>
    <w:p>
      <w:pPr>
        <w:pStyle w:val="Heading2"/>
        <w:numPr>
          <w:ilvl w:val="1"/>
          <w:numId w:val="2"/>
        </w:numPr>
        <w:tabs>
          <w:tab w:val="left" w:pos="0" w:leader="none"/>
          <w:tab w:val="left" w:pos="756" w:leader="none"/>
        </w:tabs>
        <w:ind w:left="0" w:hanging="0"/>
        <w:rPr/>
      </w:pPr>
      <w:r>
        <w:rPr/>
        <w:t xml:space="preserve">HARQ Process Numbering for PXSCH Scheduling </w:t>
      </w:r>
    </w:p>
    <w:p>
      <w:pPr>
        <w:pStyle w:val="Normal"/>
        <w:spacing w:lineRule="auto" w:line="276" w:before="0" w:after="120"/>
        <w:jc w:val="both"/>
        <w:rPr>
          <w:rFonts w:cs="Arial"/>
          <w:bCs/>
        </w:rPr>
      </w:pPr>
      <w:r>
        <w:rPr>
          <w:rFonts w:cs="Arial"/>
          <w:bCs/>
        </w:rPr>
        <w:t xml:space="preserve">In the previous meeting, the HARQ-related issues (for e.g., HARQ process numbering) for the case, when a PDSCH (PUSCH) among multiple PDSCHs (PUSCHs) that are scheduled by a single DCI is collided with uplink (downlink) symbol(s) indicated by </w:t>
      </w:r>
      <w:r>
        <w:rPr>
          <w:rFonts w:cs="Arial"/>
          <w:bCs/>
          <w:i/>
          <w:iCs/>
        </w:rPr>
        <w:t>tdd-UL-DL-ConfigurationCommon</w:t>
      </w:r>
      <w:r>
        <w:rPr>
          <w:rFonts w:cs="Arial"/>
          <w:bCs/>
        </w:rPr>
        <w:t xml:space="preserve"> or </w:t>
      </w:r>
      <w:r>
        <w:rPr>
          <w:rFonts w:cs="Arial"/>
          <w:bCs/>
          <w:i/>
          <w:iCs/>
        </w:rPr>
        <w:t>tdd-UL-DL-ConfigurationDedicated</w:t>
      </w:r>
      <w:r>
        <w:rPr>
          <w:rFonts w:cs="Arial"/>
          <w:bCs/>
        </w:rPr>
        <w:t xml:space="preserve"> was discussed. In RAN1#104bis-e [2], it was agreed that the HARQ process number indicated through DCI will be applied for the </w:t>
      </w:r>
      <w:r>
        <w:rPr/>
        <w:t>first scheduled PXSCH and is incremented by 1 for subsequent scheduled PXSCHs (with modulo operation, if needed). In case of mismatch in resource configuration, HARQ process numbering can be performed in two ways, (i) the HARQ process number is incremented for all scheduled PDSCH, including the PDSCH scheduled in the slot where mismatch occurs, (ii) the HARQ process number is incremented only for the PDSCH that is scheduled in the slots without mismatch and not for the PDSCHs in slots with mismatch. When the HARQ process ID is incremented for the PDSCH in the slot with mismatch, then the corresponding ID cannot be used for some other PDSCH until the HARQ for all the PDSCHs scheduled by the DCI is received. This leads to wastage of HARQ IDs and latency in reuse of ID. However, both the gNB and UE are aware that of the mismatch. Therefore, in this case, the ID corresponding to the PDSCH scheduled in slot with mismatch should be reused for some other PDSCH</w:t>
      </w:r>
    </w:p>
    <w:p>
      <w:pPr>
        <w:pStyle w:val="Normal"/>
        <w:spacing w:lineRule="auto" w:line="276" w:before="0" w:after="120"/>
        <w:jc w:val="both"/>
        <w:rPr>
          <w:rFonts w:cs="Arial"/>
          <w:b/>
          <w:b/>
          <w:i/>
          <w:i/>
          <w:iCs/>
        </w:rPr>
      </w:pPr>
      <w:r>
        <w:rPr>
          <w:rFonts w:cs="Arial"/>
          <w:b/>
          <w:i/>
          <w:iCs/>
        </w:rPr>
        <w:t>Proposal1: Two alternatives are proposed to deal with HARQ process numbering in case of mismatch between resource configuration and scheduling</w:t>
      </w:r>
    </w:p>
    <w:p>
      <w:pPr>
        <w:pStyle w:val="Normal"/>
        <w:spacing w:lineRule="auto" w:line="276" w:before="0" w:after="120"/>
        <w:ind w:left="360" w:hanging="0"/>
        <w:jc w:val="both"/>
        <w:rPr>
          <w:rFonts w:cs="Arial"/>
          <w:b/>
          <w:b/>
          <w:i/>
          <w:i/>
          <w:iCs/>
        </w:rPr>
      </w:pPr>
      <w:r>
        <w:rPr>
          <w:rFonts w:cs="Arial"/>
          <w:b/>
        </w:rPr>
        <w:t>Alt 1</w:t>
      </w:r>
      <w:r>
        <w:rPr>
          <w:rFonts w:cs="Arial"/>
          <w:b/>
          <w:i/>
          <w:iCs/>
        </w:rPr>
        <w:t>. The HARQ process number will be incremented for all PDSCH including the PDSCHs scheduled in the slots where mismatch occurs.</w:t>
      </w:r>
    </w:p>
    <w:p>
      <w:pPr>
        <w:pStyle w:val="Normal"/>
        <w:spacing w:lineRule="auto" w:line="276" w:before="0" w:after="120"/>
        <w:ind w:left="360" w:hanging="0"/>
        <w:jc w:val="both"/>
        <w:rPr>
          <w:rFonts w:cs="Arial"/>
          <w:b/>
          <w:b/>
          <w:i/>
          <w:i/>
          <w:iCs/>
        </w:rPr>
      </w:pPr>
      <w:r>
        <w:rPr>
          <w:rFonts w:cs="Arial"/>
          <w:b/>
        </w:rPr>
        <w:t>Alt 2.</w:t>
      </w:r>
      <w:r>
        <w:rPr>
          <w:rFonts w:cs="Arial"/>
          <w:b/>
          <w:i/>
          <w:iCs/>
        </w:rPr>
        <w:t xml:space="preserve"> The HARQ process number will be incremented by skipping the PDSCHs scheduled in the slots where mismatch occurs.</w:t>
      </w:r>
    </w:p>
    <w:p>
      <w:pPr>
        <w:pStyle w:val="Normal"/>
        <w:spacing w:lineRule="auto" w:line="276" w:before="0" w:after="120"/>
        <w:jc w:val="both"/>
        <w:rPr>
          <w:rFonts w:cs="Arial"/>
          <w:b/>
          <w:b/>
          <w:i/>
          <w:i/>
          <w:iCs/>
        </w:rPr>
      </w:pPr>
      <w:r>
        <w:rPr>
          <w:rFonts w:cs="Arial"/>
          <w:b/>
          <w:i/>
          <w:iCs/>
        </w:rPr>
        <w:t xml:space="preserve">Proposal 2: In cases, where the HARQ process ID is incremented also for slots with mismatch between resource configuration and scheduling, reuse of the corresponding HARQ ID for some other PDSCH is supported. </w:t>
      </w:r>
    </w:p>
    <w:p>
      <w:pPr>
        <w:pStyle w:val="Heading2"/>
        <w:numPr>
          <w:ilvl w:val="1"/>
          <w:numId w:val="2"/>
        </w:numPr>
        <w:tabs>
          <w:tab w:val="left" w:pos="450" w:leader="none"/>
          <w:tab w:val="left" w:pos="756" w:leader="none"/>
        </w:tabs>
        <w:ind w:left="0" w:hanging="0"/>
        <w:rPr/>
      </w:pPr>
      <w:r>
        <w:rPr/>
        <w:t xml:space="preserve"> </w:t>
      </w:r>
      <w:r>
        <w:rPr/>
        <w:t>Related to maximum gap between PXSCHs in multi-PXSCH scheduling</w:t>
      </w:r>
    </w:p>
    <w:p>
      <w:pPr>
        <w:pStyle w:val="Normal"/>
        <w:spacing w:lineRule="auto" w:line="276" w:before="0" w:after="120"/>
        <w:jc w:val="both"/>
        <w:rPr>
          <w:rFonts w:cs="Arial"/>
          <w:bCs/>
        </w:rPr>
      </w:pPr>
      <w:r>
        <w:rPr>
          <w:rFonts w:cs="Arial"/>
          <w:bCs/>
        </w:rPr>
        <w:t xml:space="preserve">In previous meeting, it was agreed that a row of the TDRA table can indicate PDSCHs (or PUSCHs) that are in consecutive or non-consecutive slots. In this case, a maximum limit should be imposed for the gap between two consecutive PXSCHs and between the first PXSCH and last PXSCH. </w:t>
      </w:r>
    </w:p>
    <w:p>
      <w:pPr>
        <w:pStyle w:val="Normal"/>
        <w:spacing w:lineRule="auto" w:line="276" w:before="0" w:after="120"/>
        <w:jc w:val="both"/>
        <w:rPr>
          <w:rFonts w:cs="Arial"/>
          <w:bCs/>
        </w:rPr>
      </w:pPr>
      <w:r>
        <w:rPr>
          <w:rFonts w:cs="Arial"/>
          <w:bCs/>
        </w:rPr>
        <w:t xml:space="preserve">In DCI, TDRA is generally provided as an index of a row in the TDRA table. In case of multiple PDSCHs scheduled using single DCI, the entries in the table can be formed in two ways. In option 1, every PXSCH will have a corresponding K0/K2 value and an SLIV. In option 2, single K0/K2 value will be provided, which will be applicable to the first PXSCH and the value of gaps between two consecutive PXSCHs will be provided which indicates the location of other PXSCH from their previous PXSCH. </w:t>
      </w:r>
    </w:p>
    <w:p>
      <w:pPr>
        <w:pStyle w:val="Normal"/>
        <w:spacing w:lineRule="auto" w:line="276" w:before="0" w:after="120"/>
        <w:jc w:val="both"/>
        <w:rPr>
          <w:rFonts w:cs="Arial"/>
          <w:bCs/>
        </w:rPr>
      </w:pPr>
      <w:r>
        <w:rPr>
          <w:rFonts w:cs="Arial"/>
          <w:bCs/>
        </w:rPr>
        <w:t>In case of DCI scheduling multi-PDSCH scheduling, it was agreed that HARQ feedback will be sent in UL slot that is at a gap of K1 slots from the last scheduled PDSCH. Larger maximum gap between first scheduled PDSCH and last scheduled PDSCH leads to longer waiting period for transmission of HARQ feedback, especially for the PDSCH scheduled initially by the DCI.</w:t>
      </w:r>
    </w:p>
    <w:p>
      <w:pPr>
        <w:pStyle w:val="Normal"/>
        <w:spacing w:lineRule="auto" w:line="276" w:before="0" w:after="120"/>
        <w:jc w:val="both"/>
        <w:rPr>
          <w:rFonts w:cs="Arial"/>
          <w:bCs/>
        </w:rPr>
      </w:pPr>
      <w:r>
        <w:rPr>
          <w:rFonts w:cs="Arial"/>
          <w:bCs/>
        </w:rPr>
        <w:t>Larger maximum gap between first and last scheduled PXSCH will also have an impact on number of HARQ process IDs as some HARQ process IDs will be occupied for the longer time period. Therefore, the HARQ IDs cannot be reused for a longer time.</w:t>
      </w:r>
    </w:p>
    <w:p>
      <w:pPr>
        <w:pStyle w:val="Normal"/>
        <w:spacing w:lineRule="auto" w:line="276" w:before="0" w:after="120"/>
        <w:jc w:val="both"/>
        <w:rPr>
          <w:rFonts w:cs="Arial"/>
          <w:bCs/>
        </w:rPr>
      </w:pPr>
      <w:r>
        <w:rPr>
          <w:rFonts w:cs="Arial"/>
          <w:bCs/>
        </w:rPr>
        <w:t>In case of multiple PDSCHs scheduled by the same DCI, same MCS is used for all the PDSCHs scheduled. Large gap between the first and last scheduled PDSCHs may make the MCS unsuitable for the latter PDSCHs, in case of higher Doppler.</w:t>
      </w:r>
    </w:p>
    <w:p>
      <w:pPr>
        <w:pStyle w:val="Normal"/>
        <w:spacing w:lineRule="auto" w:line="276" w:before="0" w:after="120"/>
        <w:jc w:val="both"/>
        <w:rPr>
          <w:rFonts w:cs="Arial"/>
          <w:bCs/>
        </w:rPr>
      </w:pPr>
      <w:r>
        <w:rPr>
          <w:rFonts w:cs="Arial"/>
          <w:bCs/>
        </w:rPr>
        <w:t>Hence, all these issues require further studies before deciding on the maximum gap between first and last scheduled PXSCH.</w:t>
      </w:r>
    </w:p>
    <w:p>
      <w:pPr>
        <w:pStyle w:val="Normal"/>
        <w:spacing w:lineRule="auto" w:line="276" w:before="0" w:after="120"/>
        <w:jc w:val="both"/>
        <w:rPr>
          <w:rFonts w:cs="Arial"/>
          <w:b/>
          <w:b/>
          <w:i/>
          <w:i/>
          <w:iCs/>
        </w:rPr>
      </w:pPr>
      <w:r>
        <w:rPr>
          <w:rFonts w:cs="Arial"/>
          <w:b/>
          <w:i/>
          <w:iCs/>
        </w:rPr>
        <w:t>Proposal 3: Support the investigation on maximum K0/K2 value, HARQ latency and number of HARQ process IDs in order to limit the maximum gap between first and last PXSCH.</w:t>
      </w:r>
    </w:p>
    <w:p>
      <w:pPr>
        <w:pStyle w:val="Heading2"/>
        <w:numPr>
          <w:ilvl w:val="1"/>
          <w:numId w:val="2"/>
        </w:numPr>
        <w:tabs>
          <w:tab w:val="left" w:pos="450" w:leader="none"/>
        </w:tabs>
        <w:ind w:left="0" w:hanging="0"/>
        <w:rPr/>
      </w:pPr>
      <w:r>
        <w:rPr/>
        <w:t xml:space="preserve"> </w:t>
      </w:r>
      <w:r>
        <w:rPr/>
        <w:t>Enhancements on semi-static HARQ codebook</w:t>
      </w:r>
    </w:p>
    <w:p>
      <w:pPr>
        <w:pStyle w:val="Normal"/>
        <w:spacing w:lineRule="auto" w:line="252"/>
        <w:jc w:val="both"/>
        <w:rPr/>
      </w:pPr>
      <w:r>
        <w:rPr>
          <w:rFonts w:eastAsia="Times New Roman" w:cs="Times"/>
          <w:lang w:eastAsia="zh-CN"/>
        </w:rPr>
        <w:t xml:space="preserve">For enhancements of generating type-1 HARQ-ACK codebook corresponding to DCI that can schedule multiple PDSCHs, the set of candidates PDSCH reception occasions corresponding to a UL slot with HARQ-ACK transmission is determined based on a set of DL slots and a set of SLIVs corresponding to each DL slot belonging to the set of DL slots. In this scenario, overlapping SLIVs from different rows should be handled carefully. In Rel.15, if two or more overlapping SLIVs are present in a slot, it will be considered as a single PDSCH occasion. But, in case of </w:t>
      </w:r>
      <w:r>
        <w:rPr/>
        <w:t>multi-PDSCH scheduling, TDRA table will be provided with entries that has more than one SLIV. Hence, a set of priority rules should be defined, when SLIVs from multi-PDSCH entry of the TDRA table overlaps with any other SLIV from the table in a slot. For example, in case of overlapping SLIVs, the SLIV scheduled by the DCI that was transmitted first can be retained, while the SLIVs corresponding to other DCI are discarded.</w:t>
      </w:r>
    </w:p>
    <w:p>
      <w:pPr>
        <w:pStyle w:val="Annotationtext"/>
        <w:jc w:val="both"/>
        <w:rPr>
          <w:b/>
          <w:b/>
          <w:bCs/>
          <w:i/>
          <w:i/>
          <w:iCs/>
          <w:sz w:val="22"/>
        </w:rPr>
      </w:pPr>
      <w:r>
        <w:rPr>
          <w:b/>
          <w:bCs/>
          <w:i/>
          <w:iCs/>
          <w:sz w:val="22"/>
        </w:rPr>
        <w:t>Proposal 4: A set of priority rules should be defined in the case when SLIVs from multi-PDSCH entry of the TDRA table overlaps with any other SLIV from the table in a slot.</w:t>
      </w:r>
    </w:p>
    <w:p>
      <w:pPr>
        <w:pStyle w:val="Annotationtext"/>
        <w:jc w:val="both"/>
        <w:rPr>
          <w:sz w:val="22"/>
        </w:rPr>
      </w:pPr>
      <w:r>
        <w:rPr>
          <w:b/>
          <w:bCs/>
          <w:i/>
          <w:iCs/>
          <w:sz w:val="22"/>
        </w:rPr>
        <w:t>Proposal 5: Consider the SLIV scheduled by the first DCI and discard the other SLIVs when SLIVs from multi-PDSCH entry of the TDRA table overlaps with any other SLIV from the table in a slot.</w:t>
      </w:r>
    </w:p>
    <w:p>
      <w:pPr>
        <w:pStyle w:val="Normal"/>
        <w:spacing w:lineRule="auto" w:line="252"/>
        <w:jc w:val="both"/>
        <w:rPr>
          <w:rFonts w:ascii="Arial" w:hAnsi="Arial" w:cs="Arial"/>
        </w:rPr>
      </w:pPr>
      <w:r>
        <w:rPr>
          <w:rFonts w:cs="Arial" w:ascii="Arial" w:hAnsi="Arial"/>
          <w:i/>
          <w:iCs/>
        </w:rPr>
        <w:tab/>
        <w:tab/>
        <w:tab/>
        <w:tab/>
      </w:r>
    </w:p>
    <w:p>
      <w:pPr>
        <w:pStyle w:val="Heading1"/>
        <w:numPr>
          <w:ilvl w:val="0"/>
          <w:numId w:val="2"/>
        </w:numPr>
        <w:jc w:val="both"/>
        <w:rPr>
          <w:rFonts w:cs="Arial"/>
          <w:b/>
          <w:b/>
          <w:sz w:val="32"/>
          <w:szCs w:val="32"/>
          <w:lang w:val="en-US"/>
        </w:rPr>
      </w:pPr>
      <w:r>
        <w:rPr>
          <w:rFonts w:cs="Arial"/>
          <w:b/>
          <w:sz w:val="32"/>
          <w:szCs w:val="32"/>
        </w:rPr>
        <w:t>Summary</w:t>
      </w:r>
    </w:p>
    <w:p>
      <w:pPr>
        <w:pStyle w:val="Normal"/>
        <w:spacing w:before="0" w:after="120"/>
        <w:jc w:val="both"/>
        <w:rPr>
          <w:rFonts w:cs="Arial"/>
        </w:rPr>
      </w:pPr>
      <w:r>
        <w:rPr>
          <w:rFonts w:cs="Arial"/>
        </w:rPr>
        <w:t xml:space="preserve">In this contribution, we discussed the issues on PDSCH/PUSCH enhancements of NR in 52.6 </w:t>
      </w:r>
      <w:r>
        <w:rPr>
          <w:rFonts w:cs="Arial"/>
          <w:bCs/>
          <w:i/>
          <w:iCs/>
        </w:rPr>
        <w:t>–</w:t>
      </w:r>
      <w:r>
        <w:rPr>
          <w:rFonts w:cs="Arial"/>
        </w:rPr>
        <w:t xml:space="preserve"> 71 GHz. From the discussions, we made following observations and proposals: </w:t>
      </w:r>
    </w:p>
    <w:p>
      <w:pPr>
        <w:pStyle w:val="Normal"/>
        <w:spacing w:lineRule="auto" w:line="276" w:before="0" w:after="120"/>
        <w:jc w:val="both"/>
        <w:rPr>
          <w:rFonts w:cs="Arial"/>
          <w:b/>
          <w:b/>
          <w:i/>
          <w:i/>
          <w:iCs/>
        </w:rPr>
      </w:pPr>
      <w:r>
        <w:rPr>
          <w:rFonts w:cs="Arial"/>
          <w:b/>
          <w:i/>
          <w:iCs/>
        </w:rPr>
        <w:t>Proposal1:</w:t>
      </w:r>
      <w:r>
        <w:rPr>
          <w:rFonts w:cs="Arial"/>
          <w:bCs/>
          <w:i/>
          <w:iCs/>
        </w:rPr>
        <w:t xml:space="preserve"> </w:t>
      </w:r>
      <w:r>
        <w:rPr>
          <w:rFonts w:cs="Arial"/>
          <w:b/>
          <w:i/>
          <w:iCs/>
        </w:rPr>
        <w:t>There can be two alternatives to deal with HARQ process numbering in case of mismatch between resource configuration and scheduling</w:t>
      </w:r>
    </w:p>
    <w:p>
      <w:pPr>
        <w:pStyle w:val="Normal"/>
        <w:spacing w:lineRule="auto" w:line="276" w:before="0" w:after="120"/>
        <w:ind w:left="360" w:hanging="0"/>
        <w:jc w:val="both"/>
        <w:rPr>
          <w:rFonts w:cs="Arial"/>
          <w:b/>
          <w:b/>
          <w:i/>
          <w:i/>
          <w:iCs/>
        </w:rPr>
      </w:pPr>
      <w:r>
        <w:rPr>
          <w:rFonts w:cs="Arial"/>
          <w:b/>
          <w:i/>
          <w:iCs/>
        </w:rPr>
        <w:t>Alt 1. The HARQ process number will be incremented for all PDSCH including the PDSCHs scheduled in the slots where mismatch occurs.</w:t>
      </w:r>
    </w:p>
    <w:p>
      <w:pPr>
        <w:pStyle w:val="Normal"/>
        <w:spacing w:lineRule="auto" w:line="276" w:before="0" w:after="120"/>
        <w:ind w:left="360" w:hanging="0"/>
        <w:jc w:val="both"/>
        <w:rPr>
          <w:rFonts w:cs="Arial"/>
          <w:b/>
          <w:b/>
          <w:i/>
          <w:i/>
          <w:iCs/>
        </w:rPr>
      </w:pPr>
      <w:r>
        <w:rPr>
          <w:rFonts w:cs="Arial"/>
          <w:b/>
          <w:i/>
          <w:iCs/>
        </w:rPr>
        <w:t>Alt 2</w:t>
      </w:r>
      <w:r>
        <w:rPr>
          <w:rFonts w:cs="Arial"/>
          <w:b/>
        </w:rPr>
        <w:t>.</w:t>
      </w:r>
      <w:r>
        <w:rPr>
          <w:rFonts w:cs="Arial"/>
          <w:b/>
          <w:i/>
          <w:iCs/>
        </w:rPr>
        <w:t xml:space="preserve"> The HARQ process number will be incremented by skipping the PDSCHs scheduled in the slots where mismatch occurs.</w:t>
      </w:r>
    </w:p>
    <w:p>
      <w:pPr>
        <w:pStyle w:val="Normal"/>
        <w:spacing w:lineRule="auto" w:line="276" w:before="0" w:after="120"/>
        <w:jc w:val="both"/>
        <w:rPr>
          <w:rFonts w:cs="Arial"/>
          <w:b/>
          <w:b/>
          <w:i/>
          <w:i/>
          <w:iCs/>
        </w:rPr>
      </w:pPr>
      <w:r>
        <w:rPr>
          <w:rFonts w:cs="Arial"/>
          <w:b/>
          <w:i/>
          <w:iCs/>
        </w:rPr>
        <w:t xml:space="preserve">Proposal 2: In cases, where the HARQ process ID is incremented also for slots with mismatch between resource configuration and scheduling, reuse of the corresponding HARQ ID for some other PDSCH is supported. </w:t>
      </w:r>
    </w:p>
    <w:p>
      <w:pPr>
        <w:pStyle w:val="Normal"/>
        <w:spacing w:lineRule="auto" w:line="276" w:before="0" w:after="120"/>
        <w:jc w:val="both"/>
        <w:rPr>
          <w:rFonts w:cs="Arial"/>
          <w:b/>
          <w:b/>
          <w:i/>
          <w:i/>
          <w:iCs/>
        </w:rPr>
      </w:pPr>
      <w:r>
        <w:rPr>
          <w:rFonts w:cs="Arial"/>
          <w:b/>
          <w:i/>
          <w:iCs/>
        </w:rPr>
        <w:t>Proposal 3: Support the investigation on maximum K0/K2 value, HARQ latency and number of HARQ process IDs in order to limiting the maximum gap between first and last PXSCH.</w:t>
      </w:r>
    </w:p>
    <w:p>
      <w:pPr>
        <w:pStyle w:val="Normal"/>
        <w:spacing w:lineRule="auto" w:line="252"/>
        <w:jc w:val="both"/>
        <w:rPr>
          <w:rFonts w:ascii="Arial" w:hAnsi="Arial" w:cs="Arial"/>
          <w:i/>
          <w:i/>
          <w:iCs/>
        </w:rPr>
      </w:pPr>
      <w:r>
        <w:rPr>
          <w:b/>
          <w:bCs/>
          <w:i/>
          <w:iCs/>
        </w:rPr>
        <w:t>Proposal 4: A set of priority rules should be defined in the case when SLIVs from multi-PDSCH entry of the TDRA table overlaps with any other SLIV from the table in a slot.</w:t>
      </w:r>
      <w:r>
        <w:rPr>
          <w:rFonts w:cs="Arial" w:ascii="Arial" w:hAnsi="Arial"/>
          <w:i/>
          <w:iCs/>
        </w:rPr>
        <w:tab/>
      </w:r>
    </w:p>
    <w:p>
      <w:pPr>
        <w:pStyle w:val="Annotationtext"/>
        <w:jc w:val="both"/>
        <w:rPr>
          <w:sz w:val="22"/>
        </w:rPr>
      </w:pPr>
      <w:r>
        <w:rPr>
          <w:b/>
          <w:bCs/>
          <w:i/>
          <w:iCs/>
          <w:sz w:val="22"/>
        </w:rPr>
        <w:t>Proposal 5: Consider the SLIV scheduled by the first DCI and discard the other SLIVs when SLIVs from multi-PDSCH entry of the TDRA table overlaps with any other SLIV from the table in a slot.</w:t>
      </w:r>
    </w:p>
    <w:p>
      <w:pPr>
        <w:pStyle w:val="Heading1"/>
        <w:numPr>
          <w:ilvl w:val="0"/>
          <w:numId w:val="2"/>
        </w:numPr>
        <w:jc w:val="both"/>
        <w:rPr>
          <w:rFonts w:cs="Arial"/>
          <w:b/>
          <w:b/>
          <w:sz w:val="32"/>
          <w:lang w:val="en-US"/>
        </w:rPr>
      </w:pPr>
      <w:r>
        <w:rPr>
          <w:rFonts w:cs="Arial"/>
          <w:b/>
          <w:sz w:val="32"/>
          <w:lang w:val="en-US"/>
        </w:rPr>
        <w:t>References</w:t>
      </w:r>
    </w:p>
    <w:p>
      <w:pPr>
        <w:pStyle w:val="TextBody"/>
        <w:numPr>
          <w:ilvl w:val="0"/>
          <w:numId w:val="3"/>
        </w:numPr>
        <w:spacing w:lineRule="auto" w:line="276" w:before="0" w:after="0"/>
        <w:contextualSpacing/>
        <w:jc w:val="both"/>
        <w:rPr>
          <w:rFonts w:ascii="Arial" w:hAnsi="Arial" w:cs="Arial"/>
        </w:rPr>
      </w:pPr>
      <w:r>
        <w:rPr>
          <w:rFonts w:eastAsia="SimSun" w:cs="Arial" w:ascii="Arial" w:hAnsi="Arial"/>
          <w:color w:val="000000"/>
        </w:rPr>
        <w:t>Chairman’s Notes, 3GPP TSG RAN WG1 Meeting #105-e, May 2021.</w:t>
      </w:r>
    </w:p>
    <w:p>
      <w:pPr>
        <w:pStyle w:val="TextBody"/>
        <w:numPr>
          <w:ilvl w:val="0"/>
          <w:numId w:val="3"/>
        </w:numPr>
        <w:spacing w:lineRule="auto" w:line="276" w:before="0" w:after="0"/>
        <w:contextualSpacing/>
        <w:jc w:val="both"/>
        <w:rPr/>
      </w:pPr>
      <w:r>
        <w:rPr>
          <w:rFonts w:eastAsia="SimSun" w:cs="Arial" w:ascii="Arial" w:hAnsi="Arial"/>
          <w:color w:val="000000"/>
        </w:rPr>
        <w:t>Chairman’s Notes, 3GPP TSG RAN WG1 Meeting #104bis-e, April 2021.</w:t>
      </w:r>
    </w:p>
    <w:sectPr>
      <w:type w:val="nextPage"/>
      <w:pgSz w:w="12240" w:h="15840"/>
      <w:pgMar w:left="1134" w:right="1134" w:header="0" w:top="1134" w:footer="0" w:bottom="1418" w:gutter="0"/>
      <w:pgNumType w:fmt="decimal"/>
      <w:formProt w:val="false"/>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Cambria">
    <w:charset w:val="01"/>
    <w:family w:val="roman"/>
    <w:pitch w:val="variable"/>
  </w:font>
  <w:font w:name="Arial">
    <w:charset w:val="01"/>
    <w:family w:val="roman"/>
    <w:pitch w:val="variable"/>
  </w:font>
  <w:font w:name="Courier New">
    <w:charset w:val="01"/>
    <w:family w:val="roman"/>
    <w:pitch w:val="variable"/>
  </w:font>
  <w:font w:name="Calibri Light">
    <w:charset w:val="01"/>
    <w:family w:val="roman"/>
    <w:pitch w:val="variable"/>
  </w:font>
  <w:font w:name="Calibri">
    <w:charset w:val="01"/>
    <w:family w:val="roman"/>
    <w:pitch w:val="variable"/>
  </w:font>
  <w:font w:name="Times New Roman">
    <w:charset w:val="01"/>
    <w:family w:val="roman"/>
    <w:pitch w:val="variable"/>
  </w:font>
  <w:font w:name="Times">
    <w:altName w:val="Times New Roman"/>
    <w:charset w:val="01"/>
    <w:family w:val="roman"/>
    <w:pitch w:val="variable"/>
  </w:font>
  <w:font w:name="Liberation Sans">
    <w:altName w:val="Arial"/>
    <w:charset w:val="01"/>
    <w:family w:val="swiss"/>
    <w:pitch w:val="variable"/>
  </w:font>
  <w:font w:name="Tahoma">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rPr>
        <w:lang w:val="en-US"/>
      </w:rPr>
    </w:lvl>
    <w:lvl w:ilvl="1">
      <w:start w:val="1"/>
      <w:pStyle w:val="Heading2"/>
      <w:numFmt w:val="decimal"/>
      <w:lvlText w:val="%1.%2"/>
      <w:lvlJc w:val="left"/>
      <w:pPr>
        <w:tabs>
          <w:tab w:val="num" w:pos="576"/>
        </w:tabs>
        <w:ind w:left="576" w:hanging="576"/>
      </w:pPr>
      <w:rPr>
        <w:sz w:val="32"/>
        <w:szCs w:val="32"/>
        <w:lang w:val="en-US"/>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sz w:val="32"/>
        <w:szCs w:val="32"/>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lvl w:ilvl="0">
      <w:start w:val="1"/>
      <w:numFmt w:val="bullet"/>
      <w:lvlText w:val=""/>
      <w:lvlJc w:val="left"/>
      <w:pPr>
        <w:ind w:left="360" w:hanging="360"/>
      </w:pPr>
      <w:rPr>
        <w:rFonts w:ascii="Symbol" w:hAnsi="Symbol" w:cs="Symbol" w:hint="default"/>
        <w:sz w:val="20"/>
        <w:rFonts w:cs="Times New Roman"/>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bullet"/>
      <w:lvlText w:val=""/>
      <w:lvlJc w:val="left"/>
      <w:pPr>
        <w:ind w:left="360" w:hanging="360"/>
      </w:pPr>
      <w:rPr>
        <w:rFonts w:ascii="Symbol" w:hAnsi="Symbol" w:cs="Symbol" w:hint="default"/>
        <w:sz w:val="18"/>
        <w:rFonts w:cs="Times New Roman"/>
      </w:rPr>
    </w:lvl>
    <w:lvl w:ilvl="1">
      <w:start w:val="1"/>
      <w:numFmt w:val="bullet"/>
      <w:lvlText w:val="o"/>
      <w:lvlJc w:val="left"/>
      <w:pPr>
        <w:ind w:left="1080" w:hanging="360"/>
      </w:pPr>
      <w:rPr>
        <w:rFonts w:ascii="Courier New" w:hAnsi="Courier New" w:cs="Courier New" w:hint="default"/>
        <w:sz w:val="20"/>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567"/>
  <w:compat>
    <w:doNotExpandShiftReturn/>
  </w:compat>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CA"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CA" w:eastAsia="en-US" w:bidi="ar-SA"/>
      </w:rPr>
    </w:rPrDefault>
    <w:pPrDefault>
      <w:pPr>
        <w:spacing w:lineRule="auto" w:line="276"/>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71ee3"/>
    <w:pPr>
      <w:widowControl/>
      <w:bidi w:val="0"/>
      <w:spacing w:lineRule="auto" w:line="259" w:before="0" w:after="160"/>
      <w:jc w:val="left"/>
    </w:pPr>
    <w:rPr>
      <w:rFonts w:ascii="Cambria" w:hAnsi="Cambria" w:eastAsia="Cambria" w:cs="" w:asciiTheme="minorHAnsi" w:cstheme="minorBidi" w:eastAsiaTheme="minorHAnsi" w:hAnsiTheme="minorHAnsi"/>
      <w:color w:val="auto"/>
      <w:kern w:val="0"/>
      <w:sz w:val="22"/>
      <w:szCs w:val="22"/>
      <w:lang w:val="en-US" w:eastAsia="en-US" w:bidi="ar-SA"/>
    </w:rPr>
  </w:style>
  <w:style w:type="paragraph" w:styleId="Heading1">
    <w:name w:val="Heading 1"/>
    <w:basedOn w:val="Normal"/>
    <w:next w:val="Normal"/>
    <w:link w:val="Heading1Char"/>
    <w:qFormat/>
    <w:rsid w:val="009e35db"/>
    <w:pPr>
      <w:keepNext w:val="true"/>
      <w:keepLines/>
      <w:widowControl/>
      <w:numPr>
        <w:ilvl w:val="0"/>
        <w:numId w:val="1"/>
      </w:numPr>
      <w:pBdr>
        <w:top w:val="single" w:sz="12" w:space="3" w:color="000000"/>
      </w:pBdr>
      <w:overflowPunct w:val="true"/>
      <w:bidi w:val="0"/>
      <w:spacing w:before="240" w:after="180"/>
      <w:jc w:val="left"/>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Id w:val="1"/>
      </w:numPr>
      <w:pBdr/>
      <w:tabs>
        <w:tab w:val="left" w:pos="756" w:leader="none"/>
      </w:tabs>
      <w:spacing w:before="180" w:after="180"/>
      <w:ind w:left="756" w:hanging="0"/>
      <w:outlineLvl w:val="1"/>
    </w:pPr>
    <w:rPr>
      <w:sz w:val="32"/>
      <w:szCs w:val="32"/>
    </w:rPr>
  </w:style>
  <w:style w:type="paragraph" w:styleId="Heading3">
    <w:name w:val="Heading 3"/>
    <w:basedOn w:val="Heading2"/>
    <w:next w:val="Normal"/>
    <w:qFormat/>
    <w:rsid w:val="009e35db"/>
    <w:pPr>
      <w:numPr>
        <w:ilvl w:val="2"/>
        <w:numId w:val="1"/>
      </w:numPr>
      <w:spacing w:before="120" w:after="180"/>
      <w:outlineLvl w:val="2"/>
    </w:pPr>
    <w:rPr>
      <w:sz w:val="28"/>
      <w:szCs w:val="28"/>
    </w:rPr>
  </w:style>
  <w:style w:type="paragraph" w:styleId="Heading4">
    <w:name w:val="Heading 4"/>
    <w:basedOn w:val="Heading3"/>
    <w:next w:val="Normal"/>
    <w:uiPriority w:val="9"/>
    <w:qFormat/>
    <w:rsid w:val="009e35db"/>
    <w:pPr>
      <w:numPr>
        <w:ilvl w:val="3"/>
        <w:numId w:val="1"/>
      </w:numPr>
      <w:outlineLvl w:val="3"/>
    </w:pPr>
    <w:rPr>
      <w:sz w:val="24"/>
      <w:szCs w:val="24"/>
    </w:rPr>
  </w:style>
  <w:style w:type="paragraph" w:styleId="Heading5">
    <w:name w:val="Heading 5"/>
    <w:basedOn w:val="Heading4"/>
    <w:next w:val="Normal"/>
    <w:uiPriority w:val="9"/>
    <w:qFormat/>
    <w:rsid w:val="009e35db"/>
    <w:pPr>
      <w:numPr>
        <w:ilvl w:val="4"/>
        <w:numId w:val="1"/>
      </w:numPr>
      <w:outlineLvl w:val="4"/>
    </w:pPr>
    <w:rPr>
      <w:sz w:val="22"/>
      <w:szCs w:val="22"/>
    </w:rPr>
  </w:style>
  <w:style w:type="paragraph" w:styleId="Heading6">
    <w:name w:val="Heading 6"/>
    <w:basedOn w:val="Normal"/>
    <w:next w:val="Normal"/>
    <w:uiPriority w:val="9"/>
    <w:qFormat/>
    <w:rsid w:val="009e35db"/>
    <w:pPr>
      <w:keepNext w:val="true"/>
      <w:keepLines/>
      <w:numPr>
        <w:ilvl w:val="5"/>
        <w:numId w:val="1"/>
      </w:numPr>
      <w:spacing w:before="120" w:after="160"/>
      <w:outlineLvl w:val="5"/>
    </w:pPr>
    <w:rPr>
      <w:rFonts w:ascii="Arial" w:hAnsi="Arial" w:cs="Arial"/>
    </w:rPr>
  </w:style>
  <w:style w:type="paragraph" w:styleId="Heading7">
    <w:name w:val="Heading 7"/>
    <w:basedOn w:val="Normal"/>
    <w:next w:val="Normal"/>
    <w:uiPriority w:val="9"/>
    <w:qFormat/>
    <w:rsid w:val="009e35db"/>
    <w:pPr>
      <w:keepNext w:val="true"/>
      <w:keepLines/>
      <w:numPr>
        <w:ilvl w:val="6"/>
        <w:numId w:val="1"/>
      </w:numPr>
      <w:spacing w:before="120" w:after="160"/>
      <w:outlineLvl w:val="6"/>
    </w:pPr>
    <w:rPr>
      <w:rFonts w:ascii="Arial" w:hAnsi="Arial" w:cs="Arial"/>
    </w:rPr>
  </w:style>
  <w:style w:type="paragraph" w:styleId="Heading8">
    <w:name w:val="Heading 8"/>
    <w:basedOn w:val="Heading7"/>
    <w:next w:val="Normal"/>
    <w:uiPriority w:val="9"/>
    <w:qFormat/>
    <w:rsid w:val="009e35db"/>
    <w:pPr>
      <w:numPr>
        <w:ilvl w:val="7"/>
        <w:numId w:val="1"/>
      </w:numPr>
      <w:outlineLvl w:val="7"/>
    </w:pPr>
    <w:rPr/>
  </w:style>
  <w:style w:type="paragraph" w:styleId="Heading9">
    <w:name w:val="Heading 9"/>
    <w:basedOn w:val="Heading8"/>
    <w:next w:val="Normal"/>
    <w:uiPriority w:val="9"/>
    <w:qFormat/>
    <w:rsid w:val="009e35db"/>
    <w:pPr>
      <w:numPr>
        <w:ilvl w:val="8"/>
        <w:numId w:val="1"/>
      </w:numPr>
      <w:outlineLvl w:val="8"/>
    </w:pPr>
    <w:rPr/>
  </w:style>
  <w:style w:type="character" w:styleId="DefaultParagraphFont" w:default="1">
    <w:name w:val="Default Paragraph Font"/>
    <w:uiPriority w:val="1"/>
    <w:semiHidden/>
    <w:unhideWhenUsed/>
    <w:qFormat/>
    <w:rsid w:val="00471ee3"/>
    <w:rPr/>
  </w:style>
  <w:style w:type="character" w:styleId="FootnoteCharacters">
    <w:name w:val="Footnote Characters"/>
    <w:semiHidden/>
    <w:qFormat/>
    <w:rsid w:val="009e35db"/>
    <w:rPr>
      <w:b/>
      <w:bCs/>
      <w:sz w:val="16"/>
      <w:szCs w:val="16"/>
    </w:rPr>
  </w:style>
  <w:style w:type="character" w:styleId="FootnoteAnchor">
    <w:name w:val="Footnote Anchor"/>
    <w:rPr>
      <w:b/>
      <w:bCs/>
      <w:sz w:val="16"/>
      <w:szCs w:val="16"/>
      <w:vertAlign w:val="superscript"/>
    </w:rPr>
  </w:style>
  <w:style w:type="character" w:styleId="Pagenumber">
    <w:name w:val="page number"/>
    <w:basedOn w:val="DefaultParagraphFont"/>
    <w:semiHidden/>
    <w:qFormat/>
    <w:rsid w:val="009e35db"/>
    <w:rPr/>
  </w:style>
  <w:style w:type="character" w:styleId="InternetLink">
    <w:name w:val="Internet Link"/>
    <w:uiPriority w:val="99"/>
    <w:qFormat/>
    <w:rsid w:val="0090336b"/>
    <w:rPr>
      <w:color w:val="0000FF"/>
      <w:u w:val="single"/>
    </w:rPr>
  </w:style>
  <w:style w:type="character" w:styleId="FollowedHyperlink">
    <w:name w:val="FollowedHyperlink"/>
    <w:semiHidden/>
    <w:qFormat/>
    <w:rsid w:val="00980477"/>
    <w:rPr>
      <w:color w:val="FF0000"/>
      <w:u w:val="single"/>
    </w:rPr>
  </w:style>
  <w:style w:type="character" w:styleId="Annotationreference">
    <w:name w:val="annotation reference"/>
    <w:semiHidden/>
    <w:qFormat/>
    <w:rsid w:val="009c403e"/>
    <w:rPr>
      <w:sz w:val="16"/>
      <w:szCs w:val="16"/>
    </w:rPr>
  </w:style>
  <w:style w:type="character" w:styleId="Heading1Char" w:customStyle="1">
    <w:name w:val="Heading 1 Char"/>
    <w:link w:val="Heading1"/>
    <w:qFormat/>
    <w:rsid w:val="00085b52"/>
    <w:rPr>
      <w:rFonts w:ascii="Arial" w:hAnsi="Arial"/>
      <w:sz w:val="36"/>
      <w:szCs w:val="36"/>
      <w:lang w:val="en-GB" w:eastAsia="zh-CN"/>
    </w:rPr>
  </w:style>
  <w:style w:type="character" w:styleId="EditorsNoteChar" w:customStyle="1">
    <w:name w:val="Editor's Note Char"/>
    <w:link w:val="EditorsNote"/>
    <w:qFormat/>
    <w:rsid w:val="00881cdd"/>
    <w:rPr>
      <w:color w:val="FF0000"/>
      <w:sz w:val="22"/>
      <w:lang w:val="en-GB" w:eastAsia="zh-CN" w:bidi="ar-SA"/>
    </w:rPr>
  </w:style>
  <w:style w:type="character" w:styleId="BodyTextChar" w:customStyle="1">
    <w:name w:val="Body Text Char"/>
    <w:link w:val="BodyText"/>
    <w:qFormat/>
    <w:rsid w:val="0056121f"/>
    <w:rPr>
      <w:sz w:val="22"/>
      <w:lang w:val="en-GB" w:eastAsia="zh-CN" w:bidi="ar-SA"/>
    </w:rPr>
  </w:style>
  <w:style w:type="character" w:styleId="PLChar" w:customStyle="1">
    <w:name w:val="PL Char"/>
    <w:link w:val="PL"/>
    <w:qFormat/>
    <w:rsid w:val="00891245"/>
    <w:rPr>
      <w:rFonts w:ascii="Courier New" w:hAnsi="Courier New" w:eastAsia="Times New Roman"/>
      <w:sz w:val="16"/>
      <w:lang w:val="en-GB" w:eastAsia="en-US" w:bidi="ar-SA"/>
    </w:rPr>
  </w:style>
  <w:style w:type="character" w:styleId="TALCar" w:customStyle="1">
    <w:name w:val="TAL Car"/>
    <w:link w:val="TAL"/>
    <w:qFormat/>
    <w:rsid w:val="00891245"/>
    <w:rPr>
      <w:rFonts w:ascii="Arial" w:hAnsi="Arial"/>
      <w:sz w:val="18"/>
      <w:lang w:val="en-GB" w:eastAsia="en-US" w:bidi="ar-SA"/>
    </w:rPr>
  </w:style>
  <w:style w:type="character" w:styleId="B1Char1" w:customStyle="1">
    <w:name w:val="B1 Char1"/>
    <w:link w:val="B1"/>
    <w:qFormat/>
    <w:rsid w:val="00e629ca"/>
    <w:rPr>
      <w:lang w:val="en-GB" w:eastAsia="en-US" w:bidi="ar-SA"/>
    </w:rPr>
  </w:style>
  <w:style w:type="character" w:styleId="B2Char" w:customStyle="1">
    <w:name w:val="B2 Char"/>
    <w:link w:val="B2"/>
    <w:qFormat/>
    <w:rsid w:val="00e629ca"/>
    <w:rPr>
      <w:lang w:val="en-GB" w:eastAsia="en-US" w:bidi="ar-SA"/>
    </w:rPr>
  </w:style>
  <w:style w:type="character" w:styleId="B3Char2" w:customStyle="1">
    <w:name w:val="B3 Char2"/>
    <w:link w:val="B3"/>
    <w:qFormat/>
    <w:rsid w:val="00e629ca"/>
    <w:rPr>
      <w:lang w:val="en-GB" w:eastAsia="en-US" w:bidi="ar-SA"/>
    </w:rPr>
  </w:style>
  <w:style w:type="character" w:styleId="B4Char" w:customStyle="1">
    <w:name w:val="B4 Char"/>
    <w:link w:val="B4"/>
    <w:qFormat/>
    <w:rsid w:val="00e629ca"/>
    <w:rPr>
      <w:lang w:val="en-GB" w:eastAsia="en-US" w:bidi="ar-SA"/>
    </w:rPr>
  </w:style>
  <w:style w:type="character" w:styleId="TALCharCharChar" w:customStyle="1">
    <w:name w:val="TAL Char Char Char"/>
    <w:link w:val="TALCharChar"/>
    <w:qFormat/>
    <w:rsid w:val="006427f0"/>
    <w:rPr>
      <w:rFonts w:ascii="Arial" w:hAnsi="Arial"/>
      <w:sz w:val="18"/>
      <w:lang w:val="en-GB" w:eastAsia="en-US" w:bidi="ar-SA"/>
    </w:rPr>
  </w:style>
  <w:style w:type="character" w:styleId="NOChar" w:customStyle="1">
    <w:name w:val="NO Char"/>
    <w:link w:val="NO"/>
    <w:qFormat/>
    <w:rsid w:val="009f0a74"/>
    <w:rPr>
      <w:lang w:val="en-GB" w:eastAsia="en-US" w:bidi="ar-SA"/>
    </w:rPr>
  </w:style>
  <w:style w:type="character" w:styleId="THChar" w:customStyle="1">
    <w:name w:val="TH Char"/>
    <w:link w:val="TH"/>
    <w:qFormat/>
    <w:rsid w:val="00003ec3"/>
    <w:rPr>
      <w:rFonts w:ascii="Arial" w:hAnsi="Arial" w:eastAsia="SimSun"/>
      <w:b/>
      <w:lang w:val="en-GB" w:eastAsia="en-US" w:bidi="ar-SA"/>
    </w:rPr>
  </w:style>
  <w:style w:type="character" w:styleId="Emphasis">
    <w:name w:val="Emphasis"/>
    <w:qFormat/>
    <w:rsid w:val="005716e3"/>
    <w:rPr>
      <w:i/>
      <w:iCs/>
    </w:rPr>
  </w:style>
  <w:style w:type="character" w:styleId="Strong">
    <w:name w:val="Strong"/>
    <w:qFormat/>
    <w:rsid w:val="005716e3"/>
    <w:rPr>
      <w:b/>
      <w:bCs/>
    </w:rPr>
  </w:style>
  <w:style w:type="character" w:styleId="Heading2Char" w:customStyle="1">
    <w:name w:val="Heading 2 Char"/>
    <w:link w:val="Heading2"/>
    <w:qFormat/>
    <w:rsid w:val="00c35d71"/>
    <w:rPr>
      <w:rFonts w:ascii="Arial" w:hAnsi="Arial"/>
      <w:sz w:val="32"/>
      <w:szCs w:val="32"/>
      <w:lang w:val="en-GB" w:eastAsia="zh-CN"/>
    </w:rPr>
  </w:style>
  <w:style w:type="character" w:styleId="B1Zchn" w:customStyle="1">
    <w:name w:val="B1 Zchn"/>
    <w:qFormat/>
    <w:rsid w:val="00255d36"/>
    <w:rPr>
      <w:lang w:val="en-GB" w:eastAsia="en-US"/>
    </w:rPr>
  </w:style>
  <w:style w:type="character" w:styleId="CommentsChar" w:customStyle="1">
    <w:name w:val="Comments Char"/>
    <w:link w:val="Comments"/>
    <w:qFormat/>
    <w:rsid w:val="00545011"/>
    <w:rPr>
      <w:rFonts w:ascii="Arial" w:hAnsi="Arial" w:eastAsia="MS Mincho"/>
      <w:i/>
      <w:sz w:val="18"/>
      <w:szCs w:val="24"/>
      <w:lang w:val="en-GB" w:eastAsia="en-GB"/>
    </w:rPr>
  </w:style>
  <w:style w:type="character" w:styleId="Doctext2Char" w:customStyle="1">
    <w:name w:val="Doc-text2 Char"/>
    <w:link w:val="Doc-text2"/>
    <w:qFormat/>
    <w:rsid w:val="001a4737"/>
    <w:rPr>
      <w:rFonts w:ascii="Arial" w:hAnsi="Arial" w:eastAsia="MS Mincho"/>
      <w:szCs w:val="24"/>
      <w:lang w:val="en-GB" w:eastAsia="en-GB"/>
    </w:rPr>
  </w:style>
  <w:style w:type="character" w:styleId="TAHCar" w:customStyle="1">
    <w:name w:val="TAH Car"/>
    <w:link w:val="TAH"/>
    <w:qFormat/>
    <w:locked/>
    <w:rsid w:val="00d16579"/>
    <w:rPr>
      <w:rFonts w:ascii="Arial" w:hAnsi="Arial" w:eastAsia="Times New Roman"/>
      <w:b/>
      <w:sz w:val="18"/>
      <w:lang w:val="en-GB"/>
    </w:rPr>
  </w:style>
  <w:style w:type="character" w:styleId="TitleChar" w:customStyle="1">
    <w:name w:val="Title Char"/>
    <w:basedOn w:val="DefaultParagraphFont"/>
    <w:link w:val="Title"/>
    <w:uiPriority w:val="10"/>
    <w:qFormat/>
    <w:rsid w:val="008759a0"/>
    <w:rPr>
      <w:rFonts w:ascii="Calibri Light" w:hAnsi="Calibri Light" w:eastAsia="Times New Roman" w:cs="Times New Roman"/>
      <w:spacing w:val="-10"/>
      <w:kern w:val="2"/>
      <w:sz w:val="56"/>
      <w:szCs w:val="56"/>
    </w:rPr>
  </w:style>
  <w:style w:type="character" w:styleId="TitleChar1" w:customStyle="1">
    <w:name w:val="Title Char1"/>
    <w:basedOn w:val="DefaultParagraphFont"/>
    <w:qFormat/>
    <w:rsid w:val="008759a0"/>
    <w:rPr>
      <w:rFonts w:ascii="Calibri" w:hAnsi="Calibri" w:eastAsia="ＭＳ ゴシック" w:cs="" w:asciiTheme="majorHAnsi" w:cstheme="majorBidi" w:eastAsiaTheme="majorEastAsia" w:hAnsiTheme="majorHAnsi"/>
      <w:spacing w:val="-10"/>
      <w:kern w:val="2"/>
      <w:sz w:val="56"/>
      <w:szCs w:val="56"/>
      <w:lang w:val="en-GB" w:eastAsia="zh-CN"/>
    </w:rPr>
  </w:style>
  <w:style w:type="character" w:styleId="HeaderChar" w:customStyle="1">
    <w:name w:val="Header Char"/>
    <w:basedOn w:val="DefaultParagraphFont"/>
    <w:link w:val="Header"/>
    <w:qFormat/>
    <w:rsid w:val="002838a1"/>
    <w:rPr>
      <w:rFonts w:ascii="Arial" w:hAnsi="Arial" w:cs="Arial"/>
      <w:b/>
      <w:bCs/>
      <w:sz w:val="18"/>
      <w:szCs w:val="18"/>
      <w:lang w:val="en-US" w:eastAsia="zh-CN"/>
    </w:rPr>
  </w:style>
  <w:style w:type="character" w:styleId="TabletextChar" w:customStyle="1">
    <w:name w:val="Table_text Char"/>
    <w:link w:val="Tabletext"/>
    <w:qFormat/>
    <w:locked/>
    <w:rsid w:val="001447b7"/>
    <w:rPr>
      <w:rFonts w:ascii="Times New Roman" w:hAnsi="Times New Roman" w:eastAsia="Times New Roman"/>
      <w:lang w:val="en-GB"/>
    </w:rPr>
  </w:style>
  <w:style w:type="character" w:styleId="CaptionChar" w:customStyle="1">
    <w:name w:val="Caption Char"/>
    <w:link w:val="Caption"/>
    <w:qFormat/>
    <w:rsid w:val="00927fe2"/>
    <w:rPr>
      <w:rFonts w:ascii="Cambria" w:hAnsi="Cambria" w:eastAsia="Cambria" w:cs="" w:asciiTheme="minorHAnsi" w:cstheme="minorBidi" w:eastAsiaTheme="minorHAnsi" w:hAnsiTheme="minorHAnsi"/>
      <w:b/>
      <w:bCs/>
      <w:sz w:val="22"/>
      <w:szCs w:val="22"/>
      <w:lang w:val="en-US"/>
    </w:rPr>
  </w:style>
  <w:style w:type="character" w:styleId="TACChar" w:customStyle="1">
    <w:name w:val="TAC Char"/>
    <w:link w:val="TAC"/>
    <w:qFormat/>
    <w:rsid w:val="00927fe2"/>
    <w:rPr>
      <w:rFonts w:ascii="Arial" w:hAnsi="Arial" w:eastAsia="Cambria" w:cs="" w:cstheme="minorBidi" w:eastAsiaTheme="minorHAnsi"/>
      <w:sz w:val="18"/>
      <w:szCs w:val="22"/>
      <w:lang w:val="en-US"/>
    </w:rPr>
  </w:style>
  <w:style w:type="character" w:styleId="PlaceholderText">
    <w:name w:val="Placeholder Text"/>
    <w:basedOn w:val="DefaultParagraphFont"/>
    <w:uiPriority w:val="67"/>
    <w:semiHidden/>
    <w:qFormat/>
    <w:rsid w:val="00a62a61"/>
    <w:rPr>
      <w:color w:val="808080"/>
    </w:rPr>
  </w:style>
  <w:style w:type="character" w:styleId="ListParagraphChar" w:customStyle="1">
    <w:name w:val="List Paragraph Char"/>
    <w:link w:val="ListParagraph"/>
    <w:uiPriority w:val="34"/>
    <w:qFormat/>
    <w:locked/>
    <w:rsid w:val="00d252dd"/>
    <w:rPr>
      <w:rFonts w:ascii="Calibri" w:hAnsi="Calibri" w:eastAsia="Calibri" w:cs="" w:cstheme="minorBidi"/>
      <w:sz w:val="22"/>
      <w:szCs w:val="22"/>
      <w:lang w:val="en-US" w:eastAsia="zh-CN"/>
    </w:rPr>
  </w:style>
  <w:style w:type="character" w:styleId="LGTdocChar" w:customStyle="1">
    <w:name w:val="LGTdoc_본문 Char"/>
    <w:link w:val="LGTdoc"/>
    <w:qFormat/>
    <w:rsid w:val="0007384d"/>
    <w:rPr>
      <w:rFonts w:ascii="Times New Roman" w:hAnsi="Times New Roman" w:eastAsia="Batang"/>
      <w:kern w:val="2"/>
      <w:sz w:val="22"/>
      <w:szCs w:val="24"/>
      <w:lang w:val="en-GB" w:eastAsia="ko-KR"/>
    </w:rPr>
  </w:style>
  <w:style w:type="character" w:styleId="Bullet1Char" w:customStyle="1">
    <w:name w:val="bullet1 Char"/>
    <w:link w:val="bullet1"/>
    <w:qFormat/>
    <w:rsid w:val="00d326d7"/>
    <w:rPr>
      <w:rFonts w:ascii="Times" w:hAnsi="Times" w:eastAsia="Batang" w:cs="" w:cstheme="minorBidi"/>
      <w:szCs w:val="22"/>
      <w:lang w:val="en-GB" w:eastAsia="ko-KR"/>
    </w:rPr>
  </w:style>
  <w:style w:type="character" w:styleId="Bullet2Char" w:customStyle="1">
    <w:name w:val="bullet2 Char"/>
    <w:link w:val="bullet2"/>
    <w:qFormat/>
    <w:rsid w:val="00d326d7"/>
    <w:rPr>
      <w:rFonts w:ascii="Times" w:hAnsi="Times" w:eastAsia="Batang" w:cs="" w:cstheme="minorBidi"/>
      <w:szCs w:val="22"/>
      <w:lang w:val="en-GB" w:eastAsia="ko-KR"/>
    </w:rPr>
  </w:style>
  <w:style w:type="character" w:styleId="Style1Char" w:customStyle="1">
    <w:name w:val="Style1 Char"/>
    <w:link w:val="Style1"/>
    <w:qFormat/>
    <w:rsid w:val="009a1337"/>
    <w:rPr>
      <w:rFonts w:ascii="Times New Roman" w:hAnsi="Times New Roman"/>
      <w:lang w:val="en-US" w:eastAsia="zh-CN"/>
    </w:rPr>
  </w:style>
  <w:style w:type="character" w:styleId="CaptionChar1" w:customStyle="1">
    <w:name w:val="Caption Char1"/>
    <w:qFormat/>
    <w:rsid w:val="00df53b0"/>
    <w:rPr>
      <w:rFonts w:eastAsia="SimSun"/>
      <w:b/>
      <w:bCs/>
      <w:lang w:eastAsia="en-US"/>
    </w:rPr>
  </w:style>
  <w:style w:type="character" w:styleId="Topichighlight" w:customStyle="1">
    <w:name w:val="topic-highlight"/>
    <w:basedOn w:val="DefaultParagraphFont"/>
    <w:qFormat/>
    <w:rsid w:val="00aa4766"/>
    <w:rPr/>
  </w:style>
  <w:style w:type="character" w:styleId="Appleconvertedspace" w:customStyle="1">
    <w:name w:val="apple-converted-space"/>
    <w:basedOn w:val="DefaultParagraphFont"/>
    <w:qFormat/>
    <w:rsid w:val="005f3e69"/>
    <w:rPr/>
  </w:style>
  <w:style w:type="character" w:styleId="Normaltextrun" w:customStyle="1">
    <w:name w:val="normaltextrun"/>
    <w:basedOn w:val="DefaultParagraphFont"/>
    <w:qFormat/>
    <w:rsid w:val="00e854b4"/>
    <w:rPr/>
  </w:style>
  <w:style w:type="character" w:styleId="B1Char" w:customStyle="1">
    <w:name w:val="B1 Char"/>
    <w:qFormat/>
    <w:locked/>
    <w:rsid w:val="00b16bcf"/>
    <w:rPr>
      <w:rFonts w:ascii="Times New Roman" w:hAnsi="Times New Roman"/>
      <w:lang w:val="en-GB"/>
    </w:rPr>
  </w:style>
  <w:style w:type="character" w:styleId="ListLabel1">
    <w:name w:val="ListLabel 1"/>
    <w:qFormat/>
    <w:rPr>
      <w:lang w:val="en-US"/>
    </w:rPr>
  </w:style>
  <w:style w:type="character" w:styleId="ListLabel2">
    <w:name w:val="ListLabel 2"/>
    <w:qFormat/>
    <w:rPr>
      <w:sz w:val="32"/>
      <w:szCs w:val="32"/>
      <w:lang w:val="en-US"/>
    </w:rPr>
  </w:style>
  <w:style w:type="character" w:styleId="ListLabel3">
    <w:name w:val="ListLabel 3"/>
    <w:qFormat/>
    <w:rPr>
      <w:rFonts w:cs="Times New Roman"/>
      <w:lang w:val="en-US"/>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Times New Roman"/>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Times New Roman"/>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Times New Roman"/>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Times New Roman"/>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b/>
      <w:i w:val="false"/>
      <w:color w:val="70CEF5"/>
      <w:sz w:val="20"/>
      <w:szCs w:val="20"/>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eastAsia="Times New Roman" w:cs="Times New Roman"/>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rFonts w:cs="Courier New"/>
    </w:rPr>
  </w:style>
  <w:style w:type="character" w:styleId="ListLabel60">
    <w:name w:val="ListLabel 60"/>
    <w:qFormat/>
    <w:rPr>
      <w:rFonts w:cs="Courier New"/>
    </w:rPr>
  </w:style>
  <w:style w:type="character" w:styleId="ListLabel61">
    <w:name w:val="ListLabel 61"/>
    <w:qFormat/>
    <w:rPr>
      <w:rFonts w:cs="Courier New"/>
    </w:rPr>
  </w:style>
  <w:style w:type="character" w:styleId="ListLabel62">
    <w:name w:val="ListLabel 62"/>
    <w:qFormat/>
    <w:rPr>
      <w:rFonts w:cs="Courier New"/>
    </w:rPr>
  </w:style>
  <w:style w:type="character" w:styleId="ListLabel63">
    <w:name w:val="ListLabel 63"/>
    <w:qFormat/>
    <w:rPr>
      <w:rFonts w:cs="Courier New"/>
    </w:rPr>
  </w:style>
  <w:style w:type="character" w:styleId="ListLabel64">
    <w:name w:val="ListLabel 64"/>
    <w:qFormat/>
    <w:rPr>
      <w:rFonts w:cs="Courier New"/>
    </w:rPr>
  </w:style>
  <w:style w:type="character" w:styleId="ListLabel65">
    <w:name w:val="ListLabel 65"/>
    <w:qFormat/>
    <w:rPr>
      <w:rFonts w:cs="Courier New"/>
    </w:rPr>
  </w:style>
  <w:style w:type="character" w:styleId="ListLabel66">
    <w:name w:val="ListLabel 66"/>
    <w:qFormat/>
    <w:rPr>
      <w:rFonts w:cs="Courier New"/>
    </w:rPr>
  </w:style>
  <w:style w:type="character" w:styleId="ListLabel67">
    <w:name w:val="ListLabel 67"/>
    <w:qFormat/>
    <w:rPr>
      <w:rFonts w:cs="Courier New"/>
    </w:rPr>
  </w:style>
  <w:style w:type="character" w:styleId="ListLabel68">
    <w:name w:val="ListLabel 68"/>
    <w:qFormat/>
    <w:rPr>
      <w:rFonts w:cs="Courier New"/>
    </w:rPr>
  </w:style>
  <w:style w:type="character" w:styleId="ListLabel69">
    <w:name w:val="ListLabel 69"/>
    <w:qFormat/>
    <w:rPr>
      <w:rFonts w:cs="Courier New"/>
    </w:rPr>
  </w:style>
  <w:style w:type="character" w:styleId="ListLabel70">
    <w:name w:val="ListLabel 70"/>
    <w:qFormat/>
    <w:rPr>
      <w:rFonts w:eastAsia="Calibri" w:cs="Times New Roman"/>
    </w:rPr>
  </w:style>
  <w:style w:type="character" w:styleId="ListLabel71">
    <w:name w:val="ListLabel 71"/>
    <w:qFormat/>
    <w:rPr>
      <w:rFonts w:cs="Courier New"/>
    </w:rPr>
  </w:style>
  <w:style w:type="character" w:styleId="ListLabel72">
    <w:name w:val="ListLabel 72"/>
    <w:qFormat/>
    <w:rPr>
      <w:rFonts w:cs="Courier New"/>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rFonts w:cs="Courier New"/>
    </w:rPr>
  </w:style>
  <w:style w:type="character" w:styleId="ListLabel76">
    <w:name w:val="ListLabel 76"/>
    <w:qFormat/>
    <w:rPr>
      <w:rFonts w:cs="Courier New"/>
    </w:rPr>
  </w:style>
  <w:style w:type="character" w:styleId="ListLabel77">
    <w:name w:val="ListLabel 77"/>
    <w:qFormat/>
    <w:rPr>
      <w:rFonts w:cs="Courier New"/>
    </w:rPr>
  </w:style>
  <w:style w:type="character" w:styleId="ListLabel78">
    <w:name w:val="ListLabel 78"/>
    <w:qFormat/>
    <w:rPr>
      <w:rFonts w:cs="Courier New"/>
    </w:rPr>
  </w:style>
  <w:style w:type="character" w:styleId="ListLabel79">
    <w:name w:val="ListLabel 79"/>
    <w:qFormat/>
    <w:rPr>
      <w:rFonts w:cs="Courier New"/>
    </w:rPr>
  </w:style>
  <w:style w:type="character" w:styleId="ListLabel80">
    <w:name w:val="ListLabel 80"/>
    <w:qFormat/>
    <w:rPr>
      <w:rFonts w:cs="Courier New"/>
    </w:rPr>
  </w:style>
  <w:style w:type="character" w:styleId="ListLabel81">
    <w:name w:val="ListLabel 81"/>
    <w:qFormat/>
    <w:rPr>
      <w:rFonts w:cs="Courier New"/>
    </w:rPr>
  </w:style>
  <w:style w:type="character" w:styleId="ListLabel82">
    <w:name w:val="ListLabel 82"/>
    <w:qFormat/>
    <w:rPr>
      <w:rFonts w:cs="Courier New"/>
    </w:rPr>
  </w:style>
  <w:style w:type="character" w:styleId="ListLabel83">
    <w:name w:val="ListLabel 83"/>
    <w:qFormat/>
    <w:rPr>
      <w:rFonts w:cs="Courier New"/>
    </w:rPr>
  </w:style>
  <w:style w:type="character" w:styleId="ListLabel84">
    <w:name w:val="ListLabel 84"/>
    <w:qFormat/>
    <w:rPr>
      <w:rFonts w:cs="Courier New"/>
    </w:rPr>
  </w:style>
  <w:style w:type="character" w:styleId="ListLabel85">
    <w:name w:val="ListLabel 85"/>
    <w:qFormat/>
    <w:rPr>
      <w:rFonts w:cs="Courier New"/>
    </w:rPr>
  </w:style>
  <w:style w:type="character" w:styleId="ListLabel86">
    <w:name w:val="ListLabel 86"/>
    <w:qFormat/>
    <w:rPr>
      <w:rFonts w:cs="Courier New"/>
    </w:rPr>
  </w:style>
  <w:style w:type="character" w:styleId="ListLabel87">
    <w:name w:val="ListLabel 87"/>
    <w:qFormat/>
    <w:rPr>
      <w:lang w:val="en-US"/>
    </w:rPr>
  </w:style>
  <w:style w:type="character" w:styleId="ListLabel88">
    <w:name w:val="ListLabel 88"/>
    <w:qFormat/>
    <w:rPr>
      <w:sz w:val="32"/>
      <w:szCs w:val="32"/>
      <w:lang w:val="en-US"/>
    </w:rPr>
  </w:style>
  <w:style w:type="character" w:styleId="ListLabel89">
    <w:name w:val="ListLabel 89"/>
    <w:qFormat/>
    <w:rPr>
      <w:rFonts w:cs="Courier New"/>
    </w:rPr>
  </w:style>
  <w:style w:type="character" w:styleId="ListLabel90">
    <w:name w:val="ListLabel 90"/>
    <w:qFormat/>
    <w:rPr>
      <w:rFonts w:cs="Courier New"/>
    </w:rPr>
  </w:style>
  <w:style w:type="character" w:styleId="ListLabel91">
    <w:name w:val="ListLabel 91"/>
    <w:qFormat/>
    <w:rPr>
      <w:rFonts w:cs="Courier New"/>
    </w:rPr>
  </w:style>
  <w:style w:type="character" w:styleId="ListLabel92">
    <w:name w:val="ListLabel 92"/>
    <w:qFormat/>
    <w:rPr>
      <w:rFonts w:cs="Courier New"/>
    </w:rPr>
  </w:style>
  <w:style w:type="character" w:styleId="ListLabel93">
    <w:name w:val="ListLabel 93"/>
    <w:qFormat/>
    <w:rPr>
      <w:rFonts w:cs="Courier New"/>
    </w:rPr>
  </w:style>
  <w:style w:type="character" w:styleId="ListLabel94">
    <w:name w:val="ListLabel 94"/>
    <w:qFormat/>
    <w:rPr>
      <w:rFonts w:cs="Courier New"/>
    </w:rPr>
  </w:style>
  <w:style w:type="character" w:styleId="ListLabel95">
    <w:name w:val="ListLabel 95"/>
    <w:qFormat/>
    <w:rPr>
      <w:rFonts w:eastAsia="Calibri" w:cs="Times New Roman"/>
    </w:rPr>
  </w:style>
  <w:style w:type="character" w:styleId="ListLabel96">
    <w:name w:val="ListLabel 96"/>
    <w:qFormat/>
    <w:rPr>
      <w:rFonts w:cs="Courier New"/>
    </w:rPr>
  </w:style>
  <w:style w:type="character" w:styleId="ListLabel97">
    <w:name w:val="ListLabel 97"/>
    <w:qFormat/>
    <w:rPr>
      <w:rFonts w:cs="Courier New"/>
    </w:rPr>
  </w:style>
  <w:style w:type="character" w:styleId="ListLabel98">
    <w:name w:val="ListLabel 98"/>
    <w:qFormat/>
    <w:rPr>
      <w:rFonts w:cs="Courier New"/>
    </w:rPr>
  </w:style>
  <w:style w:type="character" w:styleId="ListLabel99">
    <w:name w:val="ListLabel 99"/>
    <w:qFormat/>
    <w:rPr>
      <w:lang w:val="en-US"/>
    </w:rPr>
  </w:style>
  <w:style w:type="character" w:styleId="ListLabel100">
    <w:name w:val="ListLabel 100"/>
    <w:qFormat/>
    <w:rPr>
      <w:sz w:val="32"/>
      <w:szCs w:val="32"/>
      <w:lang w:val="en-US"/>
    </w:rPr>
  </w:style>
  <w:style w:type="character" w:styleId="ListLabel101">
    <w:name w:val="ListLabel 101"/>
    <w:qFormat/>
    <w:rPr>
      <w:lang w:val="en-US"/>
    </w:rPr>
  </w:style>
  <w:style w:type="character" w:styleId="ListLabel102">
    <w:name w:val="ListLabel 102"/>
    <w:qFormat/>
    <w:rPr>
      <w:sz w:val="32"/>
      <w:szCs w:val="32"/>
      <w:lang w:val="en-US"/>
    </w:rPr>
  </w:style>
  <w:style w:type="character" w:styleId="ListLabel103">
    <w:name w:val="ListLabel 103"/>
    <w:qFormat/>
    <w:rPr>
      <w:rFonts w:eastAsia="Calibri" w:cs="Times New Roman"/>
    </w:rPr>
  </w:style>
  <w:style w:type="character" w:styleId="ListLabel104">
    <w:name w:val="ListLabel 104"/>
    <w:qFormat/>
    <w:rPr>
      <w:rFonts w:cs="Courier New"/>
    </w:rPr>
  </w:style>
  <w:style w:type="character" w:styleId="ListLabel105">
    <w:name w:val="ListLabel 105"/>
    <w:qFormat/>
    <w:rPr>
      <w:rFonts w:cs="Courier New"/>
    </w:rPr>
  </w:style>
  <w:style w:type="character" w:styleId="ListLabel106">
    <w:name w:val="ListLabel 106"/>
    <w:qFormat/>
    <w:rPr>
      <w:rFonts w:cs="Courier New"/>
    </w:rPr>
  </w:style>
  <w:style w:type="character" w:styleId="ListLabel107">
    <w:name w:val="ListLabel 107"/>
    <w:qFormat/>
    <w:rPr>
      <w:lang w:val="en-US"/>
    </w:rPr>
  </w:style>
  <w:style w:type="character" w:styleId="ListLabel108">
    <w:name w:val="ListLabel 108"/>
    <w:qFormat/>
    <w:rPr>
      <w:sz w:val="32"/>
      <w:szCs w:val="32"/>
      <w:lang w:val="en-US"/>
    </w:rPr>
  </w:style>
  <w:style w:type="character" w:styleId="ListLabel109">
    <w:name w:val="ListLabel 109"/>
    <w:qFormat/>
    <w:rPr>
      <w:lang w:val="en-US"/>
    </w:rPr>
  </w:style>
  <w:style w:type="character" w:styleId="ListLabel110">
    <w:name w:val="ListLabel 110"/>
    <w:qFormat/>
    <w:rPr>
      <w:sz w:val="32"/>
      <w:szCs w:val="32"/>
      <w:lang w:val="en-US"/>
    </w:rPr>
  </w:style>
  <w:style w:type="character" w:styleId="ListLabel111">
    <w:name w:val="ListLabel 111"/>
    <w:qFormat/>
    <w:rPr>
      <w:lang w:val="en-US"/>
    </w:rPr>
  </w:style>
  <w:style w:type="character" w:styleId="ListLabel112">
    <w:name w:val="ListLabel 112"/>
    <w:qFormat/>
    <w:rPr>
      <w:sz w:val="32"/>
      <w:szCs w:val="32"/>
      <w:lang w:val="en-US"/>
    </w:rPr>
  </w:style>
  <w:style w:type="character" w:styleId="ListLabel113">
    <w:name w:val="ListLabel 113"/>
    <w:qFormat/>
    <w:rPr>
      <w:lang w:val="en-US"/>
    </w:rPr>
  </w:style>
  <w:style w:type="character" w:styleId="ListLabel114">
    <w:name w:val="ListLabel 114"/>
    <w:qFormat/>
    <w:rPr>
      <w:sz w:val="32"/>
      <w:szCs w:val="32"/>
      <w:lang w:val="en-US"/>
    </w:rPr>
  </w:style>
  <w:style w:type="character" w:styleId="ListLabel115">
    <w:name w:val="ListLabel 115"/>
    <w:qFormat/>
    <w:rPr>
      <w:lang w:val="en-US"/>
    </w:rPr>
  </w:style>
  <w:style w:type="character" w:styleId="ListLabel116">
    <w:name w:val="ListLabel 116"/>
    <w:qFormat/>
    <w:rPr>
      <w:sz w:val="32"/>
      <w:szCs w:val="32"/>
      <w:lang w:val="en-US"/>
    </w:rPr>
  </w:style>
  <w:style w:type="character" w:styleId="ListLabel117">
    <w:name w:val="ListLabel 117"/>
    <w:qFormat/>
    <w:rPr>
      <w:lang w:val="en-US"/>
    </w:rPr>
  </w:style>
  <w:style w:type="character" w:styleId="ListLabel118">
    <w:name w:val="ListLabel 118"/>
    <w:qFormat/>
    <w:rPr>
      <w:sz w:val="32"/>
      <w:szCs w:val="32"/>
      <w:lang w:val="en-US"/>
    </w:rPr>
  </w:style>
  <w:style w:type="character" w:styleId="ListLabel119">
    <w:name w:val="ListLabel 119"/>
    <w:qFormat/>
    <w:rPr>
      <w:lang w:val="en-US"/>
    </w:rPr>
  </w:style>
  <w:style w:type="character" w:styleId="ListLabel120">
    <w:name w:val="ListLabel 120"/>
    <w:qFormat/>
    <w:rPr>
      <w:sz w:val="32"/>
      <w:szCs w:val="32"/>
      <w:lang w:val="en-US"/>
    </w:rPr>
  </w:style>
  <w:style w:type="character" w:styleId="ListLabel121">
    <w:name w:val="ListLabel 121"/>
    <w:qFormat/>
    <w:rPr>
      <w:lang w:val="en-US"/>
    </w:rPr>
  </w:style>
  <w:style w:type="character" w:styleId="ListLabel122">
    <w:name w:val="ListLabel 122"/>
    <w:qFormat/>
    <w:rPr>
      <w:sz w:val="32"/>
      <w:szCs w:val="32"/>
      <w:lang w:val="en-US"/>
    </w:rPr>
  </w:style>
  <w:style w:type="character" w:styleId="ListLabel123">
    <w:name w:val="ListLabel 123"/>
    <w:qFormat/>
    <w:rPr>
      <w:rFonts w:eastAsia="Calibri" w:cs="Times New Roman"/>
      <w:sz w:val="20"/>
    </w:rPr>
  </w:style>
  <w:style w:type="character" w:styleId="ListLabel124">
    <w:name w:val="ListLabel 124"/>
    <w:qFormat/>
    <w:rPr>
      <w:rFonts w:cs="Courier New"/>
    </w:rPr>
  </w:style>
  <w:style w:type="character" w:styleId="ListLabel125">
    <w:name w:val="ListLabel 125"/>
    <w:qFormat/>
    <w:rPr>
      <w:rFonts w:cs="Courier New"/>
    </w:rPr>
  </w:style>
  <w:style w:type="character" w:styleId="ListLabel126">
    <w:name w:val="ListLabel 126"/>
    <w:qFormat/>
    <w:rPr>
      <w:rFonts w:cs="Courier New"/>
    </w:rPr>
  </w:style>
  <w:style w:type="character" w:styleId="ListLabel127">
    <w:name w:val="ListLabel 127"/>
    <w:qFormat/>
    <w:rPr>
      <w:rFonts w:cs="Courier New"/>
    </w:rPr>
  </w:style>
  <w:style w:type="character" w:styleId="ListLabel128">
    <w:name w:val="ListLabel 128"/>
    <w:qFormat/>
    <w:rPr>
      <w:rFonts w:cs="Courier New"/>
    </w:rPr>
  </w:style>
  <w:style w:type="character" w:styleId="ListLabel129">
    <w:name w:val="ListLabel 129"/>
    <w:qFormat/>
    <w:rPr>
      <w:rFonts w:cs="Courier New"/>
    </w:rPr>
  </w:style>
  <w:style w:type="character" w:styleId="ListLabel130">
    <w:name w:val="ListLabel 130"/>
    <w:qFormat/>
    <w:rPr>
      <w:rFonts w:ascii="Arial" w:hAnsi="Arial" w:eastAsia="Calibri" w:cs="Times New Roman"/>
      <w:sz w:val="18"/>
    </w:rPr>
  </w:style>
  <w:style w:type="character" w:styleId="ListLabel131">
    <w:name w:val="ListLabel 131"/>
    <w:qFormat/>
    <w:rPr>
      <w:rFonts w:cs="Courier New"/>
      <w:sz w:val="20"/>
    </w:rPr>
  </w:style>
  <w:style w:type="character" w:styleId="ListLabel132">
    <w:name w:val="ListLabel 132"/>
    <w:qFormat/>
    <w:rPr>
      <w:rFonts w:cs="Courier New"/>
    </w:rPr>
  </w:style>
  <w:style w:type="character" w:styleId="ListLabel133">
    <w:name w:val="ListLabel 133"/>
    <w:qFormat/>
    <w:rPr>
      <w:rFonts w:cs="Courier New"/>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link w:val="BodyTextChar"/>
    <w:rsid w:val="0095681e"/>
    <w:pPr/>
    <w:rPr>
      <w:rFonts w:ascii="CG Times (WN)" w:hAnsi="CG Times (WN)"/>
    </w:rPr>
  </w:style>
  <w:style w:type="paragraph" w:styleId="List">
    <w:name w:val="List"/>
    <w:basedOn w:val="Normal"/>
    <w:rsid w:val="009e35db"/>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Contents8">
    <w:name w:val="TOC 8"/>
    <w:basedOn w:val="Contents1"/>
    <w:semiHidden/>
    <w:rsid w:val="009e35db"/>
    <w:pPr>
      <w:spacing w:before="180" w:after="160"/>
      <w:ind w:left="2693" w:hanging="2693"/>
    </w:pPr>
    <w:rPr>
      <w:b/>
      <w:bCs/>
    </w:rPr>
  </w:style>
  <w:style w:type="paragraph" w:styleId="Contents1">
    <w:name w:val="TOC 1"/>
    <w:basedOn w:val="Normal"/>
    <w:uiPriority w:val="39"/>
    <w:rsid w:val="009e35db"/>
    <w:pPr>
      <w:keepNext w:val="true"/>
      <w:keepLines/>
      <w:widowControl w:val="false"/>
      <w:tabs>
        <w:tab w:val="right" w:pos="9639" w:leader="dot"/>
      </w:tabs>
      <w:overflowPunct w:val="true"/>
      <w:bidi w:val="0"/>
      <w:spacing w:before="120" w:after="160"/>
      <w:ind w:left="567" w:right="425" w:hanging="567"/>
      <w:jc w:val="left"/>
      <w:textAlignment w:val="baseline"/>
    </w:pPr>
    <w:rPr>
      <w:rFonts w:ascii="Times New Roman" w:hAnsi="Times New Roman"/>
      <w:sz w:val="22"/>
      <w:szCs w:val="22"/>
      <w:lang w:val="en-US" w:eastAsia="zh-CN"/>
    </w:rPr>
  </w:style>
  <w:style w:type="paragraph" w:styleId="Figure" w:customStyle="1">
    <w:name w:val="Figure"/>
    <w:basedOn w:val="Normal"/>
    <w:next w:val="Caption"/>
    <w:qFormat/>
    <w:rsid w:val="009e35db"/>
    <w:pPr>
      <w:keepNext w:val="true"/>
      <w:keepLines/>
      <w:spacing w:before="180" w:after="160"/>
      <w:jc w:val="center"/>
    </w:pPr>
    <w:rPr/>
  </w:style>
  <w:style w:type="paragraph" w:styleId="Caption1">
    <w:name w:val="caption"/>
    <w:basedOn w:val="Normal"/>
    <w:next w:val="Normal"/>
    <w:link w:val="CaptionChar"/>
    <w:qFormat/>
    <w:rsid w:val="009e35db"/>
    <w:pPr>
      <w:spacing w:before="0" w:after="240"/>
      <w:jc w:val="center"/>
    </w:pPr>
    <w:rPr>
      <w:b/>
      <w:bCs/>
    </w:rPr>
  </w:style>
  <w:style w:type="paragraph" w:styleId="Contents5">
    <w:name w:val="TOC 5"/>
    <w:basedOn w:val="Contents4"/>
    <w:semiHidden/>
    <w:rsid w:val="009e35db"/>
    <w:pPr>
      <w:ind w:left="1701" w:hanging="1701"/>
    </w:pPr>
    <w:rPr/>
  </w:style>
  <w:style w:type="paragraph" w:styleId="Contents4">
    <w:name w:val="TOC 4"/>
    <w:basedOn w:val="Contents3"/>
    <w:semiHidden/>
    <w:rsid w:val="009e35db"/>
    <w:pPr>
      <w:ind w:left="1418" w:hanging="1418"/>
    </w:pPr>
    <w:rPr/>
  </w:style>
  <w:style w:type="paragraph" w:styleId="Contents3">
    <w:name w:val="TOC 3"/>
    <w:basedOn w:val="Contents2"/>
    <w:semiHidden/>
    <w:rsid w:val="009e35db"/>
    <w:pPr>
      <w:ind w:left="1134" w:hanging="1134"/>
    </w:pPr>
    <w:rPr/>
  </w:style>
  <w:style w:type="paragraph" w:styleId="Contents2">
    <w:name w:val="TOC 2"/>
    <w:basedOn w:val="Contents1"/>
    <w:semiHidden/>
    <w:rsid w:val="009e35db"/>
    <w:pPr>
      <w:keepNext w:val="false"/>
      <w:spacing w:before="0" w:after="160"/>
      <w:ind w:left="851" w:right="425" w:hanging="851"/>
    </w:pPr>
    <w:rPr>
      <w:sz w:val="20"/>
      <w:szCs w:val="20"/>
    </w:rPr>
  </w:style>
  <w:style w:type="paragraph" w:styleId="Index2">
    <w:name w:val="index 2"/>
    <w:basedOn w:val="Index1"/>
    <w:semiHidden/>
    <w:qFormat/>
    <w:rsid w:val="009e35db"/>
    <w:pPr>
      <w:ind w:left="284" w:hanging="0"/>
    </w:pPr>
    <w:rPr/>
  </w:style>
  <w:style w:type="paragraph" w:styleId="Index1">
    <w:name w:val="index 1"/>
    <w:basedOn w:val="Normal"/>
    <w:semiHidden/>
    <w:qFormat/>
    <w:rsid w:val="009e35db"/>
    <w:pPr>
      <w:keepLines/>
    </w:pPr>
    <w:rPr/>
  </w:style>
  <w:style w:type="paragraph" w:styleId="DocumentMap">
    <w:name w:val="Document Map"/>
    <w:basedOn w:val="Normal"/>
    <w:semiHidden/>
    <w:qFormat/>
    <w:rsid w:val="009e35db"/>
    <w:pPr>
      <w:shd w:val="clear" w:color="auto" w:fill="000080"/>
    </w:pPr>
    <w:rPr>
      <w:rFonts w:ascii="Tahoma" w:hAnsi="Tahoma" w:cs="Tahoma"/>
    </w:rPr>
  </w:style>
  <w:style w:type="paragraph" w:styleId="ListNumber2">
    <w:name w:val="List Number 2"/>
    <w:basedOn w:val="ListNumber"/>
    <w:qFormat/>
    <w:rsid w:val="009e35db"/>
    <w:pPr>
      <w:ind w:left="851" w:hanging="0"/>
    </w:pPr>
    <w:rPr/>
  </w:style>
  <w:style w:type="paragraph" w:styleId="ListNumber">
    <w:name w:val="List Number"/>
    <w:basedOn w:val="List"/>
    <w:qFormat/>
    <w:rsid w:val="009e35db"/>
    <w:pPr/>
    <w:rPr/>
  </w:style>
  <w:style w:type="paragraph" w:styleId="Header">
    <w:name w:val="Header"/>
    <w:basedOn w:val="Normal"/>
    <w:link w:val="HeaderChar"/>
    <w:rsid w:val="009e35db"/>
    <w:pPr>
      <w:widowControl w:val="false"/>
      <w:overflowPunct w:val="true"/>
      <w:bidi w:val="0"/>
      <w:jc w:val="left"/>
      <w:textAlignment w:val="baseline"/>
    </w:pPr>
    <w:rPr>
      <w:rFonts w:ascii="Arial" w:hAnsi="Arial" w:cs="Arial"/>
      <w:b/>
      <w:bCs/>
      <w:sz w:val="18"/>
      <w:szCs w:val="18"/>
      <w:lang w:val="en-US" w:eastAsia="zh-CN"/>
    </w:rPr>
  </w:style>
  <w:style w:type="paragraph" w:styleId="Footnote">
    <w:name w:val="Footnote Text"/>
    <w:basedOn w:val="Normal"/>
    <w:semiHidden/>
    <w:rsid w:val="009e35db"/>
    <w:pPr>
      <w:keepLines/>
      <w:ind w:left="454" w:hanging="454"/>
    </w:pPr>
    <w:rPr>
      <w:sz w:val="16"/>
      <w:szCs w:val="16"/>
    </w:rPr>
  </w:style>
  <w:style w:type="paragraph" w:styleId="3GPPHeader" w:customStyle="1">
    <w:name w:val="3GPP_Header"/>
    <w:basedOn w:val="Normal"/>
    <w:qFormat/>
    <w:rsid w:val="009e35db"/>
    <w:pPr>
      <w:tabs>
        <w:tab w:val="left" w:pos="1701" w:leader="none"/>
        <w:tab w:val="right" w:pos="9639" w:leader="none"/>
      </w:tabs>
      <w:spacing w:before="0" w:after="240"/>
    </w:pPr>
    <w:rPr>
      <w:b/>
    </w:rPr>
  </w:style>
  <w:style w:type="paragraph" w:styleId="Contents9">
    <w:name w:val="TOC 9"/>
    <w:basedOn w:val="Contents8"/>
    <w:semiHidden/>
    <w:rsid w:val="009e35db"/>
    <w:pPr>
      <w:ind w:left="1418" w:hanging="1418"/>
    </w:pPr>
    <w:rPr/>
  </w:style>
  <w:style w:type="paragraph" w:styleId="Contents6">
    <w:name w:val="TOC 6"/>
    <w:basedOn w:val="Contents5"/>
    <w:next w:val="Normal"/>
    <w:semiHidden/>
    <w:rsid w:val="009e35db"/>
    <w:pPr>
      <w:ind w:left="1985" w:hanging="1985"/>
    </w:pPr>
    <w:rPr/>
  </w:style>
  <w:style w:type="paragraph" w:styleId="Contents7">
    <w:name w:val="TOC 7"/>
    <w:basedOn w:val="Contents6"/>
    <w:next w:val="Normal"/>
    <w:semiHidden/>
    <w:rsid w:val="009e35db"/>
    <w:pPr>
      <w:ind w:left="2268" w:hanging="2268"/>
    </w:pPr>
    <w:rPr/>
  </w:style>
  <w:style w:type="paragraph" w:styleId="ListBullet2">
    <w:name w:val="List Bullet 2"/>
    <w:basedOn w:val="ListBullet"/>
    <w:qFormat/>
    <w:rsid w:val="00f313d6"/>
    <w:pPr/>
    <w:rPr/>
  </w:style>
  <w:style w:type="paragraph" w:styleId="ListBullet">
    <w:name w:val="List Bullet"/>
    <w:basedOn w:val="TextBody"/>
    <w:qFormat/>
    <w:rsid w:val="00f313d6"/>
    <w:pPr/>
    <w:rPr/>
  </w:style>
  <w:style w:type="paragraph" w:styleId="ListBullet3">
    <w:name w:val="List Bullet 3"/>
    <w:basedOn w:val="ListBullet2"/>
    <w:qFormat/>
    <w:rsid w:val="00f313d6"/>
    <w:pPr/>
    <w:rPr/>
  </w:style>
  <w:style w:type="paragraph" w:styleId="EQ" w:customStyle="1">
    <w:name w:val="EQ"/>
    <w:basedOn w:val="Normal"/>
    <w:next w:val="Normal"/>
    <w:qFormat/>
    <w:rsid w:val="009e35db"/>
    <w:pPr>
      <w:keepLines/>
      <w:tabs>
        <w:tab w:val="center" w:pos="4536" w:leader="none"/>
        <w:tab w:val="right" w:pos="9072" w:leader="none"/>
      </w:tabs>
    </w:pPr>
    <w:rPr/>
  </w:style>
  <w:style w:type="paragraph" w:styleId="List2">
    <w:name w:val="List Bullet 3"/>
    <w:basedOn w:val="List"/>
    <w:rsid w:val="009e35db"/>
    <w:pPr>
      <w:ind w:left="851" w:hanging="284"/>
    </w:pPr>
    <w:rPr/>
  </w:style>
  <w:style w:type="paragraph" w:styleId="List3">
    <w:name w:val="List Bullet 4"/>
    <w:basedOn w:val="List2"/>
    <w:rsid w:val="009e35db"/>
    <w:pPr>
      <w:ind w:left="1135" w:hanging="284"/>
    </w:pPr>
    <w:rPr/>
  </w:style>
  <w:style w:type="paragraph" w:styleId="List4">
    <w:name w:val="List Bullet 5"/>
    <w:basedOn w:val="List3"/>
    <w:rsid w:val="009e35db"/>
    <w:pPr>
      <w:ind w:left="1418" w:hanging="284"/>
    </w:pPr>
    <w:rPr/>
  </w:style>
  <w:style w:type="paragraph" w:styleId="List5">
    <w:name w:val="List Number"/>
    <w:basedOn w:val="List4"/>
    <w:rsid w:val="009e35db"/>
    <w:pPr>
      <w:ind w:left="1702" w:hanging="284"/>
    </w:pPr>
    <w:rPr/>
  </w:style>
  <w:style w:type="paragraph" w:styleId="EditorsNote" w:customStyle="1">
    <w:name w:val="Editor's Note"/>
    <w:basedOn w:val="Normal"/>
    <w:link w:val="EditorsNoteChar"/>
    <w:qFormat/>
    <w:rsid w:val="009e35db"/>
    <w:pPr>
      <w:keepLines/>
      <w:ind w:left="1135" w:hanging="851"/>
    </w:pPr>
    <w:rPr>
      <w:rFonts w:ascii="CG Times (WN)" w:hAnsi="CG Times (WN)"/>
      <w:color w:val="FF0000"/>
    </w:rPr>
  </w:style>
  <w:style w:type="paragraph" w:styleId="ListBullet4">
    <w:name w:val="List Bullet 4"/>
    <w:basedOn w:val="ListBullet3"/>
    <w:qFormat/>
    <w:rsid w:val="00641533"/>
    <w:pPr/>
    <w:rPr/>
  </w:style>
  <w:style w:type="paragraph" w:styleId="ListBullet5">
    <w:name w:val="List Bullet 5"/>
    <w:basedOn w:val="ListBullet4"/>
    <w:qFormat/>
    <w:rsid w:val="00641533"/>
    <w:pPr/>
    <w:rPr/>
  </w:style>
  <w:style w:type="paragraph" w:styleId="Footer">
    <w:name w:val="Footer"/>
    <w:basedOn w:val="Header"/>
    <w:semiHidden/>
    <w:rsid w:val="009e35db"/>
    <w:pPr>
      <w:jc w:val="center"/>
    </w:pPr>
    <w:rPr>
      <w:i/>
      <w:iCs/>
    </w:rPr>
  </w:style>
  <w:style w:type="paragraph" w:styleId="Reference" w:customStyle="1">
    <w:name w:val="Reference"/>
    <w:basedOn w:val="Normal"/>
    <w:qFormat/>
    <w:rsid w:val="009e35db"/>
    <w:pPr/>
    <w:rPr/>
  </w:style>
  <w:style w:type="paragraph" w:styleId="BalloonText">
    <w:name w:val="Balloon Text"/>
    <w:basedOn w:val="Normal"/>
    <w:semiHidden/>
    <w:qFormat/>
    <w:rsid w:val="009e35db"/>
    <w:pPr/>
    <w:rPr>
      <w:rFonts w:ascii="Tahoma" w:hAnsi="Tahoma" w:cs="Tahoma"/>
      <w:sz w:val="16"/>
      <w:szCs w:val="16"/>
    </w:rPr>
  </w:style>
  <w:style w:type="paragraph" w:styleId="Annotationtext">
    <w:name w:val="annotation text"/>
    <w:basedOn w:val="Normal"/>
    <w:semiHidden/>
    <w:qFormat/>
    <w:rsid w:val="009c403e"/>
    <w:pPr/>
    <w:rPr>
      <w:sz w:val="20"/>
    </w:rPr>
  </w:style>
  <w:style w:type="paragraph" w:styleId="Annotationsubject">
    <w:name w:val="annotation subject"/>
    <w:basedOn w:val="Annotationtext"/>
    <w:semiHidden/>
    <w:qFormat/>
    <w:rsid w:val="009c403e"/>
    <w:pPr/>
    <w:rPr>
      <w:b/>
      <w:bCs/>
    </w:rPr>
  </w:style>
  <w:style w:type="paragraph" w:styleId="TH" w:customStyle="1">
    <w:name w:val="TH"/>
    <w:basedOn w:val="Normal"/>
    <w:link w:val="THChar"/>
    <w:qFormat/>
    <w:rsid w:val="00881cdd"/>
    <w:pPr>
      <w:keepNext w:val="true"/>
      <w:keepLines/>
      <w:spacing w:before="60" w:after="180"/>
      <w:jc w:val="center"/>
    </w:pPr>
    <w:rPr>
      <w:rFonts w:ascii="Arial" w:hAnsi="Arial"/>
      <w:b/>
      <w:sz w:val="20"/>
    </w:rPr>
  </w:style>
  <w:style w:type="paragraph" w:styleId="TF" w:customStyle="1">
    <w:name w:val="TF"/>
    <w:basedOn w:val="TH"/>
    <w:qFormat/>
    <w:rsid w:val="00881cdd"/>
    <w:pPr>
      <w:keepNext w:val="false"/>
      <w:spacing w:before="0" w:after="240"/>
    </w:pPr>
    <w:rPr/>
  </w:style>
  <w:style w:type="paragraph" w:styleId="CharCharCharCharCharCharCharCharChar" w:customStyle="1">
    <w:name w:val="Char Char Char Char Char Char Char Char Char"/>
    <w:autoRedefine/>
    <w:semiHidden/>
    <w:qFormat/>
    <w:rsid w:val="00093009"/>
    <w:pPr>
      <w:keepNext w:val="true"/>
      <w:widowControl/>
      <w:bidi w:val="0"/>
      <w:spacing w:before="60" w:after="60" w:lineRule="auto" w:line="276"/>
      <w:jc w:val="both"/>
    </w:pPr>
    <w:rPr>
      <w:rFonts w:ascii="Arial" w:hAnsi="Arial" w:cs="Arial" w:eastAsia="SimSun"/>
      <w:color w:val="0000FF"/>
      <w:kern w:val="2"/>
      <w:sz w:val="22"/>
      <w:szCs w:val="20"/>
      <w:lang w:val="en-US" w:eastAsia="zh-CN" w:bidi="ar-SA"/>
    </w:rPr>
  </w:style>
  <w:style w:type="paragraph" w:styleId="Proposal" w:customStyle="1">
    <w:name w:val="Proposal"/>
    <w:basedOn w:val="Normal"/>
    <w:qFormat/>
    <w:rsid w:val="00c07377"/>
    <w:pPr/>
    <w:rPr>
      <w:b/>
      <w:bCs/>
    </w:rPr>
  </w:style>
  <w:style w:type="paragraph" w:styleId="ZT" w:customStyle="1">
    <w:name w:val="ZT"/>
    <w:qFormat/>
    <w:rsid w:val="004a1610"/>
    <w:pPr>
      <w:widowControl w:val="false"/>
      <w:bidi w:val="0"/>
      <w:spacing w:lineRule="atLeast" w:line="240" w:before="0" w:after="200"/>
      <w:jc w:val="right"/>
    </w:pPr>
    <w:rPr>
      <w:rFonts w:ascii="Arial" w:hAnsi="Arial" w:eastAsia="SimSun" w:cs="Times New Roman"/>
      <w:b/>
      <w:color w:val="auto"/>
      <w:kern w:val="0"/>
      <w:sz w:val="34"/>
      <w:szCs w:val="20"/>
      <w:lang w:val="en-GB" w:eastAsia="en-US" w:bidi="ar-SA"/>
    </w:rPr>
  </w:style>
  <w:style w:type="paragraph" w:styleId="PL" w:customStyle="1">
    <w:name w:val="PL"/>
    <w:link w:val="PLChar"/>
    <w:qFormat/>
    <w:rsid w:val="00891245"/>
    <w:pPr>
      <w:widowControl/>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lineRule="auto" w:line="276" w:before="0" w:after="200"/>
      <w:jc w:val="left"/>
    </w:pPr>
    <w:rPr>
      <w:rFonts w:ascii="Courier New" w:hAnsi="Courier New" w:eastAsia="Times New Roman" w:cs="Times New Roman"/>
      <w:color w:val="auto"/>
      <w:kern w:val="0"/>
      <w:sz w:val="16"/>
      <w:szCs w:val="20"/>
      <w:lang w:val="en-GB" w:eastAsia="en-US" w:bidi="ar-SA"/>
    </w:rPr>
  </w:style>
  <w:style w:type="paragraph" w:styleId="TAL" w:customStyle="1">
    <w:name w:val="TAL"/>
    <w:basedOn w:val="Normal"/>
    <w:link w:val="TALCar"/>
    <w:qFormat/>
    <w:rsid w:val="00891245"/>
    <w:pPr>
      <w:keepNext w:val="true"/>
      <w:keepLines/>
    </w:pPr>
    <w:rPr>
      <w:rFonts w:ascii="Arial" w:hAnsi="Arial"/>
      <w:sz w:val="18"/>
    </w:rPr>
  </w:style>
  <w:style w:type="paragraph" w:styleId="TAH" w:customStyle="1">
    <w:name w:val="TAH"/>
    <w:basedOn w:val="Normal"/>
    <w:link w:val="TAHCar"/>
    <w:qFormat/>
    <w:rsid w:val="001b36d6"/>
    <w:pPr>
      <w:keepNext w:val="true"/>
      <w:keepLines/>
      <w:jc w:val="center"/>
    </w:pPr>
    <w:rPr>
      <w:rFonts w:ascii="Arial" w:hAnsi="Arial"/>
      <w:b/>
      <w:sz w:val="18"/>
    </w:rPr>
  </w:style>
  <w:style w:type="paragraph" w:styleId="TAN" w:customStyle="1">
    <w:name w:val="TAN"/>
    <w:basedOn w:val="TAL"/>
    <w:qFormat/>
    <w:rsid w:val="00f755a8"/>
    <w:pPr>
      <w:ind w:left="851" w:hanging="851"/>
    </w:pPr>
    <w:rPr/>
  </w:style>
  <w:style w:type="paragraph" w:styleId="B1" w:customStyle="1">
    <w:name w:val="B1"/>
    <w:basedOn w:val="List"/>
    <w:link w:val="B1Char1"/>
    <w:qFormat/>
    <w:rsid w:val="00e629ca"/>
    <w:pPr>
      <w:spacing w:before="0" w:after="180"/>
    </w:pPr>
    <w:rPr>
      <w:rFonts w:ascii="CG Times (WN)" w:hAnsi="CG Times (WN)"/>
      <w:sz w:val="20"/>
    </w:rPr>
  </w:style>
  <w:style w:type="paragraph" w:styleId="B2" w:customStyle="1">
    <w:name w:val="B2"/>
    <w:basedOn w:val="List2"/>
    <w:link w:val="B2Char"/>
    <w:qFormat/>
    <w:rsid w:val="00e629ca"/>
    <w:pPr>
      <w:spacing w:before="0" w:after="180"/>
    </w:pPr>
    <w:rPr>
      <w:rFonts w:ascii="CG Times (WN)" w:hAnsi="CG Times (WN)"/>
      <w:sz w:val="20"/>
    </w:rPr>
  </w:style>
  <w:style w:type="paragraph" w:styleId="B3" w:customStyle="1">
    <w:name w:val="B3"/>
    <w:basedOn w:val="List3"/>
    <w:link w:val="B3Char2"/>
    <w:qFormat/>
    <w:rsid w:val="00e629ca"/>
    <w:pPr>
      <w:spacing w:before="0" w:after="180"/>
    </w:pPr>
    <w:rPr>
      <w:rFonts w:ascii="CG Times (WN)" w:hAnsi="CG Times (WN)"/>
      <w:sz w:val="20"/>
    </w:rPr>
  </w:style>
  <w:style w:type="paragraph" w:styleId="B4" w:customStyle="1">
    <w:name w:val="B4"/>
    <w:basedOn w:val="List4"/>
    <w:link w:val="B4Char"/>
    <w:qFormat/>
    <w:rsid w:val="00e629ca"/>
    <w:pPr>
      <w:spacing w:before="0" w:after="180"/>
    </w:pPr>
    <w:rPr>
      <w:rFonts w:ascii="CG Times (WN)" w:hAnsi="CG Times (WN)"/>
      <w:sz w:val="20"/>
    </w:rPr>
  </w:style>
  <w:style w:type="paragraph" w:styleId="TALCharChar" w:customStyle="1">
    <w:name w:val="TAL Char Char"/>
    <w:basedOn w:val="Normal"/>
    <w:link w:val="TALCharCharChar"/>
    <w:qFormat/>
    <w:rsid w:val="006427f0"/>
    <w:pPr>
      <w:keepNext w:val="true"/>
      <w:keepLines/>
    </w:pPr>
    <w:rPr>
      <w:rFonts w:ascii="Arial" w:hAnsi="Arial"/>
      <w:sz w:val="18"/>
    </w:rPr>
  </w:style>
  <w:style w:type="paragraph" w:styleId="NO" w:customStyle="1">
    <w:name w:val="NO"/>
    <w:basedOn w:val="Normal"/>
    <w:link w:val="NOChar"/>
    <w:qFormat/>
    <w:rsid w:val="009f0a74"/>
    <w:pPr>
      <w:keepLines/>
      <w:spacing w:before="0" w:after="180"/>
      <w:ind w:left="1135" w:hanging="851"/>
    </w:pPr>
    <w:rPr>
      <w:rFonts w:ascii="CG Times (WN)" w:hAnsi="CG Times (WN)"/>
      <w:sz w:val="20"/>
    </w:rPr>
  </w:style>
  <w:style w:type="paragraph" w:styleId="B5" w:customStyle="1">
    <w:name w:val="B5"/>
    <w:basedOn w:val="List5"/>
    <w:qFormat/>
    <w:rsid w:val="009f0a74"/>
    <w:pPr>
      <w:spacing w:before="0" w:after="180"/>
    </w:pPr>
    <w:rPr>
      <w:sz w:val="20"/>
    </w:rPr>
  </w:style>
  <w:style w:type="paragraph" w:styleId="Tah1" w:customStyle="1">
    <w:name w:val="tah"/>
    <w:basedOn w:val="Normal"/>
    <w:qFormat/>
    <w:rsid w:val="005716e3"/>
    <w:pPr>
      <w:spacing w:beforeAutospacing="1" w:afterAutospacing="1"/>
    </w:pPr>
    <w:rPr/>
  </w:style>
  <w:style w:type="paragraph" w:styleId="Tal1" w:customStyle="1">
    <w:name w:val="tal"/>
    <w:basedOn w:val="Normal"/>
    <w:qFormat/>
    <w:rsid w:val="005716e3"/>
    <w:pPr>
      <w:spacing w:beforeAutospacing="1" w:afterAutospacing="1"/>
    </w:pPr>
    <w:rPr/>
  </w:style>
  <w:style w:type="paragraph" w:styleId="NormalWeb">
    <w:name w:val="Normal (Web)"/>
    <w:basedOn w:val="Normal"/>
    <w:uiPriority w:val="99"/>
    <w:qFormat/>
    <w:rsid w:val="00045735"/>
    <w:pPr>
      <w:spacing w:beforeAutospacing="1" w:afterAutospacing="1"/>
    </w:pPr>
    <w:rPr/>
  </w:style>
  <w:style w:type="paragraph" w:styleId="ListParagraph">
    <w:name w:val="List Paragraph"/>
    <w:basedOn w:val="Normal"/>
    <w:link w:val="ListParagraphChar"/>
    <w:uiPriority w:val="34"/>
    <w:qFormat/>
    <w:rsid w:val="00864588"/>
    <w:pPr>
      <w:ind w:left="720" w:hanging="0"/>
    </w:pPr>
    <w:rPr>
      <w:rFonts w:ascii="Calibri" w:hAnsi="Calibri" w:eastAsia="Calibri"/>
    </w:rPr>
  </w:style>
  <w:style w:type="paragraph" w:styleId="Revision">
    <w:name w:val="Revision"/>
    <w:uiPriority w:val="99"/>
    <w:semiHidden/>
    <w:qFormat/>
    <w:rsid w:val="009e0213"/>
    <w:pPr>
      <w:widowControl/>
      <w:bidi w:val="0"/>
      <w:spacing w:lineRule="auto" w:line="276" w:before="0" w:after="200"/>
      <w:jc w:val="left"/>
    </w:pPr>
    <w:rPr>
      <w:rFonts w:ascii="Times New Roman" w:hAnsi="Times New Roman" w:eastAsia="SimSun" w:cs="Times New Roman"/>
      <w:color w:val="auto"/>
      <w:kern w:val="0"/>
      <w:sz w:val="22"/>
      <w:szCs w:val="20"/>
      <w:lang w:val="en-GB" w:eastAsia="zh-CN" w:bidi="ar-SA"/>
    </w:rPr>
  </w:style>
  <w:style w:type="paragraph" w:styleId="Comments" w:customStyle="1">
    <w:name w:val="Comments"/>
    <w:basedOn w:val="Normal"/>
    <w:link w:val="CommentsChar"/>
    <w:qFormat/>
    <w:rsid w:val="00545011"/>
    <w:pPr>
      <w:spacing w:before="40" w:after="160"/>
    </w:pPr>
    <w:rPr>
      <w:rFonts w:ascii="Arial" w:hAnsi="Arial" w:eastAsia="MS Mincho"/>
      <w:i/>
      <w:sz w:val="18"/>
      <w:lang w:eastAsia="en-GB"/>
    </w:rPr>
  </w:style>
  <w:style w:type="paragraph" w:styleId="CRCoverPage" w:customStyle="1">
    <w:name w:val="CR Cover Page"/>
    <w:qFormat/>
    <w:rsid w:val="00fa20f7"/>
    <w:pPr>
      <w:widowControl/>
      <w:bidi w:val="0"/>
      <w:spacing w:before="0" w:after="120" w:lineRule="auto" w:line="276"/>
      <w:jc w:val="left"/>
    </w:pPr>
    <w:rPr>
      <w:rFonts w:ascii="Arial" w:hAnsi="Arial" w:eastAsia="MS Mincho" w:cs="Times New Roman"/>
      <w:color w:val="auto"/>
      <w:kern w:val="0"/>
      <w:sz w:val="22"/>
      <w:szCs w:val="20"/>
      <w:lang w:val="en-GB" w:eastAsia="en-US" w:bidi="ar-SA"/>
    </w:rPr>
  </w:style>
  <w:style w:type="paragraph" w:styleId="Doctext2" w:customStyle="1">
    <w:name w:val="Doc-text2"/>
    <w:basedOn w:val="Normal"/>
    <w:link w:val="Doc-text2Char"/>
    <w:qFormat/>
    <w:rsid w:val="001a4737"/>
    <w:pPr>
      <w:tabs>
        <w:tab w:val="left" w:pos="1622" w:leader="none"/>
      </w:tabs>
      <w:ind w:left="1622" w:hanging="363"/>
    </w:pPr>
    <w:rPr>
      <w:rFonts w:ascii="Arial" w:hAnsi="Arial" w:eastAsia="MS Mincho"/>
      <w:sz w:val="20"/>
      <w:lang w:eastAsia="en-GB"/>
    </w:rPr>
  </w:style>
  <w:style w:type="paragraph" w:styleId="Ecxmsonormal" w:customStyle="1">
    <w:name w:val="ecxmsonormal"/>
    <w:basedOn w:val="Normal"/>
    <w:qFormat/>
    <w:rsid w:val="004345c8"/>
    <w:pPr>
      <w:spacing w:beforeAutospacing="1" w:afterAutospacing="1"/>
    </w:pPr>
    <w:rPr>
      <w:lang w:val="sv-SE" w:eastAsia="sv-SE"/>
    </w:rPr>
  </w:style>
  <w:style w:type="paragraph" w:styleId="Ecxmsolistparagraph" w:customStyle="1">
    <w:name w:val="ecxmsolistparagraph"/>
    <w:basedOn w:val="Normal"/>
    <w:qFormat/>
    <w:rsid w:val="004345c8"/>
    <w:pPr>
      <w:spacing w:beforeAutospacing="1" w:afterAutospacing="1"/>
    </w:pPr>
    <w:rPr>
      <w:lang w:val="sv-SE" w:eastAsia="sv-SE"/>
    </w:rPr>
  </w:style>
  <w:style w:type="paragraph" w:styleId="Title1" w:customStyle="1">
    <w:name w:val="Title1"/>
    <w:basedOn w:val="Normal"/>
    <w:next w:val="Normal"/>
    <w:uiPriority w:val="10"/>
    <w:qFormat/>
    <w:rsid w:val="008759a0"/>
    <w:pPr>
      <w:spacing w:before="0" w:after="160"/>
      <w:contextualSpacing/>
    </w:pPr>
    <w:rPr>
      <w:rFonts w:ascii="Calibri Light" w:hAnsi="Calibri Light"/>
      <w:spacing w:val="-10"/>
      <w:kern w:val="2"/>
      <w:sz w:val="56"/>
      <w:szCs w:val="56"/>
    </w:rPr>
  </w:style>
  <w:style w:type="paragraph" w:styleId="TOCHeading">
    <w:name w:val="TOC Heading"/>
    <w:basedOn w:val="Heading1"/>
    <w:next w:val="Normal"/>
    <w:uiPriority w:val="39"/>
    <w:unhideWhenUsed/>
    <w:qFormat/>
    <w:rsid w:val="008759a0"/>
    <w:pPr>
      <w:numPr>
        <w:ilvl w:val="0"/>
        <w:numId w:val="0"/>
      </w:numPr>
      <w:pBdr/>
      <w:overflowPunct w:val="false"/>
      <w:spacing w:lineRule="auto" w:line="259" w:before="240" w:after="0"/>
      <w:textAlignment w:val="auto"/>
    </w:pPr>
    <w:rPr>
      <w:rFonts w:ascii="Calibri Light" w:hAnsi="Calibri Light" w:eastAsia="Times New Roman"/>
      <w:color w:val="2E74B5"/>
      <w:sz w:val="32"/>
      <w:szCs w:val="32"/>
      <w:lang w:val="en-US" w:eastAsia="en-US"/>
    </w:rPr>
  </w:style>
  <w:style w:type="paragraph" w:styleId="Title">
    <w:name w:val="Title"/>
    <w:basedOn w:val="Normal"/>
    <w:next w:val="Normal"/>
    <w:link w:val="TitleChar"/>
    <w:uiPriority w:val="10"/>
    <w:qFormat/>
    <w:rsid w:val="008759a0"/>
    <w:pPr>
      <w:spacing w:before="0" w:after="160"/>
      <w:contextualSpacing/>
    </w:pPr>
    <w:rPr>
      <w:rFonts w:ascii="Calibri Light" w:hAnsi="Calibri Light"/>
      <w:spacing w:val="-10"/>
      <w:kern w:val="2"/>
      <w:sz w:val="56"/>
      <w:szCs w:val="56"/>
      <w:lang w:val="en-CA"/>
    </w:rPr>
  </w:style>
  <w:style w:type="paragraph" w:styleId="Tabletext" w:customStyle="1">
    <w:name w:val="Table_text"/>
    <w:basedOn w:val="Normal"/>
    <w:link w:val="TabletextChar"/>
    <w:qFormat/>
    <w:rsid w:val="001447b7"/>
    <w:pPr>
      <w:tabs>
        <w:tab w:val="left" w:pos="284" w:leader="none"/>
        <w:tab w:val="left" w:pos="567" w:leader="none"/>
        <w:tab w:val="left" w:pos="851" w:leader="none"/>
        <w:tab w:val="left" w:pos="1134" w:leader="none"/>
        <w:tab w:val="left" w:pos="1418" w:leader="none"/>
        <w:tab w:val="left" w:pos="1701" w:leader="none"/>
        <w:tab w:val="left" w:pos="1871" w:leader="none"/>
        <w:tab w:val="left" w:pos="1985" w:leader="none"/>
        <w:tab w:val="left" w:pos="2268" w:leader="none"/>
        <w:tab w:val="left" w:pos="2552" w:leader="none"/>
        <w:tab w:val="left" w:pos="2835" w:leader="none"/>
        <w:tab w:val="left" w:pos="3119" w:leader="none"/>
        <w:tab w:val="left" w:pos="3402" w:leader="none"/>
        <w:tab w:val="left" w:pos="3686" w:leader="none"/>
        <w:tab w:val="left" w:pos="3969" w:leader="none"/>
      </w:tabs>
      <w:spacing w:before="40" w:after="40"/>
    </w:pPr>
    <w:rPr>
      <w:sz w:val="20"/>
    </w:rPr>
  </w:style>
  <w:style w:type="paragraph" w:styleId="Default" w:customStyle="1">
    <w:name w:val="Default"/>
    <w:qFormat/>
    <w:rsid w:val="00c5097d"/>
    <w:pPr>
      <w:widowControl/>
      <w:bidi w:val="0"/>
      <w:spacing w:lineRule="auto" w:line="276" w:before="0" w:after="200"/>
      <w:jc w:val="left"/>
    </w:pPr>
    <w:rPr>
      <w:rFonts w:ascii="Times New Roman" w:hAnsi="Times New Roman" w:eastAsia="SimSun" w:cs="Times New Roman"/>
      <w:color w:val="000000"/>
      <w:kern w:val="0"/>
      <w:sz w:val="24"/>
      <w:szCs w:val="24"/>
      <w:lang w:val="en-US" w:eastAsia="en-US" w:bidi="ar-SA"/>
    </w:rPr>
  </w:style>
  <w:style w:type="paragraph" w:styleId="TICharChar" w:customStyle="1">
    <w:name w:val="TI Char Char"/>
    <w:basedOn w:val="Normal"/>
    <w:semiHidden/>
    <w:qFormat/>
    <w:rsid w:val="00ef2160"/>
    <w:pPr>
      <w:keepNext w:val="true"/>
      <w:tabs>
        <w:tab w:val="left" w:pos="851" w:leader="none"/>
      </w:tabs>
      <w:spacing w:before="60" w:after="60"/>
      <w:ind w:left="851" w:hanging="851"/>
    </w:pPr>
    <w:rPr>
      <w:rFonts w:cs="Arial"/>
      <w:color w:val="0000FF"/>
      <w:kern w:val="2"/>
    </w:rPr>
  </w:style>
  <w:style w:type="paragraph" w:styleId="TAC" w:customStyle="1">
    <w:name w:val="TAC"/>
    <w:basedOn w:val="TAL"/>
    <w:link w:val="TACChar"/>
    <w:qFormat/>
    <w:rsid w:val="00927fe2"/>
    <w:pPr>
      <w:jc w:val="center"/>
    </w:pPr>
    <w:rPr/>
  </w:style>
  <w:style w:type="paragraph" w:styleId="LGTdoc" w:customStyle="1">
    <w:name w:val="LGTdoc_본문"/>
    <w:basedOn w:val="Normal"/>
    <w:link w:val="LGTdocChar"/>
    <w:qFormat/>
    <w:rsid w:val="0007384d"/>
    <w:pPr>
      <w:widowControl w:val="false"/>
      <w:snapToGrid w:val="false"/>
      <w:spacing w:lineRule="auto" w:line="264"/>
      <w:jc w:val="both"/>
    </w:pPr>
    <w:rPr>
      <w:rFonts w:eastAsia="Batang"/>
      <w:kern w:val="2"/>
      <w:lang w:val="en-GB"/>
    </w:rPr>
  </w:style>
  <w:style w:type="paragraph" w:styleId="Bullet1" w:customStyle="1">
    <w:name w:val="bullet1"/>
    <w:basedOn w:val="Normal"/>
    <w:link w:val="bullet1Char"/>
    <w:qFormat/>
    <w:rsid w:val="00d326d7"/>
    <w:pPr/>
    <w:rPr>
      <w:rFonts w:ascii="Times" w:hAnsi="Times" w:eastAsia="Batang"/>
      <w:sz w:val="20"/>
      <w:lang w:val="en-GB"/>
    </w:rPr>
  </w:style>
  <w:style w:type="paragraph" w:styleId="Bullet2" w:customStyle="1">
    <w:name w:val="bullet2"/>
    <w:basedOn w:val="Normal"/>
    <w:link w:val="bullet2Char"/>
    <w:qFormat/>
    <w:rsid w:val="00d326d7"/>
    <w:pPr/>
    <w:rPr>
      <w:rFonts w:ascii="Times" w:hAnsi="Times" w:eastAsia="Batang"/>
      <w:sz w:val="20"/>
      <w:lang w:val="en-GB"/>
    </w:rPr>
  </w:style>
  <w:style w:type="paragraph" w:styleId="Bullet3" w:customStyle="1">
    <w:name w:val="bullet3"/>
    <w:basedOn w:val="Normal"/>
    <w:qFormat/>
    <w:rsid w:val="00d326d7"/>
    <w:pPr>
      <w:ind w:hanging="180"/>
    </w:pPr>
    <w:rPr>
      <w:rFonts w:ascii="Times" w:hAnsi="Times" w:eastAsia="Batang"/>
      <w:sz w:val="20"/>
      <w:lang w:val="en-GB"/>
    </w:rPr>
  </w:style>
  <w:style w:type="paragraph" w:styleId="Bullet4" w:customStyle="1">
    <w:name w:val="bullet4"/>
    <w:basedOn w:val="Normal"/>
    <w:qFormat/>
    <w:rsid w:val="00d326d7"/>
    <w:pPr/>
    <w:rPr>
      <w:rFonts w:ascii="Times" w:hAnsi="Times" w:eastAsia="Batang"/>
      <w:sz w:val="20"/>
      <w:lang w:val="en-GB"/>
    </w:rPr>
  </w:style>
  <w:style w:type="paragraph" w:styleId="Observation" w:customStyle="1">
    <w:name w:val="Observation"/>
    <w:basedOn w:val="Normal"/>
    <w:qFormat/>
    <w:rsid w:val="003c05f8"/>
    <w:pPr>
      <w:tabs>
        <w:tab w:val="left" w:pos="1701" w:leader="none"/>
      </w:tabs>
      <w:overflowPunct w:val="true"/>
      <w:spacing w:before="0" w:after="120"/>
      <w:jc w:val="both"/>
      <w:textAlignment w:val="baseline"/>
    </w:pPr>
    <w:rPr>
      <w:rFonts w:ascii="Arial" w:hAnsi="Arial"/>
      <w:b/>
      <w:bCs/>
      <w:sz w:val="20"/>
      <w:szCs w:val="20"/>
      <w:lang w:val="en-GB"/>
    </w:rPr>
  </w:style>
  <w:style w:type="paragraph" w:styleId="Style11" w:customStyle="1">
    <w:name w:val="Style1"/>
    <w:basedOn w:val="Normal"/>
    <w:link w:val="Style1Char"/>
    <w:qFormat/>
    <w:rsid w:val="009a1337"/>
    <w:pPr>
      <w:spacing w:lineRule="auto" w:line="300" w:before="0" w:afterAutospacing="1"/>
      <w:ind w:firstLine="360"/>
      <w:contextualSpacing/>
      <w:jc w:val="both"/>
    </w:pPr>
    <w:rPr>
      <w:rFonts w:eastAsia="SimSun"/>
      <w:sz w:val="20"/>
      <w:szCs w:val="20"/>
    </w:rPr>
  </w:style>
  <w:style w:type="paragraph" w:styleId="Textintend2" w:customStyle="1">
    <w:name w:val="text intend 2"/>
    <w:basedOn w:val="Normal"/>
    <w:qFormat/>
    <w:rsid w:val="008e2e3a"/>
    <w:pPr>
      <w:overflowPunct w:val="true"/>
      <w:spacing w:before="0" w:after="120"/>
      <w:jc w:val="both"/>
      <w:textAlignment w:val="baseline"/>
    </w:pPr>
    <w:rPr>
      <w:rFonts w:eastAsia="MS Mincho"/>
      <w:szCs w:val="20"/>
      <w:lang w:eastAsia="en-GB"/>
    </w:rPr>
  </w:style>
  <w:style w:type="paragraph" w:styleId="Done" w:customStyle="1">
    <w:name w:val="done"/>
    <w:basedOn w:val="Normal"/>
    <w:qFormat/>
    <w:rsid w:val="00720787"/>
    <w:pPr>
      <w:keepNext w:val="true"/>
      <w:keepLines/>
      <w:widowControl w:val="false"/>
      <w:pBdr>
        <w:top w:val="single" w:sz="6" w:space="1" w:color="008000"/>
        <w:left w:val="single" w:sz="6" w:space="4" w:color="008000"/>
        <w:bottom w:val="single" w:sz="6" w:space="1" w:color="008000"/>
        <w:right w:val="single" w:sz="6" w:space="4" w:color="008000"/>
      </w:pBdr>
      <w:tabs>
        <w:tab w:val="left" w:pos="360" w:leader="none"/>
        <w:tab w:val="left" w:pos="1843" w:leader="none"/>
      </w:tabs>
      <w:spacing w:before="60" w:after="60"/>
      <w:ind w:left="340" w:hanging="340"/>
      <w:jc w:val="both"/>
    </w:pPr>
    <w:rPr>
      <w:rFonts w:ascii="Arial" w:hAnsi="Arial" w:eastAsia="Malgun Gothic" w:cs="Times New Roman"/>
      <w:b/>
      <w:color w:val="008000"/>
      <w:sz w:val="20"/>
      <w:szCs w:val="20"/>
      <w:lang w:val="en-GB"/>
    </w:rPr>
  </w:style>
  <w:style w:type="paragraph" w:styleId="B110" w:customStyle="1">
    <w:name w:val="b110"/>
    <w:basedOn w:val="Normal"/>
    <w:qFormat/>
    <w:rsid w:val="001e0ae3"/>
    <w:pPr>
      <w:spacing w:lineRule="auto" w:line="240" w:before="75" w:after="75"/>
    </w:pPr>
    <w:rPr>
      <w:rFonts w:ascii="Times New Roman" w:hAnsi="Times New Roman" w:eastAsia="Times New Roman" w:cs="Times New Roman"/>
      <w:sz w:val="24"/>
      <w:szCs w:val="24"/>
      <w:lang w:eastAsia="zh-CN"/>
    </w:rPr>
  </w:style>
  <w:style w:type="numbering" w:styleId="NoList" w:default="1">
    <w:name w:val="No List"/>
    <w:uiPriority w:val="99"/>
    <w:semiHidden/>
    <w:unhideWhenUsed/>
    <w:qFormat/>
    <w:rsid w:val="00471ee3"/>
  </w:style>
  <w:style w:type="numbering" w:styleId="NoList1" w:customStyle="1">
    <w:name w:val="No List1"/>
    <w:uiPriority w:val="99"/>
    <w:semiHidden/>
    <w:unhideWhenUsed/>
    <w:qFormat/>
    <w:rsid w:val="008759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0b730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 Grid1"/>
    <w:basedOn w:val="TableNormal"/>
    <w:uiPriority w:val="59"/>
    <w:rsid w:val="008759a0"/>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2">
    <w:name w:val="Table Grid2"/>
    <w:basedOn w:val="TableNormal"/>
    <w:uiPriority w:val="59"/>
    <w:rsid w:val="008759a0"/>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3">
    <w:name w:val="Table Grid3"/>
    <w:basedOn w:val="TableNormal"/>
    <w:uiPriority w:val="59"/>
    <w:rsid w:val="008759a0"/>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4">
    <w:name w:val="Table Grid4"/>
    <w:basedOn w:val="TableNormal"/>
    <w:uiPriority w:val="59"/>
    <w:rsid w:val="008759a0"/>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5">
    <w:name w:val="Table Grid5"/>
    <w:basedOn w:val="TableNormal"/>
    <w:uiPriority w:val="59"/>
    <w:rsid w:val="008759a0"/>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1">
    <w:name w:val="Table Grid11"/>
    <w:basedOn w:val="TableNormal"/>
    <w:uiPriority w:val="59"/>
    <w:rsid w:val="008759a0"/>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2">
    <w:name w:val="Table Grid12"/>
    <w:basedOn w:val="TableNormal"/>
    <w:uiPriority w:val="59"/>
    <w:rsid w:val="008759a0"/>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3">
    <w:name w:val="Table Grid13"/>
    <w:basedOn w:val="TableNormal"/>
    <w:uiPriority w:val="59"/>
    <w:rsid w:val="008759a0"/>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4">
    <w:name w:val="Table Grid14"/>
    <w:basedOn w:val="TableNormal"/>
    <w:uiPriority w:val="59"/>
    <w:rsid w:val="008759a0"/>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8E0397D5-1472-43A9-9872-B0F38541B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LibreOffice/6.0.7.3$Linux_X86_64 LibreOffice_project/00m0$Build-3</Application>
  <Pages>3</Pages>
  <Words>1776</Words>
  <Characters>8861</Characters>
  <CharactersWithSpaces>10560</CharactersWithSpaces>
  <Paragraphs>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2021-08-07T03:53:00Z</dcterms:created>
  <dc:creator/>
  <dc:description/>
  <dc:language>en-IN</dc:language>
  <cp:lastModifiedBy/>
  <dcterms:modified xsi:type="dcterms:W3CDTF">2021-08-07T03:53:00Z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0x0101006C8E648E97429F4A9C700CA2B719F885</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