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DD6C" w14:textId="7A1874DA" w:rsidR="00364697" w:rsidRPr="00603FF3" w:rsidRDefault="00364697" w:rsidP="0036469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sz w:val="24"/>
        </w:rPr>
        <w:t>10</w:t>
      </w:r>
      <w:r w:rsidR="00372A94">
        <w:rPr>
          <w:rFonts w:ascii="Arial" w:hAnsi="Arial" w:cs="Arial"/>
          <w:b/>
          <w:sz w:val="24"/>
        </w:rPr>
        <w:t>6</w:t>
      </w:r>
      <w:r w:rsidR="0031735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 xml:space="preserve">e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7A7965" w:rsidRPr="007A7965">
        <w:rPr>
          <w:rFonts w:ascii="Arial" w:hAnsi="Arial" w:cs="Arial"/>
          <w:b/>
          <w:bCs/>
          <w:sz w:val="24"/>
          <w:szCs w:val="24"/>
        </w:rPr>
        <w:t>R1-2107018</w:t>
      </w:r>
    </w:p>
    <w:p w14:paraId="13D5560C" w14:textId="7731EEB7" w:rsidR="00364697" w:rsidRPr="00DA12F7" w:rsidRDefault="00364697" w:rsidP="0036469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372A94">
        <w:rPr>
          <w:rFonts w:ascii="Arial" w:hAnsi="Arial" w:cs="Arial"/>
          <w:b/>
          <w:sz w:val="24"/>
          <w:szCs w:val="24"/>
        </w:rPr>
        <w:t>Aug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7575C">
        <w:rPr>
          <w:rFonts w:ascii="Arial" w:hAnsi="Arial" w:cs="Arial"/>
          <w:b/>
          <w:sz w:val="24"/>
          <w:szCs w:val="24"/>
        </w:rPr>
        <w:t>1</w:t>
      </w:r>
      <w:r w:rsidR="00372A94">
        <w:rPr>
          <w:rFonts w:ascii="Arial" w:hAnsi="Arial" w:cs="Arial"/>
          <w:b/>
          <w:sz w:val="24"/>
          <w:szCs w:val="24"/>
        </w:rPr>
        <w:t>6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="00317350">
        <w:rPr>
          <w:rFonts w:ascii="Arial" w:hAnsi="Arial" w:cs="Arial"/>
          <w:b/>
          <w:sz w:val="24"/>
          <w:szCs w:val="24"/>
        </w:rPr>
        <w:t xml:space="preserve"> 2</w:t>
      </w:r>
      <w:r w:rsidR="0037575C">
        <w:rPr>
          <w:rFonts w:ascii="Arial" w:hAnsi="Arial" w:cs="Arial"/>
          <w:b/>
          <w:sz w:val="24"/>
          <w:szCs w:val="24"/>
        </w:rPr>
        <w:t>7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2021</w:t>
      </w:r>
    </w:p>
    <w:p w14:paraId="7A52CDB7" w14:textId="77777777" w:rsidR="00364697" w:rsidRPr="00B04045" w:rsidRDefault="00364697" w:rsidP="003646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55AAF0FF" w14:textId="1AD2C146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8.</w:t>
      </w:r>
      <w:r w:rsidR="00641BB5">
        <w:rPr>
          <w:b/>
          <w:kern w:val="2"/>
          <w:lang w:eastAsia="zh-CN"/>
        </w:rPr>
        <w:t>15.1</w:t>
      </w:r>
    </w:p>
    <w:p w14:paraId="19EC48DF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NEC</w:t>
      </w:r>
    </w:p>
    <w:p w14:paraId="18B44B83" w14:textId="4FAF1D3C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A941AF" w:rsidRPr="00A941AF">
        <w:rPr>
          <w:b/>
          <w:kern w:val="2"/>
          <w:lang w:eastAsia="zh-CN"/>
        </w:rPr>
        <w:t>Enhancements to time and frequency synchronization</w:t>
      </w:r>
    </w:p>
    <w:p w14:paraId="57C1926B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Discussion</w:t>
      </w:r>
      <w:r>
        <w:rPr>
          <w:b/>
          <w:kern w:val="2"/>
          <w:lang w:eastAsia="zh-CN"/>
        </w:rPr>
        <w:t xml:space="preserve"> </w:t>
      </w:r>
    </w:p>
    <w:p w14:paraId="381AE4B2" w14:textId="77777777" w:rsidR="00364697" w:rsidRPr="00B04045" w:rsidRDefault="00364697" w:rsidP="003646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324A8086" w14:textId="56F58C5F" w:rsidR="000A6658" w:rsidRPr="00047CB2" w:rsidRDefault="009309C4" w:rsidP="000A6658">
      <w:r w:rsidRPr="009309C4">
        <w:rPr>
          <w:rFonts w:eastAsia="MS Mincho"/>
        </w:rPr>
        <w:t xml:space="preserve">The work item on </w:t>
      </w:r>
      <w:r w:rsidR="00914878" w:rsidRPr="00914878">
        <w:rPr>
          <w:rFonts w:eastAsia="MS Mincho"/>
        </w:rPr>
        <w:t>NB-IoT/</w:t>
      </w:r>
      <w:proofErr w:type="spellStart"/>
      <w:r w:rsidR="00914878" w:rsidRPr="00914878">
        <w:rPr>
          <w:rFonts w:eastAsia="MS Mincho"/>
        </w:rPr>
        <w:t>eMTC</w:t>
      </w:r>
      <w:proofErr w:type="spellEnd"/>
      <w:r w:rsidR="00914878" w:rsidRPr="00914878">
        <w:rPr>
          <w:rFonts w:eastAsia="MS Mincho"/>
        </w:rPr>
        <w:t xml:space="preserve"> support for NTN </w:t>
      </w:r>
      <w:r w:rsidRPr="009309C4">
        <w:rPr>
          <w:rFonts w:eastAsia="MS Mincho"/>
        </w:rPr>
        <w:t>was approved at RAN#</w:t>
      </w:r>
      <w:r w:rsidR="00914878">
        <w:rPr>
          <w:rFonts w:eastAsia="MS Mincho"/>
        </w:rPr>
        <w:t>92-e [1]</w:t>
      </w:r>
      <w:r w:rsidRPr="009309C4">
        <w:rPr>
          <w:rFonts w:eastAsia="MS Mincho"/>
        </w:rPr>
        <w:t xml:space="preserve"> and one objective is to specify </w:t>
      </w:r>
      <w:r w:rsidR="00914878">
        <w:rPr>
          <w:rFonts w:eastAsia="MS Mincho"/>
        </w:rPr>
        <w:t>time and frequency synchronization enhancements</w:t>
      </w:r>
      <w:r w:rsidR="0057786B">
        <w:rPr>
          <w:rFonts w:eastAsia="MS Mincho"/>
        </w:rPr>
        <w:t xml:space="preserve"> </w:t>
      </w:r>
      <w:r w:rsidR="0057786B" w:rsidRPr="0057786B">
        <w:rPr>
          <w:rFonts w:eastAsia="MS Mincho"/>
        </w:rPr>
        <w:t xml:space="preserve">using </w:t>
      </w:r>
      <w:proofErr w:type="spellStart"/>
      <w:r w:rsidR="0057786B" w:rsidRPr="0057786B">
        <w:rPr>
          <w:rFonts w:eastAsia="MS Mincho"/>
        </w:rPr>
        <w:t>NR_NTN_solutions</w:t>
      </w:r>
      <w:proofErr w:type="spellEnd"/>
      <w:r w:rsidR="0057786B" w:rsidRPr="0057786B">
        <w:rPr>
          <w:rFonts w:eastAsia="MS Mincho"/>
        </w:rPr>
        <w:t xml:space="preserve"> </w:t>
      </w:r>
      <w:r w:rsidR="006C0EED" w:rsidRPr="0057786B">
        <w:rPr>
          <w:rFonts w:eastAsia="MS Mincho"/>
        </w:rPr>
        <w:t>WI agreements</w:t>
      </w:r>
      <w:r w:rsidR="0057786B" w:rsidRPr="0057786B">
        <w:rPr>
          <w:rFonts w:eastAsia="MS Mincho"/>
        </w:rPr>
        <w:t xml:space="preserve"> as baseline, according to Section 8 in TR 36.763</w:t>
      </w:r>
      <w:r w:rsidR="000A6658">
        <w:rPr>
          <w:rFonts w:eastAsia="MS Mincho"/>
        </w:rPr>
        <w:t xml:space="preserve"> [2]</w:t>
      </w:r>
      <w:r w:rsidR="0057786B">
        <w:rPr>
          <w:rFonts w:eastAsia="MS Mincho"/>
        </w:rPr>
        <w:t>.</w:t>
      </w:r>
      <w:r w:rsidR="000A6658">
        <w:rPr>
          <w:rFonts w:eastAsia="MS Mincho"/>
        </w:rPr>
        <w:t xml:space="preserve"> In TR 36.763, </w:t>
      </w:r>
      <w:r w:rsidR="000A6658" w:rsidRPr="00047CB2">
        <w:t>IoT NTN specific time and frequency synchronization enhancements are listed</w:t>
      </w:r>
      <w:r w:rsidR="000A6658">
        <w:t xml:space="preserve"> as</w:t>
      </w:r>
      <w:r w:rsidR="000A6658" w:rsidRPr="00047CB2">
        <w:t xml:space="preserve"> below:</w:t>
      </w:r>
    </w:p>
    <w:p w14:paraId="6F315172" w14:textId="77777777" w:rsidR="000A6658" w:rsidRPr="005A448C" w:rsidRDefault="000A6658" w:rsidP="000A6658">
      <w:pPr>
        <w:pStyle w:val="B1"/>
        <w:rPr>
          <w:rFonts w:eastAsia="Calibri"/>
          <w:sz w:val="22"/>
          <w:szCs w:val="22"/>
          <w:lang w:val="en-US"/>
        </w:rPr>
      </w:pPr>
      <w:r w:rsidRPr="00047CB2">
        <w:rPr>
          <w:rFonts w:eastAsia="Calibri"/>
        </w:rPr>
        <w:t>-</w:t>
      </w:r>
      <w:r w:rsidRPr="00047CB2">
        <w:rPr>
          <w:rFonts w:eastAsia="Calibri"/>
        </w:rPr>
        <w:tab/>
      </w:r>
      <w:r w:rsidRPr="005A448C">
        <w:rPr>
          <w:rFonts w:eastAsia="Calibri"/>
          <w:sz w:val="22"/>
          <w:szCs w:val="22"/>
        </w:rPr>
        <w:t>Long PUSCH and PRACH Transmission enhancements: segmented UE pre-compensations, new UL gaps and/or implementation solutions, time units and duration of segments…</w:t>
      </w:r>
    </w:p>
    <w:p w14:paraId="520E682A" w14:textId="77777777" w:rsidR="000A6658" w:rsidRPr="005A448C" w:rsidRDefault="000A6658" w:rsidP="000A6658">
      <w:pPr>
        <w:pStyle w:val="B1"/>
        <w:rPr>
          <w:rFonts w:eastAsia="Calibri"/>
          <w:sz w:val="22"/>
          <w:szCs w:val="22"/>
        </w:rPr>
      </w:pPr>
      <w:r w:rsidRPr="005A448C">
        <w:rPr>
          <w:rFonts w:eastAsia="Calibri"/>
          <w:sz w:val="22"/>
          <w:szCs w:val="22"/>
        </w:rPr>
        <w:t>-</w:t>
      </w:r>
      <w:r w:rsidRPr="005A448C">
        <w:rPr>
          <w:rFonts w:eastAsia="Calibri"/>
          <w:sz w:val="22"/>
          <w:szCs w:val="22"/>
        </w:rPr>
        <w:tab/>
      </w:r>
      <w:bookmarkStart w:id="2" w:name="_Hlk77329610"/>
      <w:r w:rsidRPr="005A448C">
        <w:rPr>
          <w:rFonts w:eastAsia="Calibri"/>
          <w:sz w:val="22"/>
          <w:szCs w:val="22"/>
        </w:rPr>
        <w:t>Validity timer for UL synchronization</w:t>
      </w:r>
      <w:bookmarkEnd w:id="2"/>
      <w:r w:rsidRPr="005A448C">
        <w:rPr>
          <w:rFonts w:eastAsia="Calibri"/>
          <w:sz w:val="22"/>
          <w:szCs w:val="22"/>
        </w:rPr>
        <w:t>: satellite ephemeris, and potentially other aspects</w:t>
      </w:r>
    </w:p>
    <w:p w14:paraId="0DBF06E0" w14:textId="77777777" w:rsidR="000A6658" w:rsidRPr="005A448C" w:rsidRDefault="000A6658" w:rsidP="000A6658">
      <w:pPr>
        <w:pStyle w:val="B1"/>
        <w:rPr>
          <w:rFonts w:eastAsia="Calibri"/>
          <w:sz w:val="22"/>
          <w:szCs w:val="22"/>
        </w:rPr>
      </w:pPr>
      <w:r w:rsidRPr="005A448C">
        <w:rPr>
          <w:rFonts w:eastAsia="Calibri"/>
          <w:sz w:val="22"/>
          <w:szCs w:val="22"/>
        </w:rPr>
        <w:t>-</w:t>
      </w:r>
      <w:r w:rsidRPr="005A448C">
        <w:rPr>
          <w:rFonts w:eastAsia="Calibri"/>
          <w:sz w:val="22"/>
          <w:szCs w:val="22"/>
        </w:rPr>
        <w:tab/>
        <w:t>DL synchronization enhancements: new channel raster, (part of) ARFCN-indication-in-MIB</w:t>
      </w:r>
    </w:p>
    <w:p w14:paraId="74777D43" w14:textId="77777777" w:rsidR="000A6658" w:rsidRPr="005A448C" w:rsidRDefault="000A6658" w:rsidP="000A6658">
      <w:pPr>
        <w:pStyle w:val="B1"/>
        <w:rPr>
          <w:rFonts w:eastAsia="Calibri"/>
          <w:sz w:val="22"/>
          <w:szCs w:val="22"/>
        </w:rPr>
      </w:pPr>
      <w:r w:rsidRPr="005A448C">
        <w:rPr>
          <w:rFonts w:eastAsia="Calibri"/>
          <w:sz w:val="22"/>
          <w:szCs w:val="22"/>
        </w:rPr>
        <w:t>-</w:t>
      </w:r>
      <w:r w:rsidRPr="005A448C">
        <w:rPr>
          <w:rFonts w:eastAsia="Calibri"/>
          <w:sz w:val="22"/>
          <w:szCs w:val="22"/>
        </w:rPr>
        <w:tab/>
        <w:t>GNSS Measurements: Validity of a GNSS position fix and details of acquiring a GNSS position fix, duration of validity, in RRC CONNECTED mode for sporadic short transmission</w:t>
      </w:r>
    </w:p>
    <w:p w14:paraId="337BF2AE" w14:textId="441E86A0" w:rsidR="006A2C6E" w:rsidRPr="006A2C6E" w:rsidRDefault="00CA7BC6" w:rsidP="00587D09">
      <w:pPr>
        <w:rPr>
          <w:bCs/>
          <w:color w:val="FF0000"/>
        </w:rPr>
      </w:pPr>
      <w:r w:rsidRPr="00CA7BC6">
        <w:t xml:space="preserve">In this contribution, we discuss our views </w:t>
      </w:r>
      <w:r>
        <w:t>on</w:t>
      </w:r>
      <w:r w:rsidR="00EF0F78">
        <w:t xml:space="preserve"> </w:t>
      </w:r>
      <w:r w:rsidR="00EF0F78" w:rsidRPr="00EF0F78">
        <w:t xml:space="preserve">necessary changes </w:t>
      </w:r>
      <w:r w:rsidR="00233EB0">
        <w:t>for</w:t>
      </w:r>
      <w:r w:rsidR="00EF0F78" w:rsidRPr="00EF0F78">
        <w:t xml:space="preserve"> time/frequency adjustment</w:t>
      </w:r>
      <w:r w:rsidR="00233EB0">
        <w:t xml:space="preserve"> for </w:t>
      </w:r>
      <w:r w:rsidR="00233EB0" w:rsidRPr="00233EB0">
        <w:t>NB-IoT/</w:t>
      </w:r>
      <w:proofErr w:type="spellStart"/>
      <w:r w:rsidR="00233EB0" w:rsidRPr="00233EB0">
        <w:t>eMTC</w:t>
      </w:r>
      <w:proofErr w:type="spellEnd"/>
      <w:r w:rsidR="00233EB0">
        <w:t xml:space="preserve"> UEs in NTN</w:t>
      </w:r>
      <w:r w:rsidR="00F56A2D">
        <w:t xml:space="preserve">. </w:t>
      </w:r>
    </w:p>
    <w:p w14:paraId="12B88F8B" w14:textId="1C4CA83B" w:rsidR="00364697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3" w:name="_Ref129681832"/>
      <w:r>
        <w:rPr>
          <w:lang w:eastAsia="zh-CN"/>
        </w:rPr>
        <w:t>Discussion</w:t>
      </w:r>
    </w:p>
    <w:p w14:paraId="059C9AD7" w14:textId="333B7E29" w:rsidR="007B43C2" w:rsidRPr="007B43C2" w:rsidRDefault="007B43C2" w:rsidP="007B43C2">
      <w:pPr>
        <w:pStyle w:val="Heading2"/>
        <w:rPr>
          <w:lang w:eastAsia="zh-CN"/>
        </w:rPr>
      </w:pPr>
      <w:r w:rsidRPr="007B43C2">
        <w:rPr>
          <w:lang w:eastAsia="zh-CN"/>
        </w:rPr>
        <w:t>Long PUSH and PRACH</w:t>
      </w:r>
      <w:r>
        <w:rPr>
          <w:lang w:eastAsia="zh-CN"/>
        </w:rPr>
        <w:t xml:space="preserve"> </w:t>
      </w:r>
      <w:r w:rsidRPr="007B43C2">
        <w:rPr>
          <w:lang w:eastAsia="zh-CN"/>
        </w:rPr>
        <w:t xml:space="preserve">transmission </w:t>
      </w:r>
      <w:r>
        <w:rPr>
          <w:lang w:eastAsia="zh-CN"/>
        </w:rPr>
        <w:t>enhancements</w:t>
      </w:r>
    </w:p>
    <w:p w14:paraId="5459CA58" w14:textId="57DF8E8E" w:rsidR="00CF59D7" w:rsidRPr="00CF59D7" w:rsidRDefault="00F31AB0" w:rsidP="00CF59D7">
      <w:pPr>
        <w:spacing w:beforeLines="50" w:before="120" w:afterLines="50"/>
        <w:rPr>
          <w:color w:val="FF0000"/>
          <w:lang w:eastAsia="zh-CN"/>
        </w:rPr>
      </w:pPr>
      <w:r>
        <w:rPr>
          <w:rFonts w:eastAsia="MS Mincho"/>
        </w:rPr>
        <w:t xml:space="preserve">As mentioned in [1], </w:t>
      </w:r>
      <w:r w:rsidRPr="00F72667">
        <w:rPr>
          <w:rFonts w:eastAsia="MS Mincho"/>
        </w:rPr>
        <w:t xml:space="preserve">GNSS capability in the UE is taken as a working assumption for both NB-IoT and </w:t>
      </w:r>
      <w:proofErr w:type="spellStart"/>
      <w:r w:rsidRPr="00F72667">
        <w:rPr>
          <w:rFonts w:eastAsia="MS Mincho"/>
        </w:rPr>
        <w:t>eMTC</w:t>
      </w:r>
      <w:proofErr w:type="spellEnd"/>
      <w:r w:rsidRPr="00F72667">
        <w:rPr>
          <w:rFonts w:eastAsia="MS Mincho"/>
        </w:rPr>
        <w:t xml:space="preserve"> devices. With this assumption, UE can estimate and pre-compensate timing and frequency offset with sufficient accuracy for UL transmission. </w:t>
      </w:r>
      <w:r w:rsidR="00EC650E">
        <w:rPr>
          <w:rFonts w:eastAsia="MS Mincho"/>
        </w:rPr>
        <w:t>However,</w:t>
      </w:r>
      <w:r w:rsidR="00824C9D">
        <w:rPr>
          <w:rFonts w:eastAsia="MS Mincho"/>
        </w:rPr>
        <w:t xml:space="preserve"> </w:t>
      </w:r>
      <w:r w:rsidR="00B553E6">
        <w:rPr>
          <w:rFonts w:eastAsia="MS Mincho"/>
          <w:color w:val="000000" w:themeColor="text1"/>
        </w:rPr>
        <w:t>for</w:t>
      </w:r>
      <w:r w:rsidR="00CF59D7" w:rsidRPr="00824C9D">
        <w:rPr>
          <w:color w:val="000000" w:themeColor="text1"/>
          <w:lang w:val="en-GB" w:eastAsia="ja-JP"/>
        </w:rPr>
        <w:t xml:space="preserve"> IoT NTN, the UL transmission duration can be extremely long </w:t>
      </w:r>
      <w:r w:rsidR="00824C9D">
        <w:rPr>
          <w:color w:val="000000" w:themeColor="text1"/>
          <w:lang w:val="en-GB" w:eastAsia="ja-JP"/>
        </w:rPr>
        <w:t xml:space="preserve">due to </w:t>
      </w:r>
      <w:r w:rsidR="00824C9D">
        <w:rPr>
          <w:lang w:eastAsia="zh-CN"/>
        </w:rPr>
        <w:t>large number of repetitions required to ensure the coverage</w:t>
      </w:r>
      <w:r w:rsidR="00CF59D7" w:rsidRPr="00824C9D">
        <w:rPr>
          <w:color w:val="000000" w:themeColor="text1"/>
          <w:lang w:val="en-GB" w:eastAsia="ja-JP"/>
        </w:rPr>
        <w:t xml:space="preserve">. The large timing and frequency drifts in NTN may </w:t>
      </w:r>
      <w:r w:rsidR="00824C9D">
        <w:rPr>
          <w:color w:val="000000" w:themeColor="text1"/>
          <w:lang w:val="en-GB" w:eastAsia="ja-JP"/>
        </w:rPr>
        <w:t>impact system performance</w:t>
      </w:r>
      <w:r w:rsidR="00CF59D7" w:rsidRPr="00824C9D">
        <w:rPr>
          <w:color w:val="000000" w:themeColor="text1"/>
          <w:lang w:val="en-GB" w:eastAsia="ja-JP"/>
        </w:rPr>
        <w:t xml:space="preserve"> </w:t>
      </w:r>
      <w:r w:rsidR="00FF555D">
        <w:rPr>
          <w:color w:val="000000" w:themeColor="text1"/>
          <w:lang w:val="en-GB" w:eastAsia="ja-JP"/>
        </w:rPr>
        <w:t>if pre-</w:t>
      </w:r>
      <w:r w:rsidR="00EC650E">
        <w:rPr>
          <w:color w:val="000000" w:themeColor="text1"/>
          <w:lang w:val="en-GB" w:eastAsia="ja-JP"/>
        </w:rPr>
        <w:t>compensation</w:t>
      </w:r>
      <w:r w:rsidR="00FF555D">
        <w:rPr>
          <w:color w:val="000000" w:themeColor="text1"/>
          <w:lang w:val="en-GB" w:eastAsia="ja-JP"/>
        </w:rPr>
        <w:t xml:space="preserve"> </w:t>
      </w:r>
      <w:r w:rsidR="00EC650E">
        <w:rPr>
          <w:color w:val="000000" w:themeColor="text1"/>
          <w:lang w:val="en-GB" w:eastAsia="ja-JP"/>
        </w:rPr>
        <w:t xml:space="preserve">values are not updated </w:t>
      </w:r>
      <w:r w:rsidR="00CF59D7" w:rsidRPr="00824C9D">
        <w:rPr>
          <w:color w:val="000000" w:themeColor="text1"/>
          <w:lang w:val="en-GB" w:eastAsia="ja-JP"/>
        </w:rPr>
        <w:t>for UL synchronization during long UL transmissions.</w:t>
      </w:r>
      <w:r w:rsidR="00CF59D7" w:rsidRPr="00824C9D">
        <w:rPr>
          <w:color w:val="000000" w:themeColor="text1"/>
          <w:lang w:eastAsia="zh-CN"/>
        </w:rPr>
        <w:t xml:space="preserve"> </w:t>
      </w:r>
      <w:r w:rsidR="00EC650E">
        <w:rPr>
          <w:color w:val="000000" w:themeColor="text1"/>
          <w:lang w:eastAsia="zh-CN"/>
        </w:rPr>
        <w:t>Therefore, segmented UE pre-compensation for long PUSCH and PRACH was agreed in SI phase and further agreements were</w:t>
      </w:r>
      <w:r w:rsidR="00EC650E">
        <w:rPr>
          <w:color w:val="FF0000"/>
          <w:lang w:eastAsia="zh-CN"/>
        </w:rPr>
        <w:t xml:space="preserve"> </w:t>
      </w:r>
      <w:r w:rsidR="00EC650E" w:rsidRPr="00EC650E">
        <w:rPr>
          <w:color w:val="000000" w:themeColor="text1"/>
          <w:lang w:eastAsia="zh-CN"/>
        </w:rPr>
        <w:t xml:space="preserve">made in </w:t>
      </w:r>
      <w:r w:rsidR="00CF59D7" w:rsidRPr="00EC650E">
        <w:rPr>
          <w:color w:val="000000" w:themeColor="text1"/>
          <w:lang w:eastAsia="zh-CN"/>
        </w:rPr>
        <w:t>RAN1#10</w:t>
      </w:r>
      <w:r w:rsidR="00D6386E" w:rsidRPr="00EC650E">
        <w:rPr>
          <w:color w:val="000000" w:themeColor="text1"/>
          <w:lang w:eastAsia="zh-CN"/>
        </w:rPr>
        <w:t>5</w:t>
      </w:r>
      <w:r w:rsidR="00CF59D7" w:rsidRPr="00EC650E">
        <w:rPr>
          <w:color w:val="000000" w:themeColor="text1"/>
          <w:lang w:eastAsia="zh-CN"/>
        </w:rPr>
        <w:t>-e</w:t>
      </w:r>
      <w:r w:rsidR="00EC650E" w:rsidRPr="00EC650E">
        <w:rPr>
          <w:color w:val="000000" w:themeColor="text1"/>
          <w:lang w:eastAsia="zh-CN"/>
        </w:rPr>
        <w:t xml:space="preserve"> as follows</w:t>
      </w:r>
      <w:r w:rsidR="00CF59D7" w:rsidRPr="00EC650E">
        <w:rPr>
          <w:color w:val="000000" w:themeColor="text1"/>
          <w:lang w:eastAsia="zh-CN"/>
        </w:rPr>
        <w:t>:</w:t>
      </w:r>
    </w:p>
    <w:p w14:paraId="2AD75DE3" w14:textId="77777777" w:rsidR="00D6386E" w:rsidRDefault="00D6386E" w:rsidP="00D6386E">
      <w:pPr>
        <w:rPr>
          <w:rFonts w:eastAsia="Batang"/>
          <w:lang w:val="en-GB"/>
        </w:rPr>
      </w:pPr>
      <w:r>
        <w:rPr>
          <w:highlight w:val="green"/>
        </w:rPr>
        <w:t>Agreement:</w:t>
      </w:r>
    </w:p>
    <w:p w14:paraId="2339848A" w14:textId="77777777" w:rsidR="00D6386E" w:rsidRDefault="00D6386E" w:rsidP="00D6386E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</w:pPr>
      <w:r>
        <w:t xml:space="preserve">A specification change is needed for UL transmission with repetitions R&gt;1. </w:t>
      </w:r>
    </w:p>
    <w:p w14:paraId="709E6903" w14:textId="77777777" w:rsidR="00D6386E" w:rsidRDefault="00D6386E" w:rsidP="00D6386E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</w:pPr>
      <w:r>
        <w:t xml:space="preserve">For segmented UE pre-compensation </w:t>
      </w:r>
      <w:proofErr w:type="gramStart"/>
      <w:r>
        <w:t>how</w:t>
      </w:r>
      <w:proofErr w:type="gramEnd"/>
      <w:r>
        <w:t xml:space="preserve"> the following is handled can be further discussed </w:t>
      </w:r>
    </w:p>
    <w:p w14:paraId="082F91DA" w14:textId="77777777" w:rsidR="00D6386E" w:rsidRDefault="00D6386E" w:rsidP="00D6386E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</w:pPr>
      <w:r>
        <w:t>Phase discontinuity at subframe boundary when applying new pre-compensation</w:t>
      </w:r>
    </w:p>
    <w:p w14:paraId="23FB121E" w14:textId="77777777" w:rsidR="00D6386E" w:rsidRDefault="00D6386E" w:rsidP="00D6386E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</w:pPr>
      <w:r>
        <w:t>Coherence time limitation due to delay/frequency drift rate during segment</w:t>
      </w:r>
    </w:p>
    <w:p w14:paraId="71F2CC08" w14:textId="77777777" w:rsidR="00D6386E" w:rsidRDefault="00D6386E" w:rsidP="00D6386E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</w:pPr>
      <w:r>
        <w:t>Signal overlapping between different TA segments</w:t>
      </w:r>
    </w:p>
    <w:p w14:paraId="0A8A4585" w14:textId="77777777" w:rsidR="00D6386E" w:rsidRDefault="00D6386E" w:rsidP="00D6386E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</w:pPr>
      <w:r>
        <w:t xml:space="preserve">FFS: Need for more frequent new UL gaps during long transmission </w:t>
      </w:r>
    </w:p>
    <w:p w14:paraId="7599C778" w14:textId="77777777" w:rsidR="00D6386E" w:rsidRDefault="00D6386E" w:rsidP="00D6386E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</w:pPr>
      <w:r>
        <w:t>FFS: Whether sampling frequency adjustment to avoid new UL gaps can be achieved by implementation</w:t>
      </w:r>
    </w:p>
    <w:p w14:paraId="278643BA" w14:textId="77777777" w:rsidR="00D6386E" w:rsidRDefault="00D6386E" w:rsidP="00D6386E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</w:pPr>
      <w:r>
        <w:t>FFS: Value of N for the number of time units and what is the time unit for the segmented UE pre-compensation</w:t>
      </w:r>
    </w:p>
    <w:p w14:paraId="0A3725C8" w14:textId="77777777" w:rsidR="00CF59D7" w:rsidRDefault="00CF59D7" w:rsidP="007B43C2">
      <w:pPr>
        <w:rPr>
          <w:rFonts w:eastAsia="MS Mincho"/>
        </w:rPr>
      </w:pPr>
    </w:p>
    <w:p w14:paraId="18072DFA" w14:textId="181D0FE1" w:rsidR="005238D7" w:rsidRDefault="00F43DE2" w:rsidP="00C612EB">
      <w:pPr>
        <w:rPr>
          <w:lang w:val="en-GB" w:eastAsia="zh-CN"/>
        </w:rPr>
      </w:pPr>
      <w:r w:rsidRPr="006A11D4">
        <w:rPr>
          <w:lang w:val="en-GB" w:eastAsia="zh-CN"/>
        </w:rPr>
        <w:t>Due to the movement of the satellite, the UE needs to apply different TA pre-compensation values</w:t>
      </w:r>
      <w:r>
        <w:rPr>
          <w:lang w:val="en-GB" w:eastAsia="zh-CN"/>
        </w:rPr>
        <w:t xml:space="preserve"> for </w:t>
      </w:r>
      <w:r w:rsidRPr="006A11D4">
        <w:rPr>
          <w:lang w:val="en-GB" w:eastAsia="zh-CN"/>
        </w:rPr>
        <w:t>different segments</w:t>
      </w:r>
      <w:r>
        <w:rPr>
          <w:lang w:val="en-GB" w:eastAsia="zh-CN"/>
        </w:rPr>
        <w:t xml:space="preserve"> of long PUSCH and PRACH.  </w:t>
      </w:r>
      <w:r w:rsidR="00E545B1">
        <w:rPr>
          <w:rFonts w:eastAsia="MS Mincho"/>
        </w:rPr>
        <w:t xml:space="preserve">As described in [4], the overlapping between different </w:t>
      </w:r>
      <w:r w:rsidR="00E545B1">
        <w:rPr>
          <w:rFonts w:eastAsia="MS Mincho"/>
        </w:rPr>
        <w:lastRenderedPageBreak/>
        <w:t xml:space="preserve">TA segments depends on the TA values. </w:t>
      </w:r>
      <w:r>
        <w:rPr>
          <w:rFonts w:eastAsia="MS Mincho"/>
        </w:rPr>
        <w:t xml:space="preserve">In our view, uplink gaps between segments of UL transmission can be leveraged to </w:t>
      </w:r>
      <w:r w:rsidR="00DE3091">
        <w:rPr>
          <w:rFonts w:eastAsia="MS Mincho"/>
        </w:rPr>
        <w:t>perform time/frequency synchronization</w:t>
      </w:r>
      <w:r w:rsidR="005E5563">
        <w:rPr>
          <w:rFonts w:eastAsia="MS Mincho"/>
        </w:rPr>
        <w:t xml:space="preserve"> and avoid overlapping between segments and phase discontinuity</w:t>
      </w:r>
      <w:r w:rsidR="00DE3091">
        <w:rPr>
          <w:rFonts w:eastAsia="MS Mincho"/>
        </w:rPr>
        <w:t xml:space="preserve">. </w:t>
      </w:r>
      <w:r w:rsidR="00AD1096">
        <w:rPr>
          <w:rFonts w:eastAsia="MS Mincho"/>
        </w:rPr>
        <w:t xml:space="preserve">The transmission gap must be sufficiently long to estimate pre-compensation values at the </w:t>
      </w:r>
      <w:proofErr w:type="spellStart"/>
      <w:r w:rsidR="00AD1096">
        <w:rPr>
          <w:rFonts w:eastAsia="MS Mincho"/>
        </w:rPr>
        <w:t>gNB</w:t>
      </w:r>
      <w:proofErr w:type="spellEnd"/>
      <w:r w:rsidR="00AD1096">
        <w:rPr>
          <w:rFonts w:eastAsia="MS Mincho"/>
        </w:rPr>
        <w:t>/UE and report to the UE/</w:t>
      </w:r>
      <w:proofErr w:type="spellStart"/>
      <w:r w:rsidR="00AD1096">
        <w:rPr>
          <w:rFonts w:eastAsia="MS Mincho"/>
        </w:rPr>
        <w:t>gNB</w:t>
      </w:r>
      <w:proofErr w:type="spellEnd"/>
      <w:r w:rsidR="00AD1096">
        <w:rPr>
          <w:rFonts w:eastAsia="MS Mincho"/>
        </w:rPr>
        <w:t xml:space="preserve">. </w:t>
      </w:r>
      <w:r w:rsidR="00343793">
        <w:rPr>
          <w:rFonts w:eastAsia="MS Mincho"/>
        </w:rPr>
        <w:t xml:space="preserve">The length of the segment and transmission gap can be determined based on the time/frequency drift rate and </w:t>
      </w:r>
      <w:r w:rsidR="00343793" w:rsidRPr="00EF2963">
        <w:rPr>
          <w:lang w:val="en-GB" w:eastAsia="zh-CN"/>
        </w:rPr>
        <w:t xml:space="preserve">tolerable timing and frequency </w:t>
      </w:r>
      <w:r w:rsidR="00343793">
        <w:rPr>
          <w:lang w:val="en-GB" w:eastAsia="zh-CN"/>
        </w:rPr>
        <w:t>errors</w:t>
      </w:r>
      <w:r w:rsidR="00D815F6">
        <w:rPr>
          <w:lang w:val="en-GB" w:eastAsia="zh-CN"/>
        </w:rPr>
        <w:t xml:space="preserve"> and can be configured by the network.</w:t>
      </w:r>
      <w:r w:rsidR="0050416C">
        <w:rPr>
          <w:lang w:val="en-GB" w:eastAsia="zh-CN"/>
        </w:rPr>
        <w:t xml:space="preserve"> The time unit for segmented pre-compensation can be the same as </w:t>
      </w:r>
      <w:bookmarkStart w:id="4" w:name="_Hlk77325191"/>
      <w:r w:rsidR="0050416C">
        <w:rPr>
          <w:lang w:val="en-GB" w:eastAsia="zh-CN"/>
        </w:rPr>
        <w:t xml:space="preserve">the </w:t>
      </w:r>
      <w:r w:rsidR="00461423">
        <w:rPr>
          <w:lang w:val="en-GB" w:eastAsia="zh-CN"/>
        </w:rPr>
        <w:t>PUSCH</w:t>
      </w:r>
      <w:r w:rsidR="005E5563">
        <w:rPr>
          <w:lang w:val="en-GB" w:eastAsia="zh-CN"/>
        </w:rPr>
        <w:t xml:space="preserve"> </w:t>
      </w:r>
      <w:r w:rsidR="00696DB4">
        <w:rPr>
          <w:lang w:val="en-GB" w:eastAsia="zh-CN"/>
        </w:rPr>
        <w:t>/</w:t>
      </w:r>
      <w:r w:rsidR="005E5563">
        <w:rPr>
          <w:lang w:val="en-GB" w:eastAsia="zh-CN"/>
        </w:rPr>
        <w:t xml:space="preserve"> </w:t>
      </w:r>
      <w:r w:rsidR="00461423">
        <w:rPr>
          <w:lang w:val="en-GB" w:eastAsia="zh-CN"/>
        </w:rPr>
        <w:t>PRACH preamble repetition unit.</w:t>
      </w:r>
      <w:bookmarkEnd w:id="4"/>
    </w:p>
    <w:p w14:paraId="329E1826" w14:textId="0760959D" w:rsidR="00B42CF8" w:rsidRDefault="00B42CF8" w:rsidP="00B42CF8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r>
        <w:rPr>
          <w:i/>
          <w:iCs/>
          <w:lang w:eastAsia="zh-CN"/>
        </w:rPr>
        <w:t>Support UL gaps during long transmission to avoid phase discontinuity between segments</w:t>
      </w:r>
      <w:r w:rsidRPr="009E1E2B">
        <w:rPr>
          <w:i/>
          <w:iCs/>
          <w:lang w:eastAsia="zh-CN"/>
        </w:rPr>
        <w:t>.</w:t>
      </w:r>
    </w:p>
    <w:p w14:paraId="43F87F29" w14:textId="1662327D" w:rsidR="000B6DE3" w:rsidRDefault="000B6DE3" w:rsidP="000B6DE3">
      <w:pPr>
        <w:rPr>
          <w:i/>
          <w:iCs/>
          <w:lang w:eastAsia="zh-CN"/>
        </w:rPr>
      </w:pPr>
      <w:bookmarkStart w:id="5" w:name="_Hlk77336397"/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 xml:space="preserve">: </w:t>
      </w:r>
      <w:r w:rsidR="002F6CDA">
        <w:rPr>
          <w:i/>
          <w:iCs/>
          <w:lang w:eastAsia="zh-CN"/>
        </w:rPr>
        <w:t>Length of segment and gap</w:t>
      </w:r>
      <w:r w:rsidR="00AD523C">
        <w:rPr>
          <w:i/>
          <w:iCs/>
          <w:lang w:eastAsia="zh-CN"/>
        </w:rPr>
        <w:t xml:space="preserve"> between pre-compensation segments is configured by the network.</w:t>
      </w:r>
      <w:r w:rsidR="005E5563">
        <w:rPr>
          <w:i/>
          <w:iCs/>
          <w:lang w:eastAsia="zh-CN"/>
        </w:rPr>
        <w:t xml:space="preserve"> </w:t>
      </w:r>
      <w:r w:rsidR="00554815">
        <w:rPr>
          <w:i/>
          <w:iCs/>
          <w:lang w:eastAsia="zh-CN"/>
        </w:rPr>
        <w:t>T</w:t>
      </w:r>
      <w:r w:rsidR="005E5563">
        <w:rPr>
          <w:i/>
          <w:iCs/>
          <w:lang w:eastAsia="zh-CN"/>
        </w:rPr>
        <w:t xml:space="preserve">ime unit is the same as the </w:t>
      </w:r>
      <w:r w:rsidR="005E5563" w:rsidRPr="005E5563">
        <w:rPr>
          <w:i/>
          <w:iCs/>
          <w:lang w:eastAsia="zh-CN"/>
        </w:rPr>
        <w:t>PUSCH</w:t>
      </w:r>
      <w:r w:rsidR="00696DB4">
        <w:rPr>
          <w:i/>
          <w:iCs/>
          <w:lang w:eastAsia="zh-CN"/>
        </w:rPr>
        <w:t>/</w:t>
      </w:r>
      <w:r w:rsidR="005E5563" w:rsidRPr="005E5563">
        <w:rPr>
          <w:i/>
          <w:iCs/>
          <w:lang w:eastAsia="zh-CN"/>
        </w:rPr>
        <w:t>PRACH preamble repetition unit.</w:t>
      </w:r>
    </w:p>
    <w:bookmarkEnd w:id="5"/>
    <w:p w14:paraId="36EED798" w14:textId="6AAB2D5F" w:rsidR="000B6DE3" w:rsidRDefault="000B6DE3" w:rsidP="00B42CF8">
      <w:pPr>
        <w:rPr>
          <w:i/>
          <w:iCs/>
          <w:lang w:eastAsia="zh-CN"/>
        </w:rPr>
      </w:pPr>
    </w:p>
    <w:p w14:paraId="02273153" w14:textId="77777777" w:rsidR="00A51454" w:rsidRPr="00A51454" w:rsidRDefault="00A51454" w:rsidP="00A51454">
      <w:pPr>
        <w:pStyle w:val="Heading2"/>
        <w:rPr>
          <w:lang w:eastAsia="zh-CN"/>
        </w:rPr>
      </w:pPr>
      <w:r w:rsidRPr="00A51454">
        <w:rPr>
          <w:lang w:eastAsia="zh-CN"/>
        </w:rPr>
        <w:t xml:space="preserve">Validity timer for UL synchronization </w:t>
      </w:r>
    </w:p>
    <w:p w14:paraId="74D7F830" w14:textId="44F2B7C5" w:rsidR="000B2849" w:rsidRDefault="0050217E" w:rsidP="0050217E">
      <w:pPr>
        <w:rPr>
          <w:rFonts w:eastAsia="MS Mincho"/>
        </w:rPr>
      </w:pPr>
      <w:r>
        <w:rPr>
          <w:rFonts w:eastAsia="MS Mincho"/>
        </w:rPr>
        <w:t>In RAN1#10</w:t>
      </w:r>
      <w:r w:rsidR="00FB3D35">
        <w:rPr>
          <w:rFonts w:eastAsia="MS Mincho"/>
        </w:rPr>
        <w:t>5</w:t>
      </w:r>
      <w:r>
        <w:rPr>
          <w:rFonts w:eastAsia="MS Mincho"/>
        </w:rPr>
        <w:t>-e meeting</w:t>
      </w:r>
      <w:r w:rsidR="00FB3D35">
        <w:rPr>
          <w:rFonts w:eastAsia="MS Mincho"/>
        </w:rPr>
        <w:t xml:space="preserve"> [3]</w:t>
      </w:r>
      <w:r w:rsidR="004E66DE">
        <w:rPr>
          <w:rFonts w:eastAsia="MS Mincho"/>
        </w:rPr>
        <w:t>,</w:t>
      </w:r>
      <w:r w:rsidR="00607096">
        <w:rPr>
          <w:rFonts w:eastAsia="MS Mincho"/>
        </w:rPr>
        <w:t xml:space="preserve"> following was agreed</w:t>
      </w:r>
      <w:r w:rsidR="000B2849" w:rsidRPr="00CA7BC6">
        <w:rPr>
          <w:rFonts w:eastAsia="MS Mincho"/>
        </w:rPr>
        <w:t xml:space="preserve">. </w:t>
      </w:r>
    </w:p>
    <w:p w14:paraId="1649A49D" w14:textId="77777777" w:rsidR="00906967" w:rsidRDefault="00906967" w:rsidP="00906967">
      <w:pPr>
        <w:rPr>
          <w:rFonts w:eastAsia="Batang"/>
          <w:lang w:val="en-GB"/>
        </w:rPr>
      </w:pPr>
      <w:r>
        <w:rPr>
          <w:highlight w:val="green"/>
        </w:rPr>
        <w:t>Agreement:</w:t>
      </w:r>
    </w:p>
    <w:p w14:paraId="223CCC7D" w14:textId="77777777" w:rsidR="00906967" w:rsidRDefault="00906967" w:rsidP="00906967">
      <w:r>
        <w:t>A validity timer for UL synchronization (e.g., for satellite ephemeris and potentially other aspects) configured by the network is recommended.</w:t>
      </w:r>
    </w:p>
    <w:p w14:paraId="117DACC2" w14:textId="2856371E" w:rsidR="00906967" w:rsidRDefault="00906967" w:rsidP="00906967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</w:pPr>
      <w:r>
        <w:t xml:space="preserve">Details </w:t>
      </w:r>
      <w:proofErr w:type="gramStart"/>
      <w:r>
        <w:t>e.g.</w:t>
      </w:r>
      <w:proofErr w:type="gramEnd"/>
      <w:r>
        <w:t xml:space="preserve"> when to set/reset the timer, timer duration and UE </w:t>
      </w:r>
      <w:r w:rsidR="00C72C52">
        <w:t>behavior</w:t>
      </w:r>
      <w:r>
        <w:t xml:space="preserve"> upon timer expiry can be discussed in the normative phase</w:t>
      </w:r>
    </w:p>
    <w:p w14:paraId="3E46B5B6" w14:textId="77777777" w:rsidR="004D1858" w:rsidRDefault="004D1858" w:rsidP="006A2C6E">
      <w:pPr>
        <w:rPr>
          <w:rFonts w:eastAsia="MS Mincho"/>
        </w:rPr>
      </w:pPr>
    </w:p>
    <w:p w14:paraId="64EB0108" w14:textId="7A532745" w:rsidR="005146B2" w:rsidRDefault="000C6377" w:rsidP="006A2C6E">
      <w:pPr>
        <w:rPr>
          <w:rFonts w:eastAsia="MS Mincho"/>
        </w:rPr>
      </w:pPr>
      <w:r>
        <w:rPr>
          <w:rFonts w:eastAsia="MS Mincho"/>
        </w:rPr>
        <w:t xml:space="preserve">In our view, validity timer </w:t>
      </w:r>
      <w:r w:rsidR="00B05C00">
        <w:rPr>
          <w:rFonts w:eastAsia="MS Mincho"/>
        </w:rPr>
        <w:t xml:space="preserve">should </w:t>
      </w:r>
      <w:r w:rsidR="00F63A1C">
        <w:rPr>
          <w:rFonts w:eastAsia="MS Mincho"/>
        </w:rPr>
        <w:t xml:space="preserve">be </w:t>
      </w:r>
      <w:r w:rsidR="00B05C00">
        <w:rPr>
          <w:rFonts w:eastAsia="MS Mincho"/>
        </w:rPr>
        <w:t xml:space="preserve">reset to the value configured by the network upon (re-)acquiring the </w:t>
      </w:r>
      <w:bookmarkStart w:id="6" w:name="_Hlk78288169"/>
      <w:r w:rsidR="00B05C00">
        <w:rPr>
          <w:rFonts w:eastAsia="MS Mincho"/>
        </w:rPr>
        <w:t>information required for uplink synchronization</w:t>
      </w:r>
      <w:bookmarkEnd w:id="6"/>
      <w:r w:rsidR="00B05C00">
        <w:rPr>
          <w:rFonts w:eastAsia="MS Mincho"/>
        </w:rPr>
        <w:t>.</w:t>
      </w:r>
      <w:r>
        <w:rPr>
          <w:rFonts w:eastAsia="MS Mincho"/>
        </w:rPr>
        <w:t xml:space="preserve"> </w:t>
      </w:r>
      <w:r w:rsidR="00B544B7">
        <w:rPr>
          <w:rFonts w:eastAsia="MS Mincho"/>
        </w:rPr>
        <w:t>U</w:t>
      </w:r>
      <w:r w:rsidR="00A308EB">
        <w:rPr>
          <w:rFonts w:eastAsia="MS Mincho"/>
        </w:rPr>
        <w:t xml:space="preserve">pon timer expiry, </w:t>
      </w:r>
      <w:r w:rsidR="00B544B7">
        <w:rPr>
          <w:rFonts w:eastAsia="MS Mincho"/>
        </w:rPr>
        <w:t xml:space="preserve">before a </w:t>
      </w:r>
      <w:r w:rsidR="00A308EB">
        <w:rPr>
          <w:rFonts w:eastAsia="MS Mincho"/>
        </w:rPr>
        <w:t xml:space="preserve">UE </w:t>
      </w:r>
      <w:r w:rsidR="00B544B7">
        <w:rPr>
          <w:rFonts w:eastAsia="MS Mincho"/>
        </w:rPr>
        <w:t xml:space="preserve">acquires </w:t>
      </w:r>
      <w:r w:rsidR="00A308EB">
        <w:rPr>
          <w:rFonts w:eastAsia="MS Mincho"/>
        </w:rPr>
        <w:t>NTN SIB</w:t>
      </w:r>
      <w:r w:rsidR="00B544B7">
        <w:rPr>
          <w:rFonts w:eastAsia="MS Mincho"/>
        </w:rPr>
        <w:t xml:space="preserve"> to refresh the ephemeris, </w:t>
      </w:r>
      <w:r w:rsidR="00EF5B54">
        <w:rPr>
          <w:rFonts w:eastAsia="MS Mincho"/>
        </w:rPr>
        <w:t xml:space="preserve">it can rely on prediction for </w:t>
      </w:r>
      <w:r w:rsidR="00EF5B54">
        <w:rPr>
          <w:rFonts w:eastAsia="MS Gothic"/>
          <w:kern w:val="28"/>
          <w:lang w:eastAsia="ja-JP"/>
        </w:rPr>
        <w:t>UE specific TA calculation and Doppler shift calculation</w:t>
      </w:r>
      <w:r w:rsidR="00A308EB">
        <w:rPr>
          <w:rFonts w:eastAsia="MS Mincho"/>
        </w:rPr>
        <w:t xml:space="preserve">. </w:t>
      </w:r>
      <w:r w:rsidR="009A30F1">
        <w:rPr>
          <w:rFonts w:eastAsia="MS Mincho"/>
        </w:rPr>
        <w:t xml:space="preserve">Both UE and </w:t>
      </w:r>
      <w:proofErr w:type="spellStart"/>
      <w:r w:rsidR="009A30F1">
        <w:rPr>
          <w:rFonts w:eastAsia="MS Mincho"/>
        </w:rPr>
        <w:t>gNB</w:t>
      </w:r>
      <w:proofErr w:type="spellEnd"/>
      <w:r w:rsidR="009A30F1">
        <w:rPr>
          <w:rFonts w:eastAsia="MS Mincho"/>
        </w:rPr>
        <w:t xml:space="preserve"> should have aligned understanding on the duration over which </w:t>
      </w:r>
      <w:r w:rsidR="00236816">
        <w:rPr>
          <w:rFonts w:eastAsia="MS Mincho"/>
        </w:rPr>
        <w:t>prediction-based</w:t>
      </w:r>
      <w:r w:rsidR="009A30F1">
        <w:rPr>
          <w:rFonts w:eastAsia="MS Mincho"/>
        </w:rPr>
        <w:t xml:space="preserve"> </w:t>
      </w:r>
      <w:r w:rsidR="00642771">
        <w:rPr>
          <w:rFonts w:eastAsia="MS Mincho"/>
        </w:rPr>
        <w:t xml:space="preserve">TA and Doppler shift calculations </w:t>
      </w:r>
      <w:r w:rsidR="00236816">
        <w:rPr>
          <w:rFonts w:eastAsia="MS Mincho"/>
        </w:rPr>
        <w:t>are</w:t>
      </w:r>
      <w:r w:rsidR="00642771">
        <w:rPr>
          <w:rFonts w:eastAsia="MS Mincho"/>
        </w:rPr>
        <w:t xml:space="preserve"> accurate so that periodicity of ephemeris broadcast is set such that UE asynchronization can be avoided. </w:t>
      </w:r>
    </w:p>
    <w:p w14:paraId="4481F040" w14:textId="07A40EEF" w:rsidR="0064317F" w:rsidRDefault="0064317F" w:rsidP="0064317F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 w:rsidR="007F39D8">
        <w:rPr>
          <w:i/>
          <w:iCs/>
          <w:lang w:eastAsia="zh-CN"/>
        </w:rPr>
        <w:t>Validity timer is s</w:t>
      </w:r>
      <w:r w:rsidR="00C40C26">
        <w:rPr>
          <w:i/>
          <w:iCs/>
          <w:lang w:eastAsia="zh-CN"/>
        </w:rPr>
        <w:t>et/reset</w:t>
      </w:r>
      <w:r w:rsidR="007F39D8">
        <w:rPr>
          <w:i/>
          <w:iCs/>
          <w:lang w:eastAsia="zh-CN"/>
        </w:rPr>
        <w:t xml:space="preserve"> upon acquiring </w:t>
      </w:r>
      <w:r w:rsidR="00C40C26" w:rsidRPr="00C40C26">
        <w:rPr>
          <w:i/>
          <w:iCs/>
          <w:lang w:eastAsia="zh-CN"/>
        </w:rPr>
        <w:t>information required for uplink synchronization</w:t>
      </w:r>
      <w:r w:rsidR="00B35C3C">
        <w:rPr>
          <w:i/>
          <w:iCs/>
          <w:lang w:eastAsia="zh-CN"/>
        </w:rPr>
        <w:t>.</w:t>
      </w:r>
    </w:p>
    <w:p w14:paraId="26A0C298" w14:textId="77777777" w:rsidR="00322932" w:rsidRPr="007E79AB" w:rsidRDefault="00322932" w:rsidP="007E79AB"/>
    <w:p w14:paraId="64141AB6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7" w:name="_Ref124589665"/>
      <w:bookmarkStart w:id="8" w:name="_Ref71620620"/>
      <w:bookmarkStart w:id="9" w:name="_Ref124671424"/>
      <w:r>
        <w:rPr>
          <w:rFonts w:hint="eastAsia"/>
          <w:lang w:eastAsia="zh-CN"/>
        </w:rPr>
        <w:t>Conclusion</w:t>
      </w:r>
    </w:p>
    <w:p w14:paraId="72519D1E" w14:textId="64872612" w:rsidR="00364697" w:rsidRDefault="00364697" w:rsidP="00364697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discussion, we</w:t>
      </w:r>
      <w:r>
        <w:rPr>
          <w:lang w:eastAsia="zh-CN"/>
        </w:rPr>
        <w:t xml:space="preserve"> have the following observations and proposals.</w:t>
      </w:r>
    </w:p>
    <w:bookmarkEnd w:id="3"/>
    <w:bookmarkEnd w:id="7"/>
    <w:bookmarkEnd w:id="8"/>
    <w:bookmarkEnd w:id="9"/>
    <w:p w14:paraId="4E60BD74" w14:textId="127C6B21" w:rsidR="00696DB4" w:rsidRDefault="00696DB4" w:rsidP="00696DB4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r>
        <w:rPr>
          <w:i/>
          <w:iCs/>
          <w:lang w:eastAsia="zh-CN"/>
        </w:rPr>
        <w:t>Support UL gaps during long transmission to avoid phase discontinuity between segments</w:t>
      </w:r>
      <w:r w:rsidRPr="009E1E2B">
        <w:rPr>
          <w:i/>
          <w:iCs/>
          <w:lang w:eastAsia="zh-CN"/>
        </w:rPr>
        <w:t>.</w:t>
      </w:r>
    </w:p>
    <w:p w14:paraId="7050EEF1" w14:textId="77777777" w:rsidR="00696DB4" w:rsidRDefault="00696DB4" w:rsidP="00696DB4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Length of segment and gap between pre-compensation segments is configured by the network. Time unit is the same as the </w:t>
      </w:r>
      <w:r w:rsidRPr="005E5563">
        <w:rPr>
          <w:i/>
          <w:iCs/>
          <w:lang w:eastAsia="zh-CN"/>
        </w:rPr>
        <w:t>PUSCH</w:t>
      </w:r>
      <w:r>
        <w:rPr>
          <w:i/>
          <w:iCs/>
          <w:lang w:eastAsia="zh-CN"/>
        </w:rPr>
        <w:t>/</w:t>
      </w:r>
      <w:r w:rsidRPr="005E5563">
        <w:rPr>
          <w:i/>
          <w:iCs/>
          <w:lang w:eastAsia="zh-CN"/>
        </w:rPr>
        <w:t>PRACH preamble repetition unit.</w:t>
      </w:r>
    </w:p>
    <w:p w14:paraId="60D22143" w14:textId="77777777" w:rsidR="00236816" w:rsidRDefault="00236816" w:rsidP="00236816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Validity timer is set/reset upon acquiring </w:t>
      </w:r>
      <w:r w:rsidRPr="00C40C26">
        <w:rPr>
          <w:i/>
          <w:iCs/>
          <w:lang w:eastAsia="zh-CN"/>
        </w:rPr>
        <w:t>information required for uplink synchronization</w:t>
      </w:r>
      <w:r>
        <w:rPr>
          <w:i/>
          <w:iCs/>
          <w:lang w:eastAsia="zh-CN"/>
        </w:rPr>
        <w:t>.</w:t>
      </w:r>
    </w:p>
    <w:p w14:paraId="6E2E09BD" w14:textId="77777777" w:rsidR="004B2F31" w:rsidRPr="004B2F31" w:rsidRDefault="004B2F31" w:rsidP="004B2F31">
      <w:pPr>
        <w:rPr>
          <w:i/>
          <w:iCs/>
          <w:lang w:eastAsia="zh-CN"/>
        </w:rPr>
      </w:pPr>
    </w:p>
    <w:p w14:paraId="5C1CE7FE" w14:textId="77777777" w:rsidR="00364697" w:rsidRPr="00AA7070" w:rsidRDefault="00364697" w:rsidP="00364697">
      <w:pPr>
        <w:pStyle w:val="Heading1"/>
        <w:spacing w:before="240"/>
        <w:ind w:left="578" w:hanging="578"/>
        <w:rPr>
          <w:lang w:eastAsia="zh-CN"/>
        </w:rPr>
      </w:pPr>
      <w:r w:rsidRPr="00AA7070">
        <w:rPr>
          <w:lang w:eastAsia="zh-CN"/>
        </w:rPr>
        <w:t>References</w:t>
      </w:r>
    </w:p>
    <w:p w14:paraId="2AACC92C" w14:textId="16D46598" w:rsidR="00C71012" w:rsidRPr="00C71012" w:rsidRDefault="00364697" w:rsidP="00C71012">
      <w:pPr>
        <w:pStyle w:val="BodyText"/>
        <w:rPr>
          <w:rFonts w:eastAsia="STKaiti"/>
        </w:rPr>
      </w:pPr>
      <w:r w:rsidRPr="005C217B">
        <w:rPr>
          <w:sz w:val="22"/>
          <w:szCs w:val="22"/>
        </w:rPr>
        <w:t xml:space="preserve">[1] </w:t>
      </w:r>
      <w:bookmarkStart w:id="10" w:name="_Ref534892461"/>
      <w:r w:rsidR="00C71012">
        <w:rPr>
          <w:sz w:val="22"/>
          <w:szCs w:val="22"/>
        </w:rPr>
        <w:t>RP-</w:t>
      </w:r>
      <w:r w:rsidR="00CD6746">
        <w:rPr>
          <w:sz w:val="22"/>
          <w:szCs w:val="22"/>
        </w:rPr>
        <w:t>211601</w:t>
      </w:r>
      <w:r w:rsidR="00C71012">
        <w:rPr>
          <w:sz w:val="22"/>
          <w:szCs w:val="22"/>
        </w:rPr>
        <w:t>, “</w:t>
      </w:r>
      <w:r w:rsidR="00CD6746">
        <w:rPr>
          <w:sz w:val="22"/>
          <w:szCs w:val="22"/>
        </w:rPr>
        <w:t xml:space="preserve">WID </w:t>
      </w:r>
      <w:r w:rsidR="00CD6746" w:rsidRPr="00CD6746">
        <w:rPr>
          <w:sz w:val="22"/>
          <w:szCs w:val="22"/>
        </w:rPr>
        <w:t>on NB-IoT/</w:t>
      </w:r>
      <w:proofErr w:type="spellStart"/>
      <w:r w:rsidR="00CD6746" w:rsidRPr="00CD6746">
        <w:rPr>
          <w:sz w:val="22"/>
          <w:szCs w:val="22"/>
        </w:rPr>
        <w:t>eMTC</w:t>
      </w:r>
      <w:proofErr w:type="spellEnd"/>
      <w:r w:rsidR="00CD6746" w:rsidRPr="00CD6746">
        <w:rPr>
          <w:sz w:val="22"/>
          <w:szCs w:val="22"/>
        </w:rPr>
        <w:t xml:space="preserve"> support for NTN </w:t>
      </w:r>
      <w:r w:rsidR="00C71012">
        <w:rPr>
          <w:sz w:val="22"/>
          <w:szCs w:val="22"/>
        </w:rPr>
        <w:t>NR-NTN</w:t>
      </w:r>
      <w:r w:rsidR="00C71012">
        <w:t xml:space="preserve">”, </w:t>
      </w:r>
      <w:r w:rsidR="00C71012">
        <w:rPr>
          <w:sz w:val="22"/>
          <w:szCs w:val="22"/>
        </w:rPr>
        <w:t>RAN #</w:t>
      </w:r>
      <w:r w:rsidR="00CD6746">
        <w:rPr>
          <w:sz w:val="22"/>
          <w:szCs w:val="22"/>
        </w:rPr>
        <w:t>92-e</w:t>
      </w:r>
      <w:r w:rsidR="00C71012">
        <w:rPr>
          <w:sz w:val="22"/>
          <w:szCs w:val="22"/>
        </w:rPr>
        <w:t xml:space="preserve">, </w:t>
      </w:r>
      <w:r w:rsidR="00CD6746">
        <w:rPr>
          <w:sz w:val="22"/>
          <w:szCs w:val="22"/>
        </w:rPr>
        <w:t>Jun</w:t>
      </w:r>
      <w:r w:rsidR="00C71012">
        <w:rPr>
          <w:sz w:val="22"/>
          <w:szCs w:val="22"/>
        </w:rPr>
        <w:t>. 20</w:t>
      </w:r>
      <w:r w:rsidR="00CD6746">
        <w:rPr>
          <w:sz w:val="22"/>
          <w:szCs w:val="22"/>
        </w:rPr>
        <w:t>21</w:t>
      </w:r>
      <w:r w:rsidR="00C71012">
        <w:rPr>
          <w:sz w:val="22"/>
          <w:szCs w:val="22"/>
        </w:rPr>
        <w:t>.</w:t>
      </w:r>
      <w:bookmarkEnd w:id="10"/>
    </w:p>
    <w:p w14:paraId="3CFDFFF7" w14:textId="610A9D5B" w:rsidR="006F2E11" w:rsidRDefault="00364697" w:rsidP="006F2E11">
      <w:pPr>
        <w:rPr>
          <w:lang w:eastAsia="ja-JP"/>
        </w:rPr>
      </w:pPr>
      <w:r w:rsidRPr="005C217B">
        <w:t xml:space="preserve">[2] </w:t>
      </w:r>
      <w:r w:rsidR="00053FE0">
        <w:rPr>
          <w:lang w:eastAsia="ja-JP"/>
        </w:rPr>
        <w:t>TR 36.763</w:t>
      </w:r>
      <w:r w:rsidR="00964D33">
        <w:rPr>
          <w:lang w:eastAsia="ja-JP"/>
        </w:rPr>
        <w:t xml:space="preserve"> V17.0.0</w:t>
      </w:r>
      <w:r w:rsidR="006F2E11" w:rsidRPr="006259B8">
        <w:rPr>
          <w:lang w:eastAsia="ja-JP"/>
        </w:rPr>
        <w:t>, 3GPP TSG RAN</w:t>
      </w:r>
      <w:r w:rsidR="00964D33">
        <w:rPr>
          <w:lang w:eastAsia="ja-JP"/>
        </w:rPr>
        <w:t>;</w:t>
      </w:r>
      <w:r w:rsidR="006F2E11" w:rsidRPr="006259B8">
        <w:rPr>
          <w:lang w:eastAsia="ja-JP"/>
        </w:rPr>
        <w:t xml:space="preserve"> </w:t>
      </w:r>
      <w:r w:rsidR="00964D33" w:rsidRPr="00964D33">
        <w:rPr>
          <w:lang w:eastAsia="ja-JP"/>
        </w:rPr>
        <w:t>Study on Narrow-Band Internet of Things (NB-IoT) / enhanced Machine Type Communication (</w:t>
      </w:r>
      <w:proofErr w:type="spellStart"/>
      <w:r w:rsidR="00964D33" w:rsidRPr="00964D33">
        <w:rPr>
          <w:lang w:eastAsia="ja-JP"/>
        </w:rPr>
        <w:t>eMTC</w:t>
      </w:r>
      <w:proofErr w:type="spellEnd"/>
      <w:r w:rsidR="00964D33" w:rsidRPr="00964D33">
        <w:rPr>
          <w:lang w:eastAsia="ja-JP"/>
        </w:rPr>
        <w:t>) support for Non-Terrestrial</w:t>
      </w:r>
      <w:r w:rsidR="00964D33">
        <w:rPr>
          <w:lang w:eastAsia="ja-JP"/>
        </w:rPr>
        <w:t xml:space="preserve"> Networks (NTN) (Release 17)</w:t>
      </w:r>
      <w:r w:rsidR="006F2E11" w:rsidRPr="006259B8">
        <w:rPr>
          <w:lang w:eastAsia="ja-JP"/>
        </w:rPr>
        <w:t xml:space="preserve">, </w:t>
      </w:r>
      <w:r w:rsidR="00964D33">
        <w:rPr>
          <w:lang w:eastAsia="ja-JP"/>
        </w:rPr>
        <w:t>June</w:t>
      </w:r>
      <w:r w:rsidR="006F2E11" w:rsidRPr="006259B8">
        <w:rPr>
          <w:lang w:eastAsia="ja-JP"/>
        </w:rPr>
        <w:t xml:space="preserve"> 202</w:t>
      </w:r>
      <w:r w:rsidR="006F2E11">
        <w:rPr>
          <w:lang w:eastAsia="ja-JP"/>
        </w:rPr>
        <w:t>1</w:t>
      </w:r>
      <w:r w:rsidR="006F2E11" w:rsidRPr="006259B8">
        <w:rPr>
          <w:lang w:eastAsia="ja-JP"/>
        </w:rPr>
        <w:t>.</w:t>
      </w:r>
    </w:p>
    <w:p w14:paraId="6F4386CB" w14:textId="7C38AF24" w:rsidR="00FB3D35" w:rsidRDefault="00FB3D35" w:rsidP="006F2E11">
      <w:pPr>
        <w:rPr>
          <w:lang w:eastAsia="ja-JP"/>
        </w:rPr>
      </w:pPr>
      <w:r>
        <w:rPr>
          <w:lang w:eastAsia="ja-JP"/>
        </w:rPr>
        <w:t xml:space="preserve">[3] </w:t>
      </w:r>
      <w:r w:rsidRPr="006259B8">
        <w:rPr>
          <w:lang w:eastAsia="ja-JP"/>
        </w:rPr>
        <w:t>RAN1 Chairman’s Note, 3GPP TSG RAN WG1 Meeting #10</w:t>
      </w:r>
      <w:r>
        <w:rPr>
          <w:lang w:eastAsia="ja-JP"/>
        </w:rPr>
        <w:t>5</w:t>
      </w:r>
      <w:r w:rsidRPr="006259B8">
        <w:rPr>
          <w:lang w:eastAsia="ja-JP"/>
        </w:rPr>
        <w:t xml:space="preserve">-e, e-Meeting, </w:t>
      </w:r>
      <w:r>
        <w:rPr>
          <w:lang w:eastAsia="ja-JP"/>
        </w:rPr>
        <w:t>May 10th – 27</w:t>
      </w:r>
      <w:r w:rsidRPr="006259B8">
        <w:rPr>
          <w:lang w:eastAsia="ja-JP"/>
        </w:rPr>
        <w:t>th, 202</w:t>
      </w:r>
      <w:r>
        <w:rPr>
          <w:lang w:eastAsia="ja-JP"/>
        </w:rPr>
        <w:t>1</w:t>
      </w:r>
      <w:r w:rsidRPr="006259B8">
        <w:rPr>
          <w:lang w:eastAsia="ja-JP"/>
        </w:rPr>
        <w:t>.</w:t>
      </w:r>
    </w:p>
    <w:p w14:paraId="1C6137E1" w14:textId="367BC98B" w:rsidR="005402D2" w:rsidRPr="00364697" w:rsidRDefault="004009F5" w:rsidP="00C8779E">
      <w:r>
        <w:rPr>
          <w:lang w:eastAsia="ja-JP"/>
        </w:rPr>
        <w:t>[4] R1-2104448, “</w:t>
      </w:r>
      <w:r w:rsidRPr="004009F5">
        <w:rPr>
          <w:lang w:eastAsia="ja-JP"/>
        </w:rPr>
        <w:t>Consideration on enhancements to time and frequency synchronization for IOT NTN</w:t>
      </w:r>
      <w:r>
        <w:rPr>
          <w:lang w:eastAsia="ja-JP"/>
        </w:rPr>
        <w:t>,” R1-105-e, May. 2021.</w:t>
      </w:r>
    </w:p>
    <w:sectPr w:rsidR="005402D2" w:rsidRPr="00364697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E4B2D"/>
    <w:multiLevelType w:val="hybridMultilevel"/>
    <w:tmpl w:val="7CAAE4AC"/>
    <w:lvl w:ilvl="0" w:tplc="17DE1B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5DA4C0A"/>
    <w:multiLevelType w:val="hybridMultilevel"/>
    <w:tmpl w:val="DCECF34E"/>
    <w:lvl w:ilvl="0" w:tplc="A2AAF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4D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62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4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CA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0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44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45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50D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2D0AAB"/>
    <w:multiLevelType w:val="hybridMultilevel"/>
    <w:tmpl w:val="FFC60F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3F01F3"/>
    <w:multiLevelType w:val="hybridMultilevel"/>
    <w:tmpl w:val="D29AFC5A"/>
    <w:lvl w:ilvl="0" w:tplc="639E434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70C4F"/>
    <w:multiLevelType w:val="hybridMultilevel"/>
    <w:tmpl w:val="D1CAC728"/>
    <w:lvl w:ilvl="0" w:tplc="639E4342">
      <w:numFmt w:val="bullet"/>
      <w:lvlText w:val="-"/>
      <w:lvlJc w:val="left"/>
      <w:pPr>
        <w:ind w:left="780" w:hanging="360"/>
      </w:pPr>
      <w:rPr>
        <w:rFonts w:ascii="Malgun Gothic" w:eastAsia="Malgun Gothic" w:hAnsi="Malgun Gothic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EF86C94"/>
    <w:multiLevelType w:val="hybridMultilevel"/>
    <w:tmpl w:val="75B2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80141"/>
    <w:multiLevelType w:val="hybridMultilevel"/>
    <w:tmpl w:val="AC2CC70C"/>
    <w:lvl w:ilvl="0" w:tplc="639E43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eastAsia="Malgun Gothic" w:hAnsi="Malgun Gothic" w:cs="Times New Roman" w:hint="eastAsia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35C5EAD"/>
    <w:multiLevelType w:val="hybridMultilevel"/>
    <w:tmpl w:val="CED8B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B92053"/>
    <w:multiLevelType w:val="hybridMultilevel"/>
    <w:tmpl w:val="56A09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121C50"/>
    <w:multiLevelType w:val="hybridMultilevel"/>
    <w:tmpl w:val="AE2EC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9E4237"/>
    <w:multiLevelType w:val="hybridMultilevel"/>
    <w:tmpl w:val="DE202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403C4"/>
    <w:multiLevelType w:val="multilevel"/>
    <w:tmpl w:val="51C40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81D07"/>
    <w:multiLevelType w:val="hybridMultilevel"/>
    <w:tmpl w:val="AC782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D0817"/>
    <w:multiLevelType w:val="hybridMultilevel"/>
    <w:tmpl w:val="35624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7"/>
  </w:num>
  <w:num w:numId="5">
    <w:abstractNumId w:val="2"/>
  </w:num>
  <w:num w:numId="6">
    <w:abstractNumId w:val="18"/>
  </w:num>
  <w:num w:numId="7">
    <w:abstractNumId w:val="12"/>
  </w:num>
  <w:num w:numId="8">
    <w:abstractNumId w:val="1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9"/>
  </w:num>
  <w:num w:numId="12">
    <w:abstractNumId w:val="3"/>
  </w:num>
  <w:num w:numId="13">
    <w:abstractNumId w:val="10"/>
  </w:num>
  <w:num w:numId="14">
    <w:abstractNumId w:val="7"/>
  </w:num>
  <w:num w:numId="15">
    <w:abstractNumId w:val="6"/>
  </w:num>
  <w:num w:numId="16">
    <w:abstractNumId w:val="4"/>
  </w:num>
  <w:num w:numId="17">
    <w:abstractNumId w:val="15"/>
  </w:num>
  <w:num w:numId="18">
    <w:abstractNumId w:val="9"/>
  </w:num>
  <w:num w:numId="19">
    <w:abstractNumId w:val="8"/>
  </w:num>
  <w:num w:numId="20">
    <w:abstractNumId w:val="20"/>
  </w:num>
  <w:num w:numId="21">
    <w:abstractNumId w:val="13"/>
  </w:num>
  <w:num w:numId="22">
    <w:abstractNumId w:val="6"/>
  </w:num>
  <w:num w:numId="23">
    <w:abstractNumId w:val="14"/>
  </w:num>
  <w:num w:numId="24">
    <w:abstractNumId w:val="5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8B"/>
    <w:rsid w:val="00000C01"/>
    <w:rsid w:val="000019FB"/>
    <w:rsid w:val="000507E6"/>
    <w:rsid w:val="00053FE0"/>
    <w:rsid w:val="0007288C"/>
    <w:rsid w:val="000757FA"/>
    <w:rsid w:val="000763D8"/>
    <w:rsid w:val="000824CF"/>
    <w:rsid w:val="00095B6F"/>
    <w:rsid w:val="000A14EB"/>
    <w:rsid w:val="000A6658"/>
    <w:rsid w:val="000A73B0"/>
    <w:rsid w:val="000B2849"/>
    <w:rsid w:val="000B6DE3"/>
    <w:rsid w:val="000C1D78"/>
    <w:rsid w:val="000C6377"/>
    <w:rsid w:val="000D10E1"/>
    <w:rsid w:val="000D7872"/>
    <w:rsid w:val="000E1B80"/>
    <w:rsid w:val="00107CD5"/>
    <w:rsid w:val="0011389A"/>
    <w:rsid w:val="00131120"/>
    <w:rsid w:val="00131511"/>
    <w:rsid w:val="001424CD"/>
    <w:rsid w:val="001425C8"/>
    <w:rsid w:val="001514EB"/>
    <w:rsid w:val="0015642E"/>
    <w:rsid w:val="00165B6A"/>
    <w:rsid w:val="0017784C"/>
    <w:rsid w:val="00190321"/>
    <w:rsid w:val="00192A25"/>
    <w:rsid w:val="001E6A44"/>
    <w:rsid w:val="001F6F39"/>
    <w:rsid w:val="002221FF"/>
    <w:rsid w:val="00233EB0"/>
    <w:rsid w:val="00236816"/>
    <w:rsid w:val="002464B7"/>
    <w:rsid w:val="00246FD8"/>
    <w:rsid w:val="002509ED"/>
    <w:rsid w:val="002827E5"/>
    <w:rsid w:val="002A7157"/>
    <w:rsid w:val="002B47EA"/>
    <w:rsid w:val="002F6CDA"/>
    <w:rsid w:val="002F71FA"/>
    <w:rsid w:val="00302E27"/>
    <w:rsid w:val="00305FCE"/>
    <w:rsid w:val="003160AB"/>
    <w:rsid w:val="00316FAC"/>
    <w:rsid w:val="00317350"/>
    <w:rsid w:val="00320419"/>
    <w:rsid w:val="00322932"/>
    <w:rsid w:val="003257F4"/>
    <w:rsid w:val="00343793"/>
    <w:rsid w:val="00364697"/>
    <w:rsid w:val="00367085"/>
    <w:rsid w:val="00372A94"/>
    <w:rsid w:val="003744A8"/>
    <w:rsid w:val="0037575C"/>
    <w:rsid w:val="0038408C"/>
    <w:rsid w:val="003B2BCA"/>
    <w:rsid w:val="003D5079"/>
    <w:rsid w:val="003D770A"/>
    <w:rsid w:val="003F3E1F"/>
    <w:rsid w:val="004009F5"/>
    <w:rsid w:val="00402744"/>
    <w:rsid w:val="00413808"/>
    <w:rsid w:val="0044436D"/>
    <w:rsid w:val="00461423"/>
    <w:rsid w:val="004B2F31"/>
    <w:rsid w:val="004B6A4B"/>
    <w:rsid w:val="004C7E87"/>
    <w:rsid w:val="004D1858"/>
    <w:rsid w:val="004E4F08"/>
    <w:rsid w:val="004E66DE"/>
    <w:rsid w:val="004F4BF8"/>
    <w:rsid w:val="0050217E"/>
    <w:rsid w:val="0050416C"/>
    <w:rsid w:val="005146B2"/>
    <w:rsid w:val="005173E0"/>
    <w:rsid w:val="005238D7"/>
    <w:rsid w:val="0055064E"/>
    <w:rsid w:val="00554815"/>
    <w:rsid w:val="0057786B"/>
    <w:rsid w:val="00587D09"/>
    <w:rsid w:val="005919D1"/>
    <w:rsid w:val="005A3EAB"/>
    <w:rsid w:val="005A448C"/>
    <w:rsid w:val="005B2663"/>
    <w:rsid w:val="005D6059"/>
    <w:rsid w:val="005D73E4"/>
    <w:rsid w:val="005E0B03"/>
    <w:rsid w:val="005E5563"/>
    <w:rsid w:val="0060503D"/>
    <w:rsid w:val="00607096"/>
    <w:rsid w:val="00611BE3"/>
    <w:rsid w:val="00641BB5"/>
    <w:rsid w:val="00642771"/>
    <w:rsid w:val="0064317F"/>
    <w:rsid w:val="0067634A"/>
    <w:rsid w:val="006960B2"/>
    <w:rsid w:val="00696DB4"/>
    <w:rsid w:val="006A2C6E"/>
    <w:rsid w:val="006A52FB"/>
    <w:rsid w:val="006B0FA9"/>
    <w:rsid w:val="006C0EED"/>
    <w:rsid w:val="006D1F3B"/>
    <w:rsid w:val="006E57E2"/>
    <w:rsid w:val="006F2E11"/>
    <w:rsid w:val="006F3782"/>
    <w:rsid w:val="0070087B"/>
    <w:rsid w:val="00706310"/>
    <w:rsid w:val="00711BC2"/>
    <w:rsid w:val="00717570"/>
    <w:rsid w:val="00726FDA"/>
    <w:rsid w:val="00742078"/>
    <w:rsid w:val="00742173"/>
    <w:rsid w:val="007501A1"/>
    <w:rsid w:val="00764767"/>
    <w:rsid w:val="0079634C"/>
    <w:rsid w:val="00796F07"/>
    <w:rsid w:val="007A7965"/>
    <w:rsid w:val="007B43C2"/>
    <w:rsid w:val="007C50A4"/>
    <w:rsid w:val="007E79AB"/>
    <w:rsid w:val="007F39D8"/>
    <w:rsid w:val="007F433B"/>
    <w:rsid w:val="007F478A"/>
    <w:rsid w:val="00801058"/>
    <w:rsid w:val="0080219F"/>
    <w:rsid w:val="008046E2"/>
    <w:rsid w:val="00824C9D"/>
    <w:rsid w:val="00825706"/>
    <w:rsid w:val="00832F7B"/>
    <w:rsid w:val="00836F43"/>
    <w:rsid w:val="0085205D"/>
    <w:rsid w:val="00856AA6"/>
    <w:rsid w:val="0088185F"/>
    <w:rsid w:val="00894607"/>
    <w:rsid w:val="00897B02"/>
    <w:rsid w:val="008A5FF2"/>
    <w:rsid w:val="008E30E2"/>
    <w:rsid w:val="008F4CD1"/>
    <w:rsid w:val="00906967"/>
    <w:rsid w:val="00914878"/>
    <w:rsid w:val="00916629"/>
    <w:rsid w:val="00917F21"/>
    <w:rsid w:val="009309C4"/>
    <w:rsid w:val="0093347B"/>
    <w:rsid w:val="00935866"/>
    <w:rsid w:val="009359C1"/>
    <w:rsid w:val="00957E62"/>
    <w:rsid w:val="00963248"/>
    <w:rsid w:val="00964D33"/>
    <w:rsid w:val="00973755"/>
    <w:rsid w:val="00997359"/>
    <w:rsid w:val="0099788A"/>
    <w:rsid w:val="009A1E2F"/>
    <w:rsid w:val="009A30F1"/>
    <w:rsid w:val="009A5584"/>
    <w:rsid w:val="009B1DA4"/>
    <w:rsid w:val="009D21AF"/>
    <w:rsid w:val="009E04D4"/>
    <w:rsid w:val="009E336D"/>
    <w:rsid w:val="009E4735"/>
    <w:rsid w:val="009F02E2"/>
    <w:rsid w:val="009F21B6"/>
    <w:rsid w:val="009F4D12"/>
    <w:rsid w:val="009F72C8"/>
    <w:rsid w:val="009F76D9"/>
    <w:rsid w:val="00A004FB"/>
    <w:rsid w:val="00A07516"/>
    <w:rsid w:val="00A20CA6"/>
    <w:rsid w:val="00A308EB"/>
    <w:rsid w:val="00A36E9B"/>
    <w:rsid w:val="00A41BDE"/>
    <w:rsid w:val="00A43083"/>
    <w:rsid w:val="00A51454"/>
    <w:rsid w:val="00A6287B"/>
    <w:rsid w:val="00A66E29"/>
    <w:rsid w:val="00A67A25"/>
    <w:rsid w:val="00A71B0E"/>
    <w:rsid w:val="00A8758B"/>
    <w:rsid w:val="00A94135"/>
    <w:rsid w:val="00A941AF"/>
    <w:rsid w:val="00A959A3"/>
    <w:rsid w:val="00AC2761"/>
    <w:rsid w:val="00AD1096"/>
    <w:rsid w:val="00AD523C"/>
    <w:rsid w:val="00AE4598"/>
    <w:rsid w:val="00AF3370"/>
    <w:rsid w:val="00AF50F2"/>
    <w:rsid w:val="00B05C00"/>
    <w:rsid w:val="00B35C3C"/>
    <w:rsid w:val="00B40AF7"/>
    <w:rsid w:val="00B42CF8"/>
    <w:rsid w:val="00B544B7"/>
    <w:rsid w:val="00B553E6"/>
    <w:rsid w:val="00B56CF4"/>
    <w:rsid w:val="00B87F82"/>
    <w:rsid w:val="00B9445C"/>
    <w:rsid w:val="00BA39F7"/>
    <w:rsid w:val="00BA50FA"/>
    <w:rsid w:val="00BC14B6"/>
    <w:rsid w:val="00BD66D9"/>
    <w:rsid w:val="00BF47D2"/>
    <w:rsid w:val="00C004A0"/>
    <w:rsid w:val="00C02A15"/>
    <w:rsid w:val="00C36A73"/>
    <w:rsid w:val="00C40C26"/>
    <w:rsid w:val="00C600C4"/>
    <w:rsid w:val="00C612EB"/>
    <w:rsid w:val="00C71012"/>
    <w:rsid w:val="00C72C52"/>
    <w:rsid w:val="00C77B5B"/>
    <w:rsid w:val="00C8779E"/>
    <w:rsid w:val="00CA2864"/>
    <w:rsid w:val="00CA57FC"/>
    <w:rsid w:val="00CA7BC6"/>
    <w:rsid w:val="00CB2991"/>
    <w:rsid w:val="00CB4425"/>
    <w:rsid w:val="00CD6746"/>
    <w:rsid w:val="00CD7038"/>
    <w:rsid w:val="00CE5203"/>
    <w:rsid w:val="00CF2B18"/>
    <w:rsid w:val="00CF59D7"/>
    <w:rsid w:val="00D01AE1"/>
    <w:rsid w:val="00D146B2"/>
    <w:rsid w:val="00D35F7A"/>
    <w:rsid w:val="00D40834"/>
    <w:rsid w:val="00D421F2"/>
    <w:rsid w:val="00D5334F"/>
    <w:rsid w:val="00D6386E"/>
    <w:rsid w:val="00D67053"/>
    <w:rsid w:val="00D72F36"/>
    <w:rsid w:val="00D815F6"/>
    <w:rsid w:val="00D842A0"/>
    <w:rsid w:val="00D95EE4"/>
    <w:rsid w:val="00DB3906"/>
    <w:rsid w:val="00DC2829"/>
    <w:rsid w:val="00DD4AC0"/>
    <w:rsid w:val="00DE3091"/>
    <w:rsid w:val="00DE77B3"/>
    <w:rsid w:val="00E02E46"/>
    <w:rsid w:val="00E04CC6"/>
    <w:rsid w:val="00E20885"/>
    <w:rsid w:val="00E23AC3"/>
    <w:rsid w:val="00E25189"/>
    <w:rsid w:val="00E52FBE"/>
    <w:rsid w:val="00E545B1"/>
    <w:rsid w:val="00E72256"/>
    <w:rsid w:val="00E76963"/>
    <w:rsid w:val="00E9500A"/>
    <w:rsid w:val="00EC089C"/>
    <w:rsid w:val="00EC650E"/>
    <w:rsid w:val="00ED2614"/>
    <w:rsid w:val="00EF0F78"/>
    <w:rsid w:val="00EF5B54"/>
    <w:rsid w:val="00F26242"/>
    <w:rsid w:val="00F31AB0"/>
    <w:rsid w:val="00F34D1A"/>
    <w:rsid w:val="00F40689"/>
    <w:rsid w:val="00F43DE2"/>
    <w:rsid w:val="00F50BF9"/>
    <w:rsid w:val="00F54165"/>
    <w:rsid w:val="00F56A2D"/>
    <w:rsid w:val="00F6285F"/>
    <w:rsid w:val="00F63A1C"/>
    <w:rsid w:val="00F71DB0"/>
    <w:rsid w:val="00F72667"/>
    <w:rsid w:val="00F826CF"/>
    <w:rsid w:val="00FB3D35"/>
    <w:rsid w:val="00FD6F71"/>
    <w:rsid w:val="00FE3F75"/>
    <w:rsid w:val="00FF2F44"/>
    <w:rsid w:val="00FF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A6F74"/>
  <w15:chartTrackingRefBased/>
  <w15:docId w15:val="{359A327F-DBEC-479A-8771-AB7C0B85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69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,1st level - Bullet List Paragraph,List Paragraph1,Lettre d'introduction,Paragrafo elenco,Normal bullet 2,Bullet list,Numbered List,リスト段落,列出段落1,¥¡¡¡¡ì¬º¥¹¥È¶ÎÂä,ÁÐ³ö¶ÎÂä,列表段落1"/>
    <w:basedOn w:val="Normal"/>
    <w:link w:val="ListParagraphChar"/>
    <w:uiPriority w:val="34"/>
    <w:qFormat/>
    <w:rsid w:val="009309C4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,1st level - Bullet List Paragraph Char,List Paragraph1 Char,Lettre d'introduction Char,Paragrafo elenco Char,Normal bullet 2 Char"/>
    <w:link w:val="ListParagraph"/>
    <w:uiPriority w:val="34"/>
    <w:qFormat/>
    <w:locked/>
    <w:rsid w:val="00C71012"/>
    <w:rPr>
      <w:rFonts w:ascii="Times New Roman" w:eastAsiaTheme="minorEastAsia" w:hAnsi="Times New Roman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611BE3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en-GB" w:eastAsia="en-GB"/>
    </w:rPr>
  </w:style>
  <w:style w:type="paragraph" w:customStyle="1" w:styleId="B1">
    <w:name w:val="B1"/>
    <w:basedOn w:val="List"/>
    <w:link w:val="B1Char"/>
    <w:qFormat/>
    <w:rsid w:val="000A6658"/>
    <w:pPr>
      <w:autoSpaceDE/>
      <w:autoSpaceDN/>
      <w:adjustRightInd/>
      <w:snapToGrid/>
      <w:spacing w:after="180"/>
      <w:ind w:left="568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0A6658"/>
    <w:rPr>
      <w:rFonts w:ascii="Times New Roman" w:eastAsia="Times New Roman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0A6658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42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60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01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9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1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9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0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91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779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1F75-399E-4EC5-8FD2-FEA8C7F5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Ayesha Ijaz</cp:lastModifiedBy>
  <cp:revision>2</cp:revision>
  <dcterms:created xsi:type="dcterms:W3CDTF">2021-08-06T09:34:00Z</dcterms:created>
  <dcterms:modified xsi:type="dcterms:W3CDTF">2021-08-06T09:34:00Z</dcterms:modified>
</cp:coreProperties>
</file>