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53FD6FC1"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w:t>
      </w:r>
      <w:r w:rsidR="00726840">
        <w:rPr>
          <w:rFonts w:ascii="Arial" w:eastAsia="Yu Mincho" w:hAnsi="Arial" w:cs="Arial"/>
          <w:b/>
          <w:bCs/>
          <w:noProof/>
          <w:sz w:val="24"/>
          <w:szCs w:val="24"/>
          <w:lang w:val="de-DE" w:eastAsia="ja-JP"/>
        </w:rPr>
        <w:t>106</w:t>
      </w:r>
      <w:r w:rsidR="00AF071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EE4A7D">
        <w:rPr>
          <w:rFonts w:ascii="Arial" w:eastAsia="Yu Mincho" w:hAnsi="Arial"/>
          <w:b/>
          <w:noProof/>
          <w:sz w:val="24"/>
          <w:szCs w:val="24"/>
          <w:lang w:val="de-DE"/>
        </w:rPr>
        <w:t>210</w:t>
      </w:r>
      <w:r w:rsidR="00FB4564">
        <w:rPr>
          <w:rFonts w:ascii="Arial" w:eastAsia="Yu Mincho" w:hAnsi="Arial"/>
          <w:b/>
          <w:noProof/>
          <w:sz w:val="24"/>
          <w:szCs w:val="24"/>
          <w:lang w:val="de-DE"/>
        </w:rPr>
        <w:t>6832</w:t>
      </w:r>
    </w:p>
    <w:p w14:paraId="5F8CFDD6" w14:textId="14D89DF7"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726840">
        <w:rPr>
          <w:rFonts w:ascii="Arial" w:hAnsi="Arial" w:cs="Arial"/>
          <w:b/>
          <w:bCs/>
          <w:sz w:val="24"/>
          <w:szCs w:val="24"/>
          <w:lang w:eastAsia="ja-JP"/>
        </w:rPr>
        <w:t>August</w:t>
      </w:r>
      <w:r>
        <w:rPr>
          <w:rFonts w:ascii="Arial" w:hAnsi="Arial" w:cs="Arial"/>
          <w:b/>
          <w:bCs/>
          <w:sz w:val="24"/>
          <w:szCs w:val="24"/>
          <w:lang w:eastAsia="ja-JP"/>
        </w:rPr>
        <w:t xml:space="preserve"> </w:t>
      </w:r>
      <w:r w:rsidR="00726840">
        <w:rPr>
          <w:rFonts w:ascii="Arial" w:hAnsi="Arial" w:cs="Arial"/>
          <w:b/>
          <w:bCs/>
          <w:sz w:val="24"/>
          <w:szCs w:val="24"/>
          <w:lang w:eastAsia="ja-JP"/>
        </w:rPr>
        <w:t>16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AF0715">
        <w:rPr>
          <w:rFonts w:ascii="Arial" w:hAnsi="Arial" w:cs="Arial"/>
          <w:b/>
          <w:bCs/>
          <w:sz w:val="24"/>
          <w:szCs w:val="24"/>
          <w:lang w:eastAsia="ja-JP"/>
        </w:rPr>
        <w:t xml:space="preserve"> 2</w:t>
      </w:r>
      <w:r w:rsidR="00726840">
        <w:rPr>
          <w:rFonts w:ascii="Arial" w:hAnsi="Arial" w:cs="Arial"/>
          <w:b/>
          <w:bCs/>
          <w:sz w:val="24"/>
          <w:szCs w:val="24"/>
          <w:lang w:eastAsia="ja-JP"/>
        </w:rPr>
        <w:t>7</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768F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136C3">
        <w:rPr>
          <w:rFonts w:ascii="Arial" w:eastAsia="MS Mincho" w:hAnsi="Arial"/>
          <w:sz w:val="24"/>
          <w:szCs w:val="24"/>
          <w:lang w:eastAsia="ja-JP"/>
        </w:rPr>
        <w:t>PDCC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monitoring enhancements</w:t>
      </w:r>
      <w:r w:rsidR="00A573CF">
        <w:rPr>
          <w:rFonts w:ascii="Arial" w:eastAsia="MS Mincho" w:hAnsi="Arial"/>
          <w:sz w:val="24"/>
          <w:szCs w:val="24"/>
          <w:lang w:eastAsia="ja-JP"/>
        </w:rPr>
        <w:t xml:space="preserve"> 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8734D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12502A7B" w:rsidR="00747357" w:rsidRDefault="00747357" w:rsidP="00917353">
      <w:pPr>
        <w:spacing w:beforeLines="50" w:before="120" w:after="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826A77">
        <w:rPr>
          <w:rFonts w:eastAsia="MS Mincho"/>
          <w:lang w:eastAsia="ja-JP"/>
        </w:rPr>
        <w:t>2</w:t>
      </w:r>
      <w:r w:rsidR="00A573CF">
        <w:rPr>
          <w:rFonts w:eastAsia="MS Mincho"/>
          <w:lang w:eastAsia="ja-JP"/>
        </w:rPr>
        <w:t>-e</w:t>
      </w:r>
      <w:r>
        <w:rPr>
          <w:rFonts w:eastAsia="MS Mincho"/>
          <w:lang w:eastAsia="ja-JP"/>
        </w:rPr>
        <w:t xml:space="preserve">, </w:t>
      </w:r>
      <w:r w:rsidR="00A573CF">
        <w:rPr>
          <w:rFonts w:eastAsia="MS Mincho"/>
          <w:lang w:eastAsia="ja-JP"/>
        </w:rPr>
        <w:t xml:space="preserve">a </w:t>
      </w:r>
      <w:r w:rsidR="00C22459">
        <w:rPr>
          <w:rFonts w:eastAsia="MS Mincho"/>
          <w:lang w:eastAsia="ja-JP"/>
        </w:rPr>
        <w:t>revised</w:t>
      </w:r>
      <w:r w:rsidR="00A573CF">
        <w:rPr>
          <w:rFonts w:eastAsia="MS Mincho"/>
          <w:lang w:eastAsia="ja-JP"/>
        </w:rPr>
        <w:t xml:space="preserve">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w:t>
      </w:r>
      <w:r w:rsidR="00DB0C63">
        <w:rPr>
          <w:rFonts w:eastAsia="MS Mincho"/>
          <w:lang w:eastAsia="ja-JP"/>
        </w:rPr>
        <w:t xml:space="preserve">related to PDCCH monitoring </w:t>
      </w:r>
      <w:r w:rsidR="00A573CF">
        <w:rPr>
          <w:rFonts w:eastAsia="MS Mincho"/>
          <w:lang w:eastAsia="ja-JP"/>
        </w:rPr>
        <w:t>in [1]:</w:t>
      </w:r>
    </w:p>
    <w:p w14:paraId="1565F8EE" w14:textId="77777777" w:rsidR="008D45FD" w:rsidRDefault="008D45FD" w:rsidP="00917353">
      <w:pPr>
        <w:spacing w:beforeLines="50" w:before="120" w:after="0"/>
        <w:jc w:val="both"/>
        <w:rPr>
          <w:rFonts w:eastAsia="MS Mincho"/>
          <w:lang w:eastAsia="ja-JP"/>
        </w:rPr>
      </w:pPr>
    </w:p>
    <w:p w14:paraId="3257AC0E" w14:textId="219DA3DD" w:rsidR="0075513B" w:rsidRPr="00213D57" w:rsidRDefault="0075513B" w:rsidP="006F425A">
      <w:pPr>
        <w:pStyle w:val="B1"/>
        <w:numPr>
          <w:ilvl w:val="0"/>
          <w:numId w:val="2"/>
        </w:numPr>
        <w:spacing w:after="0"/>
        <w:rPr>
          <w:i/>
          <w:iCs/>
          <w:lang w:eastAsia="ja-JP"/>
        </w:rPr>
      </w:pPr>
      <w:r w:rsidRPr="00213D57">
        <w:rPr>
          <w:rFonts w:hint="eastAsia"/>
          <w:i/>
          <w:iCs/>
          <w:lang w:eastAsia="ja-JP"/>
        </w:rPr>
        <w:t>Physical layer aspects</w:t>
      </w:r>
      <w:r w:rsidRPr="00213D57">
        <w:rPr>
          <w:i/>
          <w:iCs/>
          <w:lang w:eastAsia="ja-JP"/>
        </w:rPr>
        <w:t xml:space="preserve"> including [RAN1]</w:t>
      </w:r>
      <w:r w:rsidRPr="00213D57">
        <w:rPr>
          <w:rFonts w:hint="eastAsia"/>
          <w:i/>
          <w:iCs/>
          <w:lang w:eastAsia="ja-JP"/>
        </w:rPr>
        <w:t>:</w:t>
      </w:r>
    </w:p>
    <w:p w14:paraId="69FB44B5" w14:textId="77777777" w:rsidR="00213D57" w:rsidRPr="00213D57" w:rsidRDefault="00213D57" w:rsidP="00213D57">
      <w:pPr>
        <w:pStyle w:val="B1"/>
        <w:numPr>
          <w:ilvl w:val="1"/>
          <w:numId w:val="2"/>
        </w:numPr>
        <w:spacing w:before="180"/>
        <w:textAlignment w:val="auto"/>
        <w:rPr>
          <w:i/>
          <w:iCs/>
          <w:lang w:eastAsia="ja-JP"/>
        </w:rPr>
      </w:pPr>
      <w:bookmarkStart w:id="0" w:name="_Hlk58583563"/>
      <w:bookmarkStart w:id="1" w:name="_Hlk26996217"/>
      <w:r w:rsidRPr="00213D57">
        <w:rPr>
          <w:i/>
          <w:iCs/>
          <w:lang w:eastAsia="ja-JP"/>
        </w:rPr>
        <w:t xml:space="preserve">In addition to 120kHz SCS, specify </w:t>
      </w:r>
      <w:r w:rsidRPr="00213D57">
        <w:rPr>
          <w:i/>
          <w:iCs/>
          <w:lang w:eastAsia="zh-CN"/>
        </w:rPr>
        <w:t xml:space="preserve">new SCS, </w:t>
      </w:r>
      <w:r w:rsidRPr="00213D57">
        <w:rPr>
          <w:i/>
          <w:iCs/>
          <w:lang w:eastAsia="ja-JP"/>
        </w:rPr>
        <w:t>480kHz and 960kHz, and define maximum bandwidth(s), for operation in this frequency range for data and control channels and reference signals, only NCP supported</w:t>
      </w:r>
      <w:bookmarkEnd w:id="0"/>
      <w:r w:rsidRPr="00213D57">
        <w:rPr>
          <w:i/>
          <w:iCs/>
          <w:lang w:eastAsia="ja-JP"/>
        </w:rPr>
        <w:t xml:space="preserve">. </w:t>
      </w:r>
    </w:p>
    <w:p w14:paraId="6787CB56" w14:textId="77777777" w:rsidR="00213D57" w:rsidRPr="00213D57" w:rsidRDefault="00213D57" w:rsidP="00213D57">
      <w:pPr>
        <w:pStyle w:val="B1"/>
        <w:spacing w:before="180"/>
        <w:ind w:left="1440" w:firstLine="0"/>
        <w:rPr>
          <w:i/>
          <w:iCs/>
          <w:lang w:eastAsia="ja-JP"/>
        </w:rPr>
      </w:pPr>
      <w:bookmarkStart w:id="2" w:name="_Hlk58594267"/>
      <w:r w:rsidRPr="00213D57">
        <w:rPr>
          <w:i/>
          <w:iCs/>
          <w:lang w:eastAsia="ja-JP"/>
        </w:rPr>
        <w:t>Note: Except for timing line related aspects, a common design framework shall be adopted for 480kHz to 960kHz</w:t>
      </w:r>
    </w:p>
    <w:bookmarkEnd w:id="1"/>
    <w:bookmarkEnd w:id="2"/>
    <w:p w14:paraId="5F909E8C" w14:textId="77777777" w:rsidR="00213D57" w:rsidRPr="00213D57" w:rsidRDefault="00213D57" w:rsidP="00213D57">
      <w:pPr>
        <w:pStyle w:val="B1"/>
        <w:numPr>
          <w:ilvl w:val="1"/>
          <w:numId w:val="2"/>
        </w:numPr>
        <w:spacing w:before="180"/>
        <w:textAlignment w:val="auto"/>
        <w:rPr>
          <w:i/>
          <w:iCs/>
          <w:lang w:eastAsia="ja-JP"/>
        </w:rPr>
      </w:pPr>
      <w:r w:rsidRPr="00213D57">
        <w:rPr>
          <w:i/>
          <w:iCs/>
          <w:lang w:eastAsia="ja-JP"/>
        </w:rPr>
        <w:t xml:space="preserve">Time line related aspects adapted to 480kHz and 960kHz, e.g., BWP and beam switching timeing, HARQ timing, UE processing, preparation and computation timelines for PDSCH, PUSCH/SRS and CSI, respectively. </w:t>
      </w:r>
    </w:p>
    <w:p w14:paraId="4A1F47D0" w14:textId="77777777" w:rsidR="00213D57" w:rsidRPr="00213D57" w:rsidRDefault="00213D57" w:rsidP="00213D57">
      <w:pPr>
        <w:pStyle w:val="B1"/>
        <w:numPr>
          <w:ilvl w:val="1"/>
          <w:numId w:val="2"/>
        </w:numPr>
        <w:spacing w:before="180"/>
        <w:textAlignment w:val="auto"/>
        <w:rPr>
          <w:i/>
          <w:iCs/>
          <w:lang w:eastAsia="zh-CN"/>
        </w:rPr>
      </w:pPr>
      <w:r w:rsidRPr="00213D57">
        <w:rPr>
          <w:i/>
          <w:iCs/>
          <w:lang w:eastAsia="zh-CN"/>
        </w:rPr>
        <w:t>Support enhancements for multi-PDSCH/PUSCH scheduling and HARQ support with a single DCI</w:t>
      </w:r>
    </w:p>
    <w:p w14:paraId="2D12C012" w14:textId="77777777" w:rsidR="00213D57" w:rsidRPr="00213D57" w:rsidRDefault="00213D57" w:rsidP="00213D57">
      <w:pPr>
        <w:pStyle w:val="b110"/>
        <w:wordWrap w:val="0"/>
        <w:spacing w:after="180"/>
        <w:ind w:left="1440"/>
        <w:rPr>
          <w:rFonts w:eastAsia="SimSun"/>
          <w:i/>
          <w:iCs/>
          <w:sz w:val="20"/>
          <w:szCs w:val="20"/>
          <w:lang w:val="en-GB"/>
        </w:rPr>
      </w:pPr>
      <w:r w:rsidRPr="00213D57">
        <w:rPr>
          <w:rFonts w:eastAsia="SimSun"/>
          <w:i/>
          <w:iCs/>
          <w:sz w:val="20"/>
          <w:szCs w:val="20"/>
          <w:lang w:val="en-GB"/>
        </w:rPr>
        <w:t>Note: coverage enhancement for multi-PDSCH/PUSCH scheduling is not pursued</w:t>
      </w:r>
    </w:p>
    <w:p w14:paraId="435F2D48" w14:textId="77777777" w:rsidR="00213D57" w:rsidRPr="00213D57" w:rsidRDefault="00213D57" w:rsidP="00213D57">
      <w:pPr>
        <w:pStyle w:val="B1"/>
        <w:numPr>
          <w:ilvl w:val="1"/>
          <w:numId w:val="2"/>
        </w:numPr>
        <w:spacing w:before="180"/>
        <w:textAlignment w:val="auto"/>
        <w:rPr>
          <w:i/>
          <w:iCs/>
          <w:lang w:eastAsia="zh-CN"/>
        </w:rPr>
      </w:pPr>
      <w:bookmarkStart w:id="3" w:name="_Hlk58595024"/>
      <w:r w:rsidRPr="00213D57">
        <w:rPr>
          <w:i/>
          <w:iCs/>
          <w:lang w:eastAsia="zh-CN"/>
        </w:rPr>
        <w:t>Support enhancement to PDCCH monitoring, including blind detection/CCE budget, and multi-slot span monitoring, potential limitation to UE PDCCH configuration and capability related to PDCCH monitoring.</w:t>
      </w:r>
      <w:bookmarkEnd w:id="3"/>
    </w:p>
    <w:p w14:paraId="01EE32B6" w14:textId="77777777" w:rsidR="00DA3154" w:rsidRDefault="00DA3154" w:rsidP="00AE05F4">
      <w:pPr>
        <w:spacing w:after="0"/>
        <w:jc w:val="both"/>
        <w:rPr>
          <w:bCs/>
        </w:rPr>
      </w:pPr>
    </w:p>
    <w:p w14:paraId="0EE8BC89" w14:textId="1CFAFB5E"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B82F46">
        <w:rPr>
          <w:rFonts w:asciiTheme="majorBidi" w:hAnsiTheme="majorBidi" w:cstheme="majorBidi"/>
          <w:bCs/>
        </w:rPr>
        <w:t xml:space="preserve">following </w:t>
      </w:r>
      <w:r w:rsidR="00A33AC0">
        <w:rPr>
          <w:rFonts w:asciiTheme="majorBidi" w:hAnsiTheme="majorBidi" w:cstheme="majorBidi"/>
          <w:bCs/>
        </w:rPr>
        <w:t>enhancements for PDCCH monitoring for NR operation between 52.6 GHz to 71 GHz with newly agreed SCS values including 480kHz and 960kHz</w:t>
      </w:r>
      <w:r w:rsidR="00B82F46">
        <w:rPr>
          <w:rFonts w:asciiTheme="majorBidi" w:hAnsiTheme="majorBidi" w:cstheme="majorBidi"/>
          <w:bCs/>
        </w:rPr>
        <w:t>:</w:t>
      </w:r>
    </w:p>
    <w:p w14:paraId="6389FB18" w14:textId="090E005C" w:rsidR="00B82F46" w:rsidRDefault="00B82F46"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Multi-slot PDCCH monitoring</w:t>
      </w:r>
    </w:p>
    <w:p w14:paraId="79308E81" w14:textId="67FA709D"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monitoring restrictions</w:t>
      </w:r>
    </w:p>
    <w:p w14:paraId="0DBF1E97" w14:textId="1BF52224"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multi-beam aspects</w:t>
      </w:r>
    </w:p>
    <w:p w14:paraId="262B7182" w14:textId="77777777" w:rsidR="003F7CE8" w:rsidRPr="00B82F46" w:rsidRDefault="003F7CE8" w:rsidP="003F7CE8">
      <w:pPr>
        <w:pStyle w:val="ListParagraph"/>
        <w:spacing w:after="0"/>
        <w:jc w:val="both"/>
        <w:rPr>
          <w:rFonts w:asciiTheme="majorBidi" w:hAnsiTheme="majorBidi" w:cstheme="majorBidi"/>
          <w:bCs/>
        </w:rPr>
      </w:pPr>
    </w:p>
    <w:p w14:paraId="224F8E5E" w14:textId="3C67BDB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14783">
        <w:rPr>
          <w:rFonts w:ascii="Arial" w:eastAsia="MS Mincho" w:hAnsi="Arial"/>
          <w:sz w:val="36"/>
          <w:szCs w:val="36"/>
          <w:lang w:eastAsia="ja-JP"/>
        </w:rPr>
        <w:t>Multi-slot PDCCH monitoring</w:t>
      </w:r>
    </w:p>
    <w:p w14:paraId="33631667" w14:textId="11AD41A8" w:rsidR="00BB0987" w:rsidRDefault="00BB0987" w:rsidP="00913653">
      <w:pPr>
        <w:jc w:val="both"/>
        <w:rPr>
          <w:bCs/>
          <w:lang w:eastAsia="ja-JP"/>
        </w:rPr>
      </w:pPr>
      <w:r>
        <w:rPr>
          <w:bCs/>
          <w:lang w:eastAsia="ja-JP"/>
        </w:rPr>
        <w:t>In RAN1#104</w:t>
      </w:r>
      <w:r w:rsidR="004C2072">
        <w:rPr>
          <w:bCs/>
          <w:lang w:eastAsia="ja-JP"/>
        </w:rPr>
        <w:t>bis</w:t>
      </w:r>
      <w:r>
        <w:rPr>
          <w:bCs/>
          <w:lang w:eastAsia="ja-JP"/>
        </w:rPr>
        <w:t>-e, following agreement related to multi-slot PDCCH monitoring has been made [2]:</w:t>
      </w:r>
    </w:p>
    <w:p w14:paraId="7266933A" w14:textId="77777777" w:rsidR="004C2072" w:rsidRPr="005A2F27" w:rsidRDefault="004C2072" w:rsidP="005A2F27">
      <w:pPr>
        <w:spacing w:after="0"/>
        <w:ind w:left="1440" w:hanging="1440"/>
        <w:rPr>
          <w:i/>
          <w:iCs/>
          <w:lang w:eastAsia="zh-CN"/>
        </w:rPr>
      </w:pPr>
      <w:r w:rsidRPr="005A2F27">
        <w:rPr>
          <w:i/>
          <w:iCs/>
          <w:highlight w:val="green"/>
          <w:lang w:eastAsia="zh-CN"/>
        </w:rPr>
        <w:t>Agreement:</w:t>
      </w:r>
    </w:p>
    <w:p w14:paraId="642B1AD1" w14:textId="087D45D0" w:rsidR="004C2072" w:rsidRPr="005A2F27" w:rsidRDefault="004C2072" w:rsidP="005A2F27">
      <w:pPr>
        <w:spacing w:after="0"/>
        <w:ind w:left="1440" w:hanging="1440"/>
        <w:rPr>
          <w:i/>
          <w:iCs/>
          <w:lang w:eastAsia="zh-CN"/>
        </w:rPr>
      </w:pPr>
      <w:r w:rsidRPr="005A2F27">
        <w:rPr>
          <w:i/>
          <w:iCs/>
          <w:lang w:eastAsia="zh-CN"/>
        </w:rPr>
        <w:t xml:space="preserve">Previous agreement is </w:t>
      </w:r>
      <w:r w:rsidR="005A2F27" w:rsidRPr="005A2F27">
        <w:rPr>
          <w:i/>
          <w:iCs/>
          <w:lang w:eastAsia="zh-CN"/>
        </w:rPr>
        <w:t>modified</w:t>
      </w:r>
      <w:r w:rsidRPr="005A2F27">
        <w:rPr>
          <w:i/>
          <w:iCs/>
          <w:lang w:eastAsia="zh-CN"/>
        </w:rPr>
        <w:t xml:space="preserve"> as follows:</w:t>
      </w:r>
    </w:p>
    <w:p w14:paraId="64B0C2C7" w14:textId="77777777" w:rsidR="004C2072" w:rsidRPr="005A2F27" w:rsidRDefault="004C2072" w:rsidP="004C2072">
      <w:pPr>
        <w:ind w:left="1440" w:hanging="1440"/>
        <w:rPr>
          <w:i/>
          <w:iCs/>
          <w:lang w:eastAsia="zh-CN"/>
        </w:rPr>
      </w:pPr>
      <w:r w:rsidRPr="005A2F27">
        <w:rPr>
          <w:i/>
          <w:iCs/>
          <w:lang w:eastAsia="zh-CN"/>
        </w:rPr>
        <w:t>Choose one of the following alternatives for defining the multi-slot PDCCH monitoring capability</w:t>
      </w:r>
    </w:p>
    <w:p w14:paraId="6C2D39FC"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 xml:space="preserve">Alt 1: Use a fixed pattern of slot groups as the baseline to define the new capability. </w:t>
      </w:r>
    </w:p>
    <w:p w14:paraId="1E1675C1"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Each slot group consists of X slots</w:t>
      </w:r>
    </w:p>
    <w:p w14:paraId="5EB034A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Slot groups are consecutive and non-overlapping</w:t>
      </w:r>
    </w:p>
    <w:p w14:paraId="28E16FDF"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The capability indicates the BD/CCE budget within Y consecutive [symbols or slots] in each slot group separately</w:t>
      </w:r>
    </w:p>
    <w:p w14:paraId="6B8D7921"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Supported values/constraints of X and Y, e.g. Y&lt;=X, Y=X</w:t>
      </w:r>
    </w:p>
    <w:p w14:paraId="2D6CCCE4"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lastRenderedPageBreak/>
        <w:t>FFS: Restrictions on location of the Y [symbols or slots] within a slot group, e.g. the Y [symbols or slots] always start at the first slot within a slot group</w:t>
      </w:r>
    </w:p>
    <w:p w14:paraId="41FD21DE"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27090FBA"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Alt 2: Use an (X, Y) span as the baseline to define the new capability</w:t>
      </w:r>
    </w:p>
    <w:p w14:paraId="21AD1063"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X is the minimum </w:t>
      </w:r>
      <w:r w:rsidRPr="005A2F27">
        <w:rPr>
          <w:rFonts w:eastAsia="Times New Roman"/>
          <w:i/>
          <w:iCs/>
        </w:rPr>
        <w:t>time separation between the start of two consecutive spans</w:t>
      </w:r>
    </w:p>
    <w:p w14:paraId="075A7A30"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The capability indicates the BD/CCE budget within a span of at most Y consecutive [symbols or slots] </w:t>
      </w:r>
    </w:p>
    <w:p w14:paraId="350E3D35"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Y &lt;= X</w:t>
      </w:r>
    </w:p>
    <w:p w14:paraId="7E4EF5D0"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FFS: Exact values of X and Y and units in which they are defined (e.g., symbols, slots), including cases where a span is longer than one slot or crosses a slot boundary. </w:t>
      </w:r>
    </w:p>
    <w:p w14:paraId="36392B6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FFS: What is a span pattern, how it is defined and whether it is supported. If it is supported, whether number of slots within which the span pattern is repeated is needed, and if needed, the value of the number of slots. </w:t>
      </w:r>
    </w:p>
    <w:p w14:paraId="4A436F47"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1810D49B"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 xml:space="preserve">Alt 3: Use a sliding window of X slots as the baseline to define the new capability. </w:t>
      </w:r>
    </w:p>
    <w:p w14:paraId="58B901A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The capability indicates the BD/CCE budget within the sliding window</w:t>
      </w:r>
    </w:p>
    <w:p w14:paraId="4C81E246"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 The sliding unit of the sliding window is [1] slot.</w:t>
      </w:r>
    </w:p>
    <w:p w14:paraId="2DD27983"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7E8C6782"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Specific numbers for X, Y may depend on UE capability and gNB configuration</w:t>
      </w:r>
    </w:p>
    <w:p w14:paraId="6B6BED05"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Examples: </w:t>
      </w:r>
    </w:p>
    <w:p w14:paraId="2670D054" w14:textId="77777777" w:rsidR="004C2072" w:rsidRPr="005A2F27" w:rsidRDefault="004C2072" w:rsidP="004C2072">
      <w:pPr>
        <w:pStyle w:val="ListParagraph"/>
        <w:numPr>
          <w:ilvl w:val="2"/>
          <w:numId w:val="19"/>
        </w:numPr>
        <w:overflowPunct/>
        <w:autoSpaceDE/>
        <w:autoSpaceDN/>
        <w:adjustRightInd/>
        <w:snapToGrid w:val="0"/>
        <w:spacing w:after="0" w:line="259" w:lineRule="auto"/>
        <w:contextualSpacing w:val="0"/>
        <w:textAlignment w:val="auto"/>
        <w:rPr>
          <w:i/>
          <w:iCs/>
        </w:rPr>
      </w:pPr>
      <w:r w:rsidRPr="005A2F27">
        <w:rPr>
          <w:i/>
          <w:iCs/>
        </w:rPr>
        <w:t>X = [4] slots for 480 kHz SCS and X = [8] slots for 960 kHz SCS</w:t>
      </w:r>
    </w:p>
    <w:p w14:paraId="50F4F590" w14:textId="77777777" w:rsidR="004C2072" w:rsidRPr="005A2F27" w:rsidRDefault="004C2072" w:rsidP="004C2072">
      <w:pPr>
        <w:pStyle w:val="ListParagraph"/>
        <w:snapToGrid w:val="0"/>
        <w:spacing w:line="259" w:lineRule="auto"/>
        <w:ind w:left="0"/>
        <w:rPr>
          <w:i/>
          <w:iCs/>
        </w:rPr>
      </w:pPr>
    </w:p>
    <w:p w14:paraId="607D875A" w14:textId="77777777" w:rsidR="004C2072" w:rsidRPr="005A2F27" w:rsidRDefault="004C2072" w:rsidP="005A2F27">
      <w:pPr>
        <w:pStyle w:val="ListParagraph"/>
        <w:snapToGrid w:val="0"/>
        <w:spacing w:after="0" w:line="259" w:lineRule="auto"/>
        <w:ind w:left="0"/>
        <w:rPr>
          <w:i/>
          <w:iCs/>
          <w:u w:val="single"/>
        </w:rPr>
      </w:pPr>
      <w:bookmarkStart w:id="4" w:name="_Hlk69545768"/>
      <w:r w:rsidRPr="005A2F27">
        <w:rPr>
          <w:i/>
          <w:iCs/>
          <w:u w:val="single"/>
        </w:rPr>
        <w:t>Conclusion:</w:t>
      </w:r>
    </w:p>
    <w:p w14:paraId="4ABE7311" w14:textId="77777777" w:rsidR="004C2072" w:rsidRPr="005A2F27" w:rsidRDefault="004C2072" w:rsidP="004C2072">
      <w:pPr>
        <w:rPr>
          <w:rFonts w:ascii="Calibri" w:hAnsi="Calibri"/>
          <w:i/>
          <w:iCs/>
          <w:szCs w:val="22"/>
        </w:rPr>
      </w:pPr>
      <w:r w:rsidRPr="005A2F27">
        <w:rPr>
          <w:i/>
          <w:iCs/>
        </w:rPr>
        <w:t>For 120 kHz SCS, no multi-slot UE capability for PDCCH monitoring is needed.</w:t>
      </w:r>
    </w:p>
    <w:p w14:paraId="51E510DB" w14:textId="77777777" w:rsidR="004C2072" w:rsidRPr="005A2F27" w:rsidRDefault="004C2072" w:rsidP="005A2F27">
      <w:pPr>
        <w:spacing w:after="0"/>
        <w:rPr>
          <w:i/>
          <w:iCs/>
        </w:rPr>
      </w:pPr>
      <w:r w:rsidRPr="005A2F27">
        <w:rPr>
          <w:i/>
          <w:iCs/>
          <w:highlight w:val="green"/>
        </w:rPr>
        <w:t>Agreement:</w:t>
      </w:r>
    </w:p>
    <w:p w14:paraId="5BC47AB9" w14:textId="77777777" w:rsidR="004C2072" w:rsidRPr="005A2F27" w:rsidRDefault="004C2072" w:rsidP="004C2072">
      <w:pPr>
        <w:rPr>
          <w:i/>
          <w:iCs/>
        </w:rPr>
      </w:pPr>
      <w:r w:rsidRPr="005A2F27">
        <w:rPr>
          <w:i/>
          <w:iCs/>
        </w:rPr>
        <w:t>For 120 kHz SCS in 52.6-71 GHz, the BD/CCE budget is the same as that for 120 kHz in FR2.</w:t>
      </w:r>
    </w:p>
    <w:bookmarkEnd w:id="4"/>
    <w:p w14:paraId="3EBC44B6" w14:textId="0D596789" w:rsidR="00945049" w:rsidRDefault="00955A87" w:rsidP="00913653">
      <w:pPr>
        <w:jc w:val="both"/>
        <w:rPr>
          <w:bCs/>
          <w:lang w:eastAsia="ja-JP"/>
        </w:rPr>
      </w:pPr>
      <w:r>
        <w:rPr>
          <w:bCs/>
          <w:lang w:eastAsia="ja-JP"/>
        </w:rPr>
        <w:t xml:space="preserve">Two illustrations of Alt 1 are shown in Figure 1. </w:t>
      </w:r>
      <w:r w:rsidR="00C11DF2">
        <w:rPr>
          <w:bCs/>
          <w:lang w:eastAsia="ja-JP"/>
        </w:rPr>
        <w:t xml:space="preserve">In Figure 1 (a), a slot group with X = 4 slots and Y = 1 slot is shown where the PDCCH monitoring occasion is fixed at the first slot within a slot group. With this configuration, the PDCCH monitoring capability per slot group can be defined and back-to-back PDCCH monitoring occasion across two consecutive slot groups can be avoided. However, it can greatly reduce the flexibility in terms of PDCCH monitoring occasion. Especially if slot group of size 8 slots is defined for </w:t>
      </w:r>
      <w:r w:rsidR="00A36717">
        <w:rPr>
          <w:bCs/>
          <w:lang w:eastAsia="ja-JP"/>
        </w:rPr>
        <w:t xml:space="preserve">960 </w:t>
      </w:r>
      <w:r w:rsidR="00C11DF2">
        <w:rPr>
          <w:bCs/>
          <w:lang w:eastAsia="ja-JP"/>
        </w:rPr>
        <w:t>kHz, then only after every 8</w:t>
      </w:r>
      <w:r w:rsidR="00C11DF2" w:rsidRPr="00C11DF2">
        <w:rPr>
          <w:bCs/>
          <w:vertAlign w:val="superscript"/>
          <w:lang w:eastAsia="ja-JP"/>
        </w:rPr>
        <w:t>th</w:t>
      </w:r>
      <w:r w:rsidR="00C11DF2">
        <w:rPr>
          <w:bCs/>
          <w:lang w:eastAsia="ja-JP"/>
        </w:rPr>
        <w:t xml:space="preserve"> slot, the PDCCH monitoring occasion can be present. Therefore, in our view, such rigid configuration should be avoided.</w:t>
      </w:r>
    </w:p>
    <w:p w14:paraId="39E5A5F2" w14:textId="77777777" w:rsidR="00255159" w:rsidRDefault="00255159" w:rsidP="00913653">
      <w:pPr>
        <w:jc w:val="both"/>
        <w:rPr>
          <w:bCs/>
          <w:lang w:eastAsia="ja-JP"/>
        </w:rPr>
      </w:pPr>
    </w:p>
    <w:p w14:paraId="393BE7D5" w14:textId="41BC2633" w:rsidR="008B4887" w:rsidRDefault="00CA523B" w:rsidP="00913653">
      <w:pPr>
        <w:jc w:val="both"/>
        <w:rPr>
          <w:bCs/>
          <w:lang w:eastAsia="ja-JP"/>
        </w:rPr>
      </w:pPr>
      <w:r>
        <w:object w:dxaOrig="23026" w:dyaOrig="2971" w14:anchorId="65DF4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64.5pt" o:ole="">
            <v:imagedata r:id="rId8" o:title=""/>
          </v:shape>
          <o:OLEObject Type="Embed" ProgID="Visio.Drawing.15" ShapeID="_x0000_i1025" DrawAspect="Content" ObjectID="_1689767113" r:id="rId9"/>
        </w:object>
      </w:r>
    </w:p>
    <w:p w14:paraId="3352BE2B" w14:textId="5EA1F7B3" w:rsidR="008B4887" w:rsidRDefault="008B4887" w:rsidP="008B4887">
      <w:pPr>
        <w:pStyle w:val="ListParagraph"/>
        <w:numPr>
          <w:ilvl w:val="0"/>
          <w:numId w:val="22"/>
        </w:numPr>
        <w:jc w:val="center"/>
        <w:rPr>
          <w:b/>
          <w:lang w:eastAsia="ja-JP"/>
        </w:rPr>
      </w:pPr>
      <w:r w:rsidRPr="008B4887">
        <w:rPr>
          <w:b/>
          <w:lang w:eastAsia="ja-JP"/>
        </w:rPr>
        <w:t>Example of Alt 1 with PDCCH monitoring occasion only at the beginning of slot group</w:t>
      </w:r>
      <w:r w:rsidR="001E68BE">
        <w:rPr>
          <w:b/>
          <w:lang w:eastAsia="ja-JP"/>
        </w:rPr>
        <w:t xml:space="preserve"> (</w:t>
      </w:r>
      <w:r w:rsidR="0095341C">
        <w:rPr>
          <w:b/>
          <w:lang w:eastAsia="ja-JP"/>
        </w:rPr>
        <w:t xml:space="preserve">X = </w:t>
      </w:r>
      <w:r w:rsidR="001E68BE">
        <w:rPr>
          <w:b/>
          <w:lang w:eastAsia="ja-JP"/>
        </w:rPr>
        <w:t>4 slots)</w:t>
      </w:r>
    </w:p>
    <w:p w14:paraId="06A86D6A" w14:textId="77777777" w:rsidR="000D1DD3" w:rsidRPr="000D1DD3" w:rsidRDefault="000D1DD3" w:rsidP="000D1DD3">
      <w:pPr>
        <w:jc w:val="center"/>
        <w:rPr>
          <w:b/>
          <w:lang w:eastAsia="ja-JP"/>
        </w:rPr>
      </w:pPr>
    </w:p>
    <w:p w14:paraId="5E3FB5FC" w14:textId="7CD8D289" w:rsidR="008B4887" w:rsidRDefault="00CA523B" w:rsidP="00913653">
      <w:pPr>
        <w:jc w:val="both"/>
        <w:rPr>
          <w:bCs/>
          <w:lang w:eastAsia="ja-JP"/>
        </w:rPr>
      </w:pPr>
      <w:r>
        <w:object w:dxaOrig="23026" w:dyaOrig="2971" w14:anchorId="702B22F6">
          <v:shape id="_x0000_i1026" type="#_x0000_t75" style="width:498.25pt;height:64.5pt" o:ole="">
            <v:imagedata r:id="rId10" o:title=""/>
          </v:shape>
          <o:OLEObject Type="Embed" ProgID="Visio.Drawing.15" ShapeID="_x0000_i1026" DrawAspect="Content" ObjectID="_1689767114" r:id="rId11"/>
        </w:object>
      </w:r>
    </w:p>
    <w:p w14:paraId="266D1D84" w14:textId="154A87D5" w:rsidR="008B4887" w:rsidRPr="0071545A" w:rsidRDefault="008B4887" w:rsidP="0071545A">
      <w:pPr>
        <w:pStyle w:val="ListParagraph"/>
        <w:numPr>
          <w:ilvl w:val="0"/>
          <w:numId w:val="22"/>
        </w:numPr>
        <w:jc w:val="center"/>
        <w:rPr>
          <w:b/>
          <w:lang w:eastAsia="ja-JP"/>
        </w:rPr>
      </w:pPr>
      <w:r w:rsidRPr="0071545A">
        <w:rPr>
          <w:b/>
          <w:lang w:eastAsia="ja-JP"/>
        </w:rPr>
        <w:t xml:space="preserve">Example of Alt 1 with PDCCH monitoring occasion </w:t>
      </w:r>
      <w:r w:rsidR="0071545A">
        <w:rPr>
          <w:b/>
          <w:lang w:eastAsia="ja-JP"/>
        </w:rPr>
        <w:t>in any slot within</w:t>
      </w:r>
      <w:r w:rsidRPr="0071545A">
        <w:rPr>
          <w:b/>
          <w:lang w:eastAsia="ja-JP"/>
        </w:rPr>
        <w:t xml:space="preserve"> slot group</w:t>
      </w:r>
      <w:r w:rsidR="0071545A">
        <w:rPr>
          <w:b/>
          <w:lang w:eastAsia="ja-JP"/>
        </w:rPr>
        <w:t xml:space="preserve"> (X = 4 slots)</w:t>
      </w:r>
    </w:p>
    <w:p w14:paraId="15DCD1D6" w14:textId="66811C9F" w:rsidR="008B4887" w:rsidRDefault="00C95681" w:rsidP="0055028F">
      <w:pPr>
        <w:jc w:val="center"/>
        <w:rPr>
          <w:b/>
          <w:lang w:eastAsia="ja-JP"/>
        </w:rPr>
      </w:pPr>
      <w:r w:rsidRPr="0055028F">
        <w:rPr>
          <w:b/>
          <w:lang w:eastAsia="ja-JP"/>
        </w:rPr>
        <w:t>Figure 1: Example of Alt 1 with fixed pattern of slot groups</w:t>
      </w:r>
      <w:r w:rsidR="00500BF5">
        <w:rPr>
          <w:b/>
          <w:lang w:eastAsia="ja-JP"/>
        </w:rPr>
        <w:t xml:space="preserve"> (X=4 slots, Y = 1 slot)</w:t>
      </w:r>
      <w:r w:rsidRPr="0055028F">
        <w:rPr>
          <w:b/>
          <w:lang w:eastAsia="ja-JP"/>
        </w:rPr>
        <w:t xml:space="preserve"> for multi-slot PDCCH monitoring</w:t>
      </w:r>
    </w:p>
    <w:p w14:paraId="69221D94" w14:textId="53633724" w:rsidR="0052269D" w:rsidRPr="00126FB9" w:rsidRDefault="0052269D" w:rsidP="0052269D">
      <w:pPr>
        <w:jc w:val="both"/>
        <w:rPr>
          <w:b/>
          <w:i/>
          <w:iCs/>
        </w:rPr>
      </w:pPr>
      <w:r w:rsidRPr="00126FB9">
        <w:rPr>
          <w:b/>
          <w:i/>
          <w:iCs/>
          <w:lang w:eastAsia="ja-JP"/>
        </w:rPr>
        <w:lastRenderedPageBreak/>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0BE21067" w14:textId="20475365" w:rsidR="0052269D" w:rsidRPr="00126FB9" w:rsidRDefault="0052269D" w:rsidP="0052269D">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w:t>
      </w:r>
      <w:r w:rsidR="00FB4564">
        <w:rPr>
          <w:b/>
          <w:i/>
          <w:iCs/>
        </w:rPr>
        <w:t>view but</w:t>
      </w:r>
      <w:r>
        <w:rPr>
          <w:b/>
          <w:i/>
          <w:iCs/>
        </w:rPr>
        <w:t xml:space="preserve"> could result in </w:t>
      </w:r>
      <w:r w:rsidRPr="00126FB9">
        <w:rPr>
          <w:b/>
          <w:i/>
          <w:iCs/>
        </w:rPr>
        <w:t>back-to-back issue of PDCCH monitoring across two consecutive slot groups</w:t>
      </w:r>
    </w:p>
    <w:p w14:paraId="5253F87D" w14:textId="7E72B8D3" w:rsidR="00DB1B42" w:rsidRDefault="00DB1B42" w:rsidP="00DE587E">
      <w:pPr>
        <w:spacing w:after="0"/>
        <w:jc w:val="center"/>
        <w:rPr>
          <w:b/>
          <w:lang w:eastAsia="ja-JP"/>
        </w:rPr>
      </w:pPr>
    </w:p>
    <w:p w14:paraId="08F6A665" w14:textId="60E715B5" w:rsidR="003A17C8" w:rsidRDefault="00D56FE5" w:rsidP="00D56FE5">
      <w:pPr>
        <w:jc w:val="both"/>
        <w:rPr>
          <w:bCs/>
          <w:lang w:eastAsia="ja-JP"/>
        </w:rPr>
      </w:pPr>
      <w:r>
        <w:rPr>
          <w:bCs/>
          <w:lang w:eastAsia="ja-JP"/>
        </w:rPr>
        <w:t xml:space="preserve">Two illustrations of Alt 2 are shown in Figure 2 where Rel-16 like PDCCH monitoring span capability is extended for multiple slots to facilitate multi-slot PDCCH monitoring. The two examples are shown for </w:t>
      </w:r>
      <w:r w:rsidR="00DE587E">
        <w:rPr>
          <w:bCs/>
          <w:lang w:eastAsia="ja-JP"/>
        </w:rPr>
        <w:t xml:space="preserve">4-slot </w:t>
      </w:r>
      <w:r>
        <w:rPr>
          <w:bCs/>
          <w:lang w:eastAsia="ja-JP"/>
        </w:rPr>
        <w:t xml:space="preserve">PDCCH monitoring. In Figure 2(a), the value of X is same as the multi-slot PDCCH duration </w:t>
      </w:r>
      <w:r w:rsidR="00FB4564">
        <w:rPr>
          <w:bCs/>
          <w:lang w:eastAsia="ja-JP"/>
        </w:rPr>
        <w:t>i.e.,</w:t>
      </w:r>
      <w:r>
        <w:rPr>
          <w:bCs/>
          <w:lang w:eastAsia="ja-JP"/>
        </w:rPr>
        <w:t xml:space="preserve"> 4 slots. Therefore, only one monitoring occasion can be expected within the </w:t>
      </w:r>
      <w:r w:rsidR="00FB4564">
        <w:rPr>
          <w:bCs/>
          <w:lang w:eastAsia="ja-JP"/>
        </w:rPr>
        <w:t>4-slot</w:t>
      </w:r>
      <w:r>
        <w:rPr>
          <w:bCs/>
          <w:lang w:eastAsia="ja-JP"/>
        </w:rPr>
        <w:t xml:space="preserve"> duration. In this example, the span duration Y = 2 slots in the first 2 slots for each of the </w:t>
      </w:r>
      <w:r w:rsidR="00FB4564">
        <w:rPr>
          <w:bCs/>
          <w:lang w:eastAsia="ja-JP"/>
        </w:rPr>
        <w:t>4-slot</w:t>
      </w:r>
      <w:r>
        <w:rPr>
          <w:bCs/>
          <w:lang w:eastAsia="ja-JP"/>
        </w:rPr>
        <w:t xml:space="preserve"> duration. </w:t>
      </w:r>
      <w:r w:rsidR="003A17C8">
        <w:rPr>
          <w:bCs/>
          <w:lang w:eastAsia="ja-JP"/>
        </w:rPr>
        <w:t xml:space="preserve">Therefore, the UE capability of (X,Y) = (4,2) is maintained. In second example Figure 2 (b), for multi-slot PDCCH monitoring for 4 slots, (X,Y) = (3,2) are applied. In this case, two spans within the </w:t>
      </w:r>
      <w:r w:rsidR="00FB4564">
        <w:rPr>
          <w:bCs/>
          <w:lang w:eastAsia="ja-JP"/>
        </w:rPr>
        <w:t>4-slot</w:t>
      </w:r>
      <w:r w:rsidR="003A17C8">
        <w:rPr>
          <w:bCs/>
          <w:lang w:eastAsia="ja-JP"/>
        </w:rPr>
        <w:t xml:space="preserve"> duration can be possible. </w:t>
      </w:r>
      <w:r w:rsidR="00DE587E">
        <w:rPr>
          <w:bCs/>
          <w:lang w:eastAsia="ja-JP"/>
        </w:rPr>
        <w:t xml:space="preserve">Therefore, as shown in Figure 2 (b), in the first 4 slots, there are two monitoring occasions (2 slots and 1 slot). Now since the principle of Rel-16 PDCCH monitoring span applies across slots as well </w:t>
      </w:r>
      <w:r w:rsidR="00FB4564">
        <w:rPr>
          <w:bCs/>
          <w:lang w:eastAsia="ja-JP"/>
        </w:rPr>
        <w:t>i.e.,</w:t>
      </w:r>
      <w:r w:rsidR="00DE587E">
        <w:rPr>
          <w:bCs/>
          <w:lang w:eastAsia="ja-JP"/>
        </w:rPr>
        <w:t xml:space="preserve"> the gap X between the start of two PDCCH monitoring occasions should always be maintained regardless of slot boundary. Similar principle can be extended here as shown in Figure 2 (b). Considering a 4-slot PDCCH monitoring, the gap of X=3 slots should always be maintained. Therefore, the issue of back-to-back PDCCH monitoring across consecutive multi-slots is not expected to happen as long as network configures according to UE capability.</w:t>
      </w:r>
    </w:p>
    <w:p w14:paraId="5322DA59" w14:textId="77777777" w:rsidR="00DB1B42" w:rsidRDefault="00DB1B42" w:rsidP="00DE587E">
      <w:pPr>
        <w:spacing w:after="0"/>
        <w:jc w:val="center"/>
        <w:rPr>
          <w:b/>
          <w:lang w:eastAsia="ja-JP"/>
        </w:rPr>
      </w:pPr>
    </w:p>
    <w:p w14:paraId="36EFD18E" w14:textId="5A7EC699" w:rsidR="00A91DBE" w:rsidRDefault="001E68BE" w:rsidP="0055028F">
      <w:pPr>
        <w:jc w:val="center"/>
        <w:rPr>
          <w:b/>
          <w:lang w:eastAsia="ja-JP"/>
        </w:rPr>
      </w:pPr>
      <w:r>
        <w:object w:dxaOrig="16050" w:dyaOrig="1771" w14:anchorId="3DCE0269">
          <v:shape id="_x0000_i1027" type="#_x0000_t75" style="width:498.25pt;height:55.3pt" o:ole="">
            <v:imagedata r:id="rId12" o:title=""/>
          </v:shape>
          <o:OLEObject Type="Embed" ProgID="Visio.Drawing.15" ShapeID="_x0000_i1027" DrawAspect="Content" ObjectID="_1689767115" r:id="rId13"/>
        </w:object>
      </w:r>
    </w:p>
    <w:p w14:paraId="5DDAF52C" w14:textId="353D1AB0" w:rsidR="00826549" w:rsidRPr="00DE587E" w:rsidRDefault="00DE587E" w:rsidP="00DE587E">
      <w:pPr>
        <w:pStyle w:val="ListParagraph"/>
        <w:numPr>
          <w:ilvl w:val="0"/>
          <w:numId w:val="24"/>
        </w:numPr>
        <w:jc w:val="center"/>
        <w:rPr>
          <w:b/>
          <w:lang w:eastAsia="ja-JP"/>
        </w:rPr>
      </w:pPr>
      <w:r w:rsidRPr="00DE587E">
        <w:rPr>
          <w:b/>
          <w:lang w:eastAsia="ja-JP"/>
        </w:rPr>
        <w:t xml:space="preserve">Example of Alt 2 with </w:t>
      </w:r>
      <w:r>
        <w:rPr>
          <w:b/>
          <w:lang w:eastAsia="ja-JP"/>
        </w:rPr>
        <w:t xml:space="preserve">Rel-16 like </w:t>
      </w:r>
      <w:r w:rsidR="0071534E">
        <w:rPr>
          <w:b/>
          <w:lang w:eastAsia="ja-JP"/>
        </w:rPr>
        <w:t>mechanism</w:t>
      </w:r>
      <w:r w:rsidRPr="00DE587E">
        <w:rPr>
          <w:b/>
          <w:lang w:eastAsia="ja-JP"/>
        </w:rPr>
        <w:t xml:space="preserve"> </w:t>
      </w:r>
      <w:r w:rsidR="00F67239">
        <w:rPr>
          <w:b/>
          <w:lang w:eastAsia="ja-JP"/>
        </w:rPr>
        <w:t>with (X,Y) = (4,</w:t>
      </w:r>
      <w:r w:rsidR="00BC57D6">
        <w:rPr>
          <w:b/>
          <w:lang w:eastAsia="ja-JP"/>
        </w:rPr>
        <w:t>2</w:t>
      </w:r>
      <w:r w:rsidR="00F67239">
        <w:rPr>
          <w:b/>
          <w:lang w:eastAsia="ja-JP"/>
        </w:rPr>
        <w:t>)</w:t>
      </w:r>
      <w:r w:rsidR="0071534E">
        <w:rPr>
          <w:b/>
          <w:lang w:eastAsia="ja-JP"/>
        </w:rPr>
        <w:t xml:space="preserve"> for 4-slot PDCCH monitoring</w:t>
      </w:r>
    </w:p>
    <w:p w14:paraId="2509C430" w14:textId="77777777" w:rsidR="00DE587E" w:rsidRDefault="00DE587E" w:rsidP="0055028F">
      <w:pPr>
        <w:jc w:val="center"/>
        <w:rPr>
          <w:b/>
          <w:lang w:eastAsia="ja-JP"/>
        </w:rPr>
      </w:pPr>
    </w:p>
    <w:p w14:paraId="7A0C94F2" w14:textId="2133952A" w:rsidR="00826549" w:rsidRDefault="001E68BE" w:rsidP="0055028F">
      <w:pPr>
        <w:jc w:val="center"/>
      </w:pPr>
      <w:r>
        <w:object w:dxaOrig="16050" w:dyaOrig="1771" w14:anchorId="431D8535">
          <v:shape id="_x0000_i1028" type="#_x0000_t75" style="width:498.25pt;height:55.3pt" o:ole="">
            <v:imagedata r:id="rId14" o:title=""/>
          </v:shape>
          <o:OLEObject Type="Embed" ProgID="Visio.Drawing.15" ShapeID="_x0000_i1028" DrawAspect="Content" ObjectID="_1689767116" r:id="rId15"/>
        </w:object>
      </w:r>
    </w:p>
    <w:p w14:paraId="180CF563" w14:textId="72AA51B6" w:rsidR="0071534E" w:rsidRPr="0071534E" w:rsidRDefault="0071534E" w:rsidP="0071534E">
      <w:pPr>
        <w:pStyle w:val="ListParagraph"/>
        <w:numPr>
          <w:ilvl w:val="0"/>
          <w:numId w:val="24"/>
        </w:numPr>
        <w:jc w:val="center"/>
        <w:rPr>
          <w:b/>
          <w:lang w:eastAsia="ja-JP"/>
        </w:rPr>
      </w:pPr>
      <w:r w:rsidRPr="0071534E">
        <w:rPr>
          <w:b/>
          <w:lang w:eastAsia="ja-JP"/>
        </w:rPr>
        <w:t xml:space="preserve">Example of Alt 2 with Rel-16 like </w:t>
      </w:r>
      <w:r w:rsidR="009B7E2C">
        <w:rPr>
          <w:b/>
          <w:lang w:eastAsia="ja-JP"/>
        </w:rPr>
        <w:t>mechanism</w:t>
      </w:r>
      <w:r w:rsidRPr="0071534E">
        <w:rPr>
          <w:b/>
          <w:lang w:eastAsia="ja-JP"/>
        </w:rPr>
        <w:t xml:space="preserve"> with (X,Y) = (</w:t>
      </w:r>
      <w:r w:rsidR="00BC57D6">
        <w:rPr>
          <w:b/>
          <w:lang w:eastAsia="ja-JP"/>
        </w:rPr>
        <w:t>3</w:t>
      </w:r>
      <w:r w:rsidRPr="0071534E">
        <w:rPr>
          <w:b/>
          <w:lang w:eastAsia="ja-JP"/>
        </w:rPr>
        <w:t>,</w:t>
      </w:r>
      <w:r w:rsidR="00BC57D6">
        <w:rPr>
          <w:b/>
          <w:lang w:eastAsia="ja-JP"/>
        </w:rPr>
        <w:t>2</w:t>
      </w:r>
      <w:r w:rsidRPr="0071534E">
        <w:rPr>
          <w:b/>
          <w:lang w:eastAsia="ja-JP"/>
        </w:rPr>
        <w:t>)</w:t>
      </w:r>
      <w:r w:rsidR="009B7E2C">
        <w:rPr>
          <w:b/>
          <w:lang w:eastAsia="ja-JP"/>
        </w:rPr>
        <w:t xml:space="preserve"> for 4-slot PDCCH monitoring</w:t>
      </w:r>
    </w:p>
    <w:p w14:paraId="52EE38FC" w14:textId="1E5B0AD6" w:rsidR="0071534E" w:rsidRDefault="00B52F59" w:rsidP="0055028F">
      <w:pPr>
        <w:jc w:val="center"/>
        <w:rPr>
          <w:b/>
          <w:lang w:eastAsia="ja-JP"/>
        </w:rPr>
      </w:pPr>
      <w:r>
        <w:rPr>
          <w:b/>
          <w:lang w:eastAsia="ja-JP"/>
        </w:rPr>
        <w:t>Figure 2: Example of Alt 2 with Rel-16 like mechanism for PDCCH monitoring span</w:t>
      </w:r>
    </w:p>
    <w:p w14:paraId="02EE1D26" w14:textId="2CA66DA5" w:rsidR="00561F79" w:rsidRPr="00126FB9" w:rsidRDefault="00561F79" w:rsidP="00561F79">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if Rel-16 like mechanism with span is extended across multiple slots, then the PDCCH monitoring flexibility can be achieved, while also avoiding the issue of back-to-back PDCCH monitoring across continuous multi-slot</w:t>
      </w:r>
      <w:r w:rsidR="00206C2E">
        <w:rPr>
          <w:b/>
          <w:i/>
          <w:iCs/>
        </w:rPr>
        <w:t xml:space="preserve"> groups </w:t>
      </w:r>
    </w:p>
    <w:p w14:paraId="25BB8843" w14:textId="7CA685EA" w:rsidR="00561F79" w:rsidRPr="00895531" w:rsidRDefault="00895531" w:rsidP="00895531">
      <w:pPr>
        <w:rPr>
          <w:bCs/>
          <w:lang w:eastAsia="ja-JP"/>
        </w:rPr>
      </w:pPr>
      <w:r>
        <w:rPr>
          <w:bCs/>
          <w:lang w:eastAsia="ja-JP"/>
        </w:rPr>
        <w:t>Another alternative that has been discussed in RAN1#104-e is Alt 3 where a new principle is introduced to have a sliding window of X slots such</w:t>
      </w:r>
      <w:r w:rsidR="00A36717">
        <w:rPr>
          <w:bCs/>
          <w:lang w:eastAsia="ja-JP"/>
        </w:rPr>
        <w:t xml:space="preserve"> that</w:t>
      </w:r>
      <w:r>
        <w:rPr>
          <w:bCs/>
          <w:lang w:eastAsia="ja-JP"/>
        </w:rPr>
        <w:t xml:space="preserve">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w:t>
      </w:r>
      <w:r w:rsidR="00A36717">
        <w:rPr>
          <w:bCs/>
          <w:lang w:eastAsia="ja-JP"/>
        </w:rPr>
        <w:t xml:space="preserve">the </w:t>
      </w:r>
      <w:r>
        <w:rPr>
          <w:bCs/>
          <w:lang w:eastAsia="ja-JP"/>
        </w:rPr>
        <w:t>same thing and therefore Alt 2 should be agreed as it is a simple extension of exiting mechanism and would be easier to specify.</w:t>
      </w:r>
    </w:p>
    <w:p w14:paraId="1866A79F" w14:textId="07C924EB" w:rsidR="00143172" w:rsidRDefault="00143172" w:rsidP="00143172">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w:t>
      </w:r>
      <w:r w:rsidR="00A57D2C">
        <w:rPr>
          <w:b/>
          <w:i/>
          <w:iCs/>
        </w:rPr>
        <w:t xml:space="preserve"> </w:t>
      </w:r>
      <w:r w:rsidR="00FB4564">
        <w:rPr>
          <w:b/>
          <w:i/>
          <w:iCs/>
        </w:rPr>
        <w:t>i.e.,</w:t>
      </w:r>
      <w:r w:rsidR="00A57D2C">
        <w:rPr>
          <w:b/>
          <w:i/>
          <w:iCs/>
        </w:rPr>
        <w:t xml:space="preserve"> extension of (X,</w:t>
      </w:r>
      <w:r w:rsidR="000C1EF4">
        <w:rPr>
          <w:b/>
          <w:i/>
          <w:iCs/>
        </w:rPr>
        <w:t xml:space="preserve"> </w:t>
      </w:r>
      <w:r w:rsidR="00A57D2C">
        <w:rPr>
          <w:b/>
          <w:i/>
          <w:iCs/>
        </w:rPr>
        <w:t>Y) PDCCH monitoring span for multi-slot PDCCH monitoring</w:t>
      </w:r>
    </w:p>
    <w:p w14:paraId="30D08175" w14:textId="17B7972A" w:rsidR="00B00DFB" w:rsidRPr="00B00DFB" w:rsidRDefault="00B00DFB" w:rsidP="008F4E8C">
      <w:pPr>
        <w:jc w:val="both"/>
        <w:rPr>
          <w:bCs/>
        </w:rPr>
      </w:pPr>
      <w:r>
        <w:rPr>
          <w:bCs/>
        </w:rPr>
        <w:lastRenderedPageBreak/>
        <w:t xml:space="preserve">Furthermore, exact duration of the multi-slot PDCCH monitoring </w:t>
      </w:r>
      <w:r w:rsidR="00FC1191">
        <w:rPr>
          <w:bCs/>
        </w:rPr>
        <w:t xml:space="preserve">span </w:t>
      </w:r>
      <w:r>
        <w:rPr>
          <w:bCs/>
        </w:rPr>
        <w:t xml:space="preserve">can be configurable with different values in terms of number of slots depending upon the SCS values. </w:t>
      </w:r>
      <w:r w:rsidR="00E71BAA">
        <w:rPr>
          <w:bCs/>
        </w:rPr>
        <w:t xml:space="preserve">In our view, </w:t>
      </w:r>
      <w:r>
        <w:rPr>
          <w:bCs/>
        </w:rPr>
        <w:t xml:space="preserve">with 480kHz SCS value, multi-slot PDCCH monitoring span </w:t>
      </w:r>
      <w:r w:rsidR="00E71BAA">
        <w:rPr>
          <w:bCs/>
        </w:rPr>
        <w:t>should be</w:t>
      </w:r>
      <w:r>
        <w:rPr>
          <w:bCs/>
        </w:rPr>
        <w:t xml:space="preserve"> 4 slots and with 960kHz SCS value, multi-slot PDCCH monitoring span </w:t>
      </w:r>
      <w:r w:rsidR="00E71BAA">
        <w:rPr>
          <w:bCs/>
        </w:rPr>
        <w:t>should be</w:t>
      </w:r>
      <w:r>
        <w:rPr>
          <w:bCs/>
        </w:rPr>
        <w:t xml:space="preserve"> 8 slots. </w:t>
      </w:r>
      <w:r w:rsidR="005C2CB9">
        <w:rPr>
          <w:bCs/>
        </w:rPr>
        <w:t>For supporting lower values for either of the SCS value, it can be further considered if there is a strong motivation to do so.</w:t>
      </w:r>
    </w:p>
    <w:p w14:paraId="5CB9ACD4" w14:textId="2C97DD78" w:rsidR="00B00DFB" w:rsidRDefault="00B00DFB" w:rsidP="00D639AD">
      <w:pPr>
        <w:spacing w:after="0"/>
        <w:jc w:val="both"/>
        <w:rPr>
          <w:b/>
          <w:i/>
          <w:iCs/>
        </w:rPr>
      </w:pPr>
      <w:r>
        <w:rPr>
          <w:b/>
          <w:i/>
          <w:iCs/>
          <w:lang w:eastAsia="ja-JP"/>
        </w:rPr>
        <w:t xml:space="preserve">Proposal </w:t>
      </w:r>
      <w:r w:rsidR="007D6AA6">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C671AA">
        <w:rPr>
          <w:b/>
          <w:i/>
          <w:iCs/>
        </w:rPr>
        <w:t>support 4-slot duration for 480 kHz and 8-slot duration for 960 kHz</w:t>
      </w:r>
      <w:r w:rsidR="009E2954">
        <w:rPr>
          <w:b/>
          <w:i/>
          <w:iCs/>
        </w:rPr>
        <w:t>:</w:t>
      </w:r>
    </w:p>
    <w:p w14:paraId="41898DC8" w14:textId="2F85C522" w:rsidR="00A36717" w:rsidRDefault="00A36717" w:rsidP="00A36717">
      <w:pPr>
        <w:pStyle w:val="ListParagraph"/>
        <w:numPr>
          <w:ilvl w:val="0"/>
          <w:numId w:val="2"/>
        </w:numPr>
        <w:jc w:val="both"/>
        <w:rPr>
          <w:b/>
          <w:i/>
          <w:iCs/>
        </w:rPr>
      </w:pPr>
      <w:r>
        <w:rPr>
          <w:b/>
          <w:i/>
          <w:iCs/>
        </w:rPr>
        <w:t>These durations should be the basis for reporting the UE capabilities</w:t>
      </w:r>
    </w:p>
    <w:p w14:paraId="5918021C" w14:textId="601B86DC" w:rsidR="009E2954" w:rsidRDefault="009E2954" w:rsidP="009E2954">
      <w:pPr>
        <w:pStyle w:val="ListParagraph"/>
        <w:numPr>
          <w:ilvl w:val="0"/>
          <w:numId w:val="2"/>
        </w:numPr>
        <w:jc w:val="both"/>
        <w:rPr>
          <w:b/>
          <w:i/>
          <w:iCs/>
        </w:rPr>
      </w:pPr>
      <w:r>
        <w:rPr>
          <w:b/>
          <w:i/>
          <w:iCs/>
        </w:rPr>
        <w:t>Any lowe</w:t>
      </w:r>
      <w:r w:rsidR="00D639AD">
        <w:rPr>
          <w:b/>
          <w:i/>
          <w:iCs/>
        </w:rPr>
        <w:t>r</w:t>
      </w:r>
      <w:r>
        <w:rPr>
          <w:b/>
          <w:i/>
          <w:iCs/>
        </w:rPr>
        <w:t xml:space="preserve"> values should be considered only if there is strong motivation/benefit to do so</w:t>
      </w:r>
    </w:p>
    <w:p w14:paraId="4ADAB156" w14:textId="0F704574" w:rsidR="00882BEF" w:rsidRDefault="00882BEF" w:rsidP="00882BEF">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w:t>
      </w:r>
      <w:r w:rsidR="00561448">
        <w:rPr>
          <w:bCs/>
        </w:rPr>
        <w:t xml:space="preserve">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w:t>
      </w:r>
      <w:r w:rsidR="00642B56">
        <w:rPr>
          <w:bCs/>
        </w:rPr>
        <w:t>Similarly,</w:t>
      </w:r>
      <w:r w:rsidR="00561448">
        <w:rPr>
          <w:bCs/>
        </w:rPr>
        <w:t xml:space="preserve"> the duration should be defined in multiples of slot groups. </w:t>
      </w:r>
    </w:p>
    <w:p w14:paraId="4711D953" w14:textId="4A99F3E8" w:rsidR="00642B56" w:rsidRDefault="00642B56" w:rsidP="00642B56">
      <w:pPr>
        <w:jc w:val="both"/>
        <w:rPr>
          <w:b/>
          <w:i/>
          <w:iCs/>
        </w:rPr>
      </w:pPr>
      <w:r>
        <w:rPr>
          <w:b/>
          <w:i/>
          <w:iCs/>
          <w:lang w:eastAsia="ja-JP"/>
        </w:rPr>
        <w:t xml:space="preserve">Proposal </w:t>
      </w:r>
      <w:r w:rsidR="0014114E">
        <w:rPr>
          <w:b/>
          <w:i/>
          <w:iCs/>
          <w:lang w:eastAsia="ja-JP"/>
        </w:rPr>
        <w:t>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F53995">
        <w:rPr>
          <w:b/>
          <w:i/>
          <w:iCs/>
        </w:rPr>
        <w:t>search space configuration should be enhanced to support (or restrict) the PDCCH monitoring periodicity and corresponding duration in multiples of slot groups rather than multiples of slots</w:t>
      </w:r>
    </w:p>
    <w:p w14:paraId="2C677F4C" w14:textId="19F80AA7" w:rsidR="00B53202" w:rsidRDefault="00253839" w:rsidP="00B53202">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5" w:name="_Hlk67905373"/>
      <w:r>
        <w:rPr>
          <w:rFonts w:asciiTheme="majorBidi" w:hAnsiTheme="majorBidi" w:cstheme="majorBidi"/>
          <w:bCs/>
        </w:rPr>
        <w:t>For example, if there is a 4-slot monitoring duration, then a slot-level bitmap “1010” would indicate that monitoring occasion is in slot 1 and slot 3</w:t>
      </w:r>
      <w:bookmarkEnd w:id="5"/>
      <w:r>
        <w:rPr>
          <w:rFonts w:asciiTheme="majorBidi" w:hAnsiTheme="majorBidi" w:cstheme="majorBidi"/>
          <w:bCs/>
        </w:rPr>
        <w:t>. And if symbol-level bitmap is “ 11100000000000” is indicated, then that means for slot 1 and slot 3, PDCCH monitoring occasion is in the first 3 symbols, respectively.</w:t>
      </w:r>
    </w:p>
    <w:p w14:paraId="5BBD7578" w14:textId="0E505D68" w:rsidR="00253839" w:rsidRDefault="00253839" w:rsidP="00B53202">
      <w:pPr>
        <w:spacing w:after="0"/>
        <w:jc w:val="both"/>
        <w:rPr>
          <w:rFonts w:asciiTheme="majorBidi" w:hAnsiTheme="majorBidi" w:cstheme="majorBidi"/>
          <w:bCs/>
        </w:rPr>
      </w:pPr>
    </w:p>
    <w:p w14:paraId="4F355DA5" w14:textId="30906FD8" w:rsidR="000671D6" w:rsidRDefault="000671D6" w:rsidP="000671D6">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198B422E" w14:textId="031EA5AF" w:rsidR="00B53202" w:rsidRDefault="00B53202" w:rsidP="00B5320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t xml:space="preserve">PDCCH monitoring </w:t>
      </w:r>
      <w:r w:rsidR="00A36717">
        <w:rPr>
          <w:rFonts w:ascii="Arial" w:eastAsia="MS Mincho" w:hAnsi="Arial"/>
          <w:sz w:val="36"/>
          <w:szCs w:val="36"/>
          <w:lang w:eastAsia="ja-JP"/>
        </w:rPr>
        <w:t xml:space="preserve">effort </w:t>
      </w:r>
      <w:r>
        <w:rPr>
          <w:rFonts w:ascii="Arial" w:eastAsia="MS Mincho" w:hAnsi="Arial"/>
          <w:sz w:val="36"/>
          <w:szCs w:val="36"/>
          <w:lang w:eastAsia="ja-JP"/>
        </w:rPr>
        <w:t>restrictions</w:t>
      </w:r>
    </w:p>
    <w:p w14:paraId="0F0F7022" w14:textId="6A28C523" w:rsidR="000756A6" w:rsidRPr="000756A6" w:rsidRDefault="000756A6" w:rsidP="00AC2049">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w:t>
      </w:r>
      <w:r w:rsidR="00A97BF8">
        <w:rPr>
          <w:bCs/>
          <w:lang w:eastAsia="ja-JP"/>
        </w:rPr>
        <w:t xml:space="preserve">number of </w:t>
      </w:r>
      <w:r>
        <w:rPr>
          <w:bCs/>
          <w:lang w:eastAsia="ja-JP"/>
        </w:rPr>
        <w:t>blind detection</w:t>
      </w:r>
      <w:r w:rsidR="00A97BF8">
        <w:rPr>
          <w:bCs/>
          <w:lang w:eastAsia="ja-JP"/>
        </w:rPr>
        <w:t>s</w:t>
      </w:r>
      <w:r>
        <w:rPr>
          <w:bCs/>
          <w:lang w:eastAsia="ja-JP"/>
        </w:rPr>
        <w:t xml:space="preserve"> for a UE can be significantly reduced</w:t>
      </w:r>
      <w:r w:rsidR="00A97BF8">
        <w:rPr>
          <w:bCs/>
          <w:lang w:eastAsia="ja-JP"/>
        </w:rPr>
        <w:t xml:space="preserve"> or at leas</w:t>
      </w:r>
      <w:r w:rsidR="00F3729B">
        <w:rPr>
          <w:bCs/>
          <w:lang w:eastAsia="ja-JP"/>
        </w:rPr>
        <w:t>t</w:t>
      </w:r>
      <w:r w:rsidR="00A97BF8">
        <w:rPr>
          <w:bCs/>
          <w:lang w:eastAsia="ja-JP"/>
        </w:rPr>
        <w:t xml:space="preserve"> not expected to increase from the current UE capabilities. </w:t>
      </w:r>
    </w:p>
    <w:p w14:paraId="32B3BA30" w14:textId="5B2D225E" w:rsidR="00AC2049" w:rsidRDefault="00AC2049" w:rsidP="00AC2049">
      <w:pPr>
        <w:jc w:val="both"/>
        <w:rPr>
          <w:b/>
          <w:i/>
          <w:iCs/>
        </w:rPr>
      </w:pPr>
      <w:r>
        <w:rPr>
          <w:b/>
          <w:i/>
          <w:iCs/>
          <w:lang w:eastAsia="ja-JP"/>
        </w:rPr>
        <w:t xml:space="preserve">Proposal </w:t>
      </w:r>
      <w:r w:rsidR="00FB0184">
        <w:rPr>
          <w:b/>
          <w:i/>
          <w:iCs/>
          <w:lang w:eastAsia="ja-JP"/>
        </w:rPr>
        <w:t>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w:t>
      </w:r>
      <w:r w:rsidR="00E83B5D">
        <w:rPr>
          <w:b/>
          <w:i/>
          <w:iCs/>
        </w:rPr>
        <w:t>/</w:t>
      </w:r>
      <w:r>
        <w:rPr>
          <w:b/>
          <w:i/>
          <w:iCs/>
        </w:rPr>
        <w:t xml:space="preserve">PUSCH, then restrictions on monitoring of other DCI formats (such as DCI format 0_1/1_1) should be </w:t>
      </w:r>
      <w:r w:rsidR="00F26ACF">
        <w:rPr>
          <w:b/>
          <w:i/>
          <w:iCs/>
        </w:rPr>
        <w:t>supported</w:t>
      </w:r>
      <w:r w:rsidR="00E83B5D">
        <w:rPr>
          <w:b/>
          <w:i/>
          <w:iCs/>
        </w:rPr>
        <w:t xml:space="preserve"> </w:t>
      </w:r>
      <w:r w:rsidR="008870B0">
        <w:rPr>
          <w:b/>
          <w:i/>
          <w:iCs/>
        </w:rPr>
        <w:t>i.e.,</w:t>
      </w:r>
      <w:r w:rsidR="00E83B5D">
        <w:rPr>
          <w:b/>
          <w:i/>
          <w:iCs/>
        </w:rPr>
        <w:t xml:space="preserve"> sea</w:t>
      </w:r>
      <w:r w:rsidR="007B498D">
        <w:rPr>
          <w:b/>
          <w:i/>
          <w:iCs/>
        </w:rPr>
        <w:t>r</w:t>
      </w:r>
      <w:r w:rsidR="00E83B5D">
        <w:rPr>
          <w:b/>
          <w:i/>
          <w:iCs/>
        </w:rPr>
        <w:t>ch space set configuration with restricted combination of DCI formats should be supported to not increase the number of blind decodes</w:t>
      </w:r>
    </w:p>
    <w:p w14:paraId="04C766FF" w14:textId="2663618C" w:rsidR="001067E6" w:rsidRDefault="00495CA0" w:rsidP="00913653">
      <w:pPr>
        <w:jc w:val="both"/>
        <w:rPr>
          <w:bCs/>
          <w:lang w:eastAsia="ja-JP"/>
        </w:rPr>
      </w:pPr>
      <w:r>
        <w:rPr>
          <w:bCs/>
          <w:lang w:eastAsia="ja-JP"/>
        </w:rPr>
        <w:t>Furthermore, w</w:t>
      </w:r>
      <w:r w:rsidR="00F221F9">
        <w:rPr>
          <w:bCs/>
          <w:lang w:eastAsia="ja-JP"/>
        </w:rPr>
        <w:t>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2102A8A" w14:textId="7E1884EC" w:rsidR="00F221F9" w:rsidRDefault="00F221F9" w:rsidP="00F221F9">
      <w:pPr>
        <w:pStyle w:val="ListParagraph"/>
        <w:numPr>
          <w:ilvl w:val="0"/>
          <w:numId w:val="2"/>
        </w:numPr>
        <w:jc w:val="both"/>
        <w:rPr>
          <w:bCs/>
          <w:lang w:eastAsia="ja-JP"/>
        </w:rPr>
      </w:pPr>
      <w:r>
        <w:rPr>
          <w:bCs/>
          <w:lang w:eastAsia="ja-JP"/>
        </w:rPr>
        <w:t>Better support for higher aggregation levels for better reliability</w:t>
      </w:r>
    </w:p>
    <w:p w14:paraId="59CAE8DE" w14:textId="3A237811" w:rsidR="00F221F9" w:rsidRDefault="00F221F9" w:rsidP="00F221F9">
      <w:pPr>
        <w:pStyle w:val="ListParagraph"/>
        <w:numPr>
          <w:ilvl w:val="0"/>
          <w:numId w:val="2"/>
        </w:numPr>
        <w:jc w:val="both"/>
        <w:rPr>
          <w:bCs/>
          <w:lang w:eastAsia="ja-JP"/>
        </w:rPr>
      </w:pPr>
      <w:r>
        <w:rPr>
          <w:bCs/>
          <w:lang w:eastAsia="ja-JP"/>
        </w:rPr>
        <w:t>More resources available for CORESET, but with same or even reduced duration in absolute time</w:t>
      </w:r>
    </w:p>
    <w:p w14:paraId="657B90CD" w14:textId="77777777" w:rsidR="0056186D" w:rsidRDefault="00F221F9" w:rsidP="00F221F9">
      <w:pPr>
        <w:pStyle w:val="ListParagraph"/>
        <w:numPr>
          <w:ilvl w:val="0"/>
          <w:numId w:val="2"/>
        </w:numPr>
        <w:jc w:val="both"/>
        <w:rPr>
          <w:bCs/>
          <w:lang w:eastAsia="ja-JP"/>
        </w:rPr>
      </w:pPr>
      <w:r>
        <w:rPr>
          <w:bCs/>
          <w:lang w:eastAsia="ja-JP"/>
        </w:rPr>
        <w:t>More symbols available to allow TDM multiplexing between DM-RS and control information</w:t>
      </w:r>
    </w:p>
    <w:p w14:paraId="14157D60" w14:textId="506F023B" w:rsidR="00F221F9" w:rsidRDefault="00F221F9" w:rsidP="0056186D">
      <w:pPr>
        <w:pStyle w:val="ListParagraph"/>
        <w:numPr>
          <w:ilvl w:val="1"/>
          <w:numId w:val="2"/>
        </w:numPr>
        <w:jc w:val="both"/>
        <w:rPr>
          <w:bCs/>
          <w:lang w:eastAsia="ja-JP"/>
        </w:rPr>
      </w:pPr>
      <w:r w:rsidRPr="0056186D">
        <w:rPr>
          <w:bCs/>
          <w:lang w:eastAsia="ja-JP"/>
        </w:rPr>
        <w:t>Benefit of a DM-RS symbol with continuous frequency resources will account for better channel estimation with higher SCS values.</w:t>
      </w:r>
    </w:p>
    <w:p w14:paraId="4DB571A4" w14:textId="57174A97" w:rsidR="0056186D" w:rsidRPr="0056186D" w:rsidRDefault="0056186D" w:rsidP="0056186D">
      <w:pPr>
        <w:jc w:val="both"/>
        <w:rPr>
          <w:bCs/>
          <w:lang w:eastAsia="ja-JP"/>
        </w:rPr>
      </w:pPr>
      <w:r>
        <w:rPr>
          <w:bCs/>
          <w:lang w:eastAsia="ja-JP"/>
        </w:rPr>
        <w:lastRenderedPageBreak/>
        <w:t xml:space="preserve">In </w:t>
      </w:r>
      <w:r w:rsidR="004903FC">
        <w:rPr>
          <w:bCs/>
          <w:lang w:eastAsia="ja-JP"/>
        </w:rPr>
        <w:t>fact,</w:t>
      </w:r>
      <w:r>
        <w:rPr>
          <w:bCs/>
          <w:lang w:eastAsia="ja-JP"/>
        </w:rPr>
        <w:t xml:space="preserve"> for very high SCS value such as 960kHz, even an entire slot for PDCCH can be considered to allow for only single PDCCH monitoring occasion within a slot.</w:t>
      </w:r>
    </w:p>
    <w:p w14:paraId="1FE28F20" w14:textId="50B0154E" w:rsidR="0027420D" w:rsidRDefault="00F26ACF" w:rsidP="00003D0F">
      <w:pPr>
        <w:spacing w:after="0"/>
        <w:jc w:val="both"/>
        <w:rPr>
          <w:b/>
          <w:i/>
          <w:iCs/>
        </w:rPr>
      </w:pPr>
      <w:r>
        <w:rPr>
          <w:b/>
          <w:i/>
          <w:iCs/>
          <w:lang w:eastAsia="ja-JP"/>
        </w:rPr>
        <w:t xml:space="preserve">Proposal </w:t>
      </w:r>
      <w:r w:rsidR="00541D33">
        <w:rPr>
          <w:b/>
          <w:i/>
          <w:iCs/>
          <w:lang w:eastAsia="ja-JP"/>
        </w:rPr>
        <w:t>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27420D">
        <w:rPr>
          <w:b/>
          <w:i/>
          <w:iCs/>
        </w:rPr>
        <w:t>CORESET duration longer than 3 symbols should be supported:</w:t>
      </w:r>
    </w:p>
    <w:p w14:paraId="11F05797" w14:textId="0F2EEF64" w:rsidR="00F26ACF" w:rsidRPr="00003D0F" w:rsidRDefault="0027420D" w:rsidP="00003D0F">
      <w:pPr>
        <w:pStyle w:val="ListParagraph"/>
        <w:numPr>
          <w:ilvl w:val="0"/>
          <w:numId w:val="18"/>
        </w:numPr>
        <w:jc w:val="both"/>
        <w:rPr>
          <w:b/>
          <w:i/>
          <w:iCs/>
        </w:rPr>
      </w:pPr>
      <w:r w:rsidRPr="00003D0F">
        <w:rPr>
          <w:b/>
          <w:i/>
          <w:iCs/>
        </w:rPr>
        <w:t xml:space="preserve">FFS: Maximum duration </w:t>
      </w:r>
      <w:r w:rsidR="00003D0F" w:rsidRPr="00003D0F">
        <w:rPr>
          <w:b/>
          <w:i/>
          <w:iCs/>
        </w:rPr>
        <w:t>up to</w:t>
      </w:r>
      <w:r w:rsidRPr="00003D0F">
        <w:rPr>
          <w:b/>
          <w:i/>
          <w:iCs/>
        </w:rPr>
        <w:t xml:space="preserve"> 14 symbols in a slot</w:t>
      </w:r>
    </w:p>
    <w:p w14:paraId="4FC52CC1" w14:textId="16A27638" w:rsidR="009D5E69" w:rsidRDefault="009D5E69" w:rsidP="009D5E69">
      <w:pPr>
        <w:jc w:val="both"/>
        <w:rPr>
          <w:b/>
          <w:i/>
          <w:iCs/>
        </w:rPr>
      </w:pPr>
      <w:r>
        <w:rPr>
          <w:b/>
          <w:i/>
          <w:iCs/>
          <w:lang w:eastAsia="ja-JP"/>
        </w:rPr>
        <w:t xml:space="preserve">Proposal </w:t>
      </w:r>
      <w:r w:rsidR="00541D33">
        <w:rPr>
          <w:b/>
          <w:i/>
          <w:iCs/>
          <w:lang w:eastAsia="ja-JP"/>
        </w:rPr>
        <w:t>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090FD1DE" w14:textId="77777777" w:rsidR="003D1867" w:rsidRDefault="003D1867" w:rsidP="003D1867">
      <w:pPr>
        <w:spacing w:after="0"/>
        <w:jc w:val="both"/>
        <w:rPr>
          <w:rFonts w:asciiTheme="majorBidi" w:hAnsiTheme="majorBidi" w:cstheme="majorBidi"/>
          <w:bCs/>
        </w:rPr>
      </w:pPr>
    </w:p>
    <w:p w14:paraId="3EF2F589" w14:textId="39E780D8" w:rsidR="003D1867" w:rsidRDefault="007B6F9A" w:rsidP="003D186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1867">
        <w:rPr>
          <w:rFonts w:ascii="Arial" w:eastAsia="MS Mincho" w:hAnsi="Arial"/>
          <w:sz w:val="36"/>
          <w:szCs w:val="36"/>
          <w:lang w:eastAsia="ja-JP"/>
        </w:rPr>
        <w:tab/>
        <w:t xml:space="preserve">PDCCH multi-beam aspects </w:t>
      </w:r>
    </w:p>
    <w:p w14:paraId="78DBC672" w14:textId="473F8B16" w:rsidR="00D54E1C" w:rsidRDefault="00D54E1C" w:rsidP="00D54E1C">
      <w:pPr>
        <w:jc w:val="both"/>
      </w:pPr>
      <w:r>
        <w:rPr>
          <w:bCs/>
        </w:rPr>
        <w:t xml:space="preserve">Another important aspect for </w:t>
      </w:r>
      <w:r>
        <w:rPr>
          <w:kern w:val="2"/>
          <w:lang w:eastAsia="zh-CN"/>
        </w:rPr>
        <w:t xml:space="preserve">PDCCH monitoring is related to directional LBT. Directional LBT may cause some issues </w:t>
      </w:r>
      <w:r w:rsidR="00F3729B">
        <w:rPr>
          <w:kern w:val="2"/>
          <w:lang w:eastAsia="zh-CN"/>
        </w:rPr>
        <w:t>in comparison</w:t>
      </w:r>
      <w:r>
        <w:rPr>
          <w:kern w:val="2"/>
          <w:lang w:eastAsia="zh-CN"/>
        </w:rPr>
        <w:t xml:space="preserve"> with omni-directional LBT. For example, different Tx beams used by gNB may correspond to different COTs, thus different CORESETs which are configured with different Tx beams by higher layer </w:t>
      </w:r>
      <w:r w:rsidR="003963EE">
        <w:rPr>
          <w:kern w:val="2"/>
          <w:lang w:eastAsia="zh-CN"/>
        </w:rPr>
        <w:t>signaling</w:t>
      </w:r>
      <w:r>
        <w:rPr>
          <w:kern w:val="2"/>
          <w:lang w:eastAsia="zh-CN"/>
        </w:rPr>
        <w:t xml:space="preserve">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w:t>
      </w:r>
      <w:r w:rsidR="003521E6">
        <w:rPr>
          <w:kern w:val="2"/>
          <w:lang w:eastAsia="zh-CN"/>
        </w:rPr>
        <w:t>After</w:t>
      </w:r>
      <w:r>
        <w:rPr>
          <w:kern w:val="2"/>
          <w:lang w:eastAsia="zh-CN"/>
        </w:rPr>
        <w:t xml:space="preserve"> transmitting a PDCCH to a UE within a COT, the gNB will not transmit PDCCH to this UE in the CORESET corresponding to another COT until the current COT ends.</w:t>
      </w:r>
    </w:p>
    <w:p w14:paraId="22590D6F" w14:textId="2F27011B" w:rsidR="00D54E1C" w:rsidRDefault="00D54E1C" w:rsidP="00D54E1C">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541D33">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w:t>
      </w:r>
      <w:r w:rsidR="00756905">
        <w:rPr>
          <w:rFonts w:asciiTheme="majorBidi" w:hAnsiTheme="majorBidi" w:cstheme="majorBidi"/>
          <w:b/>
          <w:bCs/>
          <w:i/>
          <w:iCs/>
          <w:lang w:eastAsia="zh-CN"/>
        </w:rPr>
        <w:t>is no</w:t>
      </w:r>
      <w:r w:rsidR="00755C9A">
        <w:rPr>
          <w:rFonts w:asciiTheme="majorBidi" w:hAnsiTheme="majorBidi" w:cstheme="majorBidi"/>
          <w:b/>
          <w:bCs/>
          <w:i/>
          <w:iCs/>
          <w:lang w:eastAsia="zh-CN"/>
        </w:rPr>
        <w:t>t</w:t>
      </w:r>
      <w:r w:rsidR="00756905">
        <w:rPr>
          <w:rFonts w:asciiTheme="majorBidi" w:hAnsiTheme="majorBidi" w:cstheme="majorBidi"/>
          <w:b/>
          <w:bCs/>
          <w:i/>
          <w:iCs/>
          <w:lang w:eastAsia="zh-CN"/>
        </w:rPr>
        <w:t xml:space="preserve"> supported </w:t>
      </w:r>
      <w:r>
        <w:rPr>
          <w:rFonts w:asciiTheme="majorBidi" w:hAnsiTheme="majorBidi" w:cstheme="majorBidi"/>
          <w:b/>
          <w:bCs/>
          <w:i/>
          <w:iCs/>
          <w:lang w:eastAsia="zh-CN"/>
        </w:rPr>
        <w:t>in the CORESETs corresponding to other COTs</w:t>
      </w:r>
      <w:r w:rsidR="00756905">
        <w:rPr>
          <w:rFonts w:asciiTheme="majorBidi" w:hAnsiTheme="majorBidi" w:cstheme="majorBidi"/>
          <w:b/>
          <w:bCs/>
          <w:i/>
          <w:iCs/>
          <w:lang w:eastAsia="zh-CN"/>
        </w:rPr>
        <w:t xml:space="preserve"> (</w:t>
      </w:r>
      <w:r w:rsidR="0030439A">
        <w:rPr>
          <w:rFonts w:asciiTheme="majorBidi" w:hAnsiTheme="majorBidi" w:cstheme="majorBidi"/>
          <w:b/>
          <w:bCs/>
          <w:i/>
          <w:iCs/>
          <w:lang w:eastAsia="zh-CN"/>
        </w:rPr>
        <w:t>PDCCH monitoring restricted to monitoring corresponding to only one COT</w:t>
      </w:r>
      <w:r w:rsidR="00C77E02">
        <w:rPr>
          <w:rFonts w:asciiTheme="majorBidi" w:hAnsiTheme="majorBidi" w:cstheme="majorBidi"/>
          <w:b/>
          <w:bCs/>
          <w:i/>
          <w:iCs/>
          <w:lang w:eastAsia="zh-CN"/>
        </w:rPr>
        <w:t xml:space="preserve"> at a time</w:t>
      </w:r>
      <w:r w:rsidR="0030439A">
        <w:rPr>
          <w:rFonts w:asciiTheme="majorBidi" w:hAnsiTheme="majorBidi" w:cstheme="majorBidi"/>
          <w:b/>
          <w:bCs/>
          <w:i/>
          <w:iCs/>
          <w:lang w:eastAsia="zh-CN"/>
        </w:rPr>
        <w:t>)</w:t>
      </w:r>
    </w:p>
    <w:p w14:paraId="5123505A" w14:textId="52CE7046" w:rsidR="00902343" w:rsidRDefault="00902343" w:rsidP="00D54E1C">
      <w:pPr>
        <w:spacing w:after="0"/>
        <w:jc w:val="both"/>
        <w:rPr>
          <w:rFonts w:asciiTheme="majorBidi" w:hAnsiTheme="majorBidi" w:cstheme="majorBidi"/>
          <w:b/>
          <w:bCs/>
          <w:i/>
          <w:iCs/>
          <w:lang w:eastAsia="zh-CN"/>
        </w:rPr>
      </w:pPr>
    </w:p>
    <w:p w14:paraId="54B616A1" w14:textId="7DAD6870" w:rsidR="00902343" w:rsidRDefault="00902343" w:rsidP="00D54E1C">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w:t>
      </w:r>
      <w:r w:rsidR="006320C8">
        <w:rPr>
          <w:rFonts w:asciiTheme="majorBidi" w:hAnsiTheme="majorBidi" w:cstheme="majorBidi"/>
          <w:lang w:eastAsia="zh-CN"/>
        </w:rPr>
        <w:t>Further details related to beam management for PDCCH CORESET are also discussed in our accompanying contribution [3].</w:t>
      </w:r>
    </w:p>
    <w:p w14:paraId="54707A50" w14:textId="77777777" w:rsidR="006A22D1" w:rsidRDefault="006A22D1" w:rsidP="00D54E1C">
      <w:pPr>
        <w:spacing w:after="0"/>
        <w:jc w:val="both"/>
        <w:rPr>
          <w:rFonts w:asciiTheme="majorBidi" w:hAnsiTheme="majorBidi" w:cstheme="majorBidi"/>
          <w:lang w:eastAsia="zh-CN"/>
        </w:rPr>
      </w:pPr>
    </w:p>
    <w:p w14:paraId="4D83674F" w14:textId="719E003B" w:rsidR="006A22D1" w:rsidRDefault="006A22D1" w:rsidP="006A22D1">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541D33">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005030">
        <w:rPr>
          <w:b/>
          <w:i/>
          <w:iCs/>
        </w:rPr>
        <w:t xml:space="preserve">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t>
      </w:r>
      <w:r w:rsidR="00005030">
        <w:rPr>
          <w:rFonts w:asciiTheme="majorBidi" w:hAnsiTheme="majorBidi" w:cstheme="majorBidi"/>
          <w:b/>
          <w:bCs/>
          <w:i/>
          <w:iCs/>
          <w:lang w:eastAsia="zh-CN"/>
        </w:rPr>
        <w:t xml:space="preserve">within a </w:t>
      </w:r>
      <w:r>
        <w:rPr>
          <w:rFonts w:asciiTheme="majorBidi" w:hAnsiTheme="majorBidi" w:cstheme="majorBidi"/>
          <w:b/>
          <w:bCs/>
          <w:i/>
          <w:iCs/>
          <w:lang w:eastAsia="zh-CN"/>
        </w:rPr>
        <w:t xml:space="preserve"> multi-slot PDCCH monitoring</w:t>
      </w:r>
    </w:p>
    <w:p w14:paraId="63D03F01" w14:textId="77777777" w:rsidR="00EA72BB" w:rsidRPr="003237DE" w:rsidRDefault="00EA72BB" w:rsidP="00A40260">
      <w:pPr>
        <w:spacing w:after="0"/>
        <w:jc w:val="both"/>
        <w:rPr>
          <w:rFonts w:asciiTheme="majorBidi" w:hAnsiTheme="majorBidi" w:cstheme="majorBidi"/>
          <w:lang w:eastAsia="zh-CN"/>
        </w:rPr>
      </w:pPr>
    </w:p>
    <w:p w14:paraId="0376B0F9" w14:textId="78D7C1D5" w:rsidR="00790DD7" w:rsidRPr="000B409F" w:rsidRDefault="001D7CFD"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enhancements for PDCCH monitoring for NR operation between 52.6 GHz to 71 GHz with high SCS values and provided following observations/proposals:</w:t>
      </w:r>
      <w:r w:rsidRPr="00347C63">
        <w:rPr>
          <w:rFonts w:asciiTheme="majorBidi" w:hAnsiTheme="majorBidi" w:cstheme="majorBidi"/>
        </w:rPr>
        <w:t xml:space="preserve"> </w:t>
      </w:r>
    </w:p>
    <w:p w14:paraId="6B512DA1" w14:textId="46AD649E" w:rsidR="00561DF9" w:rsidRPr="00126FB9" w:rsidRDefault="00561DF9" w:rsidP="00561DF9">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45076B2" w14:textId="04F9D699" w:rsidR="00561DF9" w:rsidRPr="00126FB9" w:rsidRDefault="00561DF9" w:rsidP="00561DF9">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3DE65239" w14:textId="7FAA4CD9" w:rsidR="00561DF9" w:rsidRPr="00126FB9" w:rsidRDefault="00561DF9" w:rsidP="00561DF9">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w:t>
      </w:r>
      <w:r>
        <w:rPr>
          <w:b/>
          <w:i/>
          <w:iCs/>
        </w:rPr>
        <w:lastRenderedPageBreak/>
        <w:t xml:space="preserve">the PDCCH monitoring flexibility can be achieved, while also avoiding the issue of back-to-back PDCCH monitoring across continuous multi-slot group. </w:t>
      </w:r>
    </w:p>
    <w:p w14:paraId="1D8CE0B4" w14:textId="77777777" w:rsidR="00107E45" w:rsidRDefault="00107E45" w:rsidP="00561DF9">
      <w:pPr>
        <w:jc w:val="both"/>
        <w:rPr>
          <w:b/>
          <w:i/>
          <w:iCs/>
          <w:lang w:eastAsia="ja-JP"/>
        </w:rPr>
      </w:pPr>
    </w:p>
    <w:p w14:paraId="47ED1A17" w14:textId="023099E7" w:rsidR="00561DF9" w:rsidRDefault="00561DF9" w:rsidP="00561DF9">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6E0EC5D6" w14:textId="77777777" w:rsidR="00561DF9" w:rsidRDefault="00561DF9" w:rsidP="00561DF9">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47C888A5" w14:textId="77777777" w:rsidR="00561DF9" w:rsidRDefault="00561DF9" w:rsidP="00561DF9">
      <w:pPr>
        <w:pStyle w:val="ListParagraph"/>
        <w:numPr>
          <w:ilvl w:val="0"/>
          <w:numId w:val="2"/>
        </w:numPr>
        <w:jc w:val="both"/>
        <w:rPr>
          <w:b/>
          <w:i/>
          <w:iCs/>
        </w:rPr>
      </w:pPr>
      <w:r>
        <w:rPr>
          <w:b/>
          <w:i/>
          <w:iCs/>
        </w:rPr>
        <w:t>These durations should be the basis for reporting the UE capabilities</w:t>
      </w:r>
    </w:p>
    <w:p w14:paraId="732EFCFA" w14:textId="77777777" w:rsidR="00561DF9" w:rsidRDefault="00561DF9" w:rsidP="00561DF9">
      <w:pPr>
        <w:pStyle w:val="ListParagraph"/>
        <w:numPr>
          <w:ilvl w:val="0"/>
          <w:numId w:val="2"/>
        </w:numPr>
        <w:jc w:val="both"/>
        <w:rPr>
          <w:b/>
          <w:i/>
          <w:iCs/>
        </w:rPr>
      </w:pPr>
      <w:r>
        <w:rPr>
          <w:b/>
          <w:i/>
          <w:iCs/>
        </w:rPr>
        <w:t>Any lower values should be considered only if there is strong motivation/benefit to do so</w:t>
      </w:r>
    </w:p>
    <w:p w14:paraId="6CABF742" w14:textId="6521BF4B" w:rsidR="00561DF9" w:rsidRDefault="00561DF9" w:rsidP="00561DF9">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1C39834F" w14:textId="77777777" w:rsidR="00561DF9" w:rsidRDefault="00561DF9" w:rsidP="00561DF9">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656F2991" w14:textId="77777777" w:rsidR="00561DF9" w:rsidRDefault="00561DF9" w:rsidP="00561DF9">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49A7E88" w14:textId="77777777" w:rsidR="00561DF9" w:rsidRDefault="00561DF9" w:rsidP="00561DF9">
      <w:pPr>
        <w:spacing w:after="0"/>
        <w:jc w:val="both"/>
        <w:rPr>
          <w:b/>
          <w:i/>
          <w:iCs/>
        </w:rPr>
      </w:pPr>
      <w:r>
        <w:rPr>
          <w:b/>
          <w:i/>
          <w:iCs/>
          <w:lang w:eastAsia="ja-JP"/>
        </w:rPr>
        <w:t>Proposal 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65F525F5" w14:textId="5AB48D7E" w:rsidR="00561DF9" w:rsidRPr="00003D0F" w:rsidRDefault="00561DF9" w:rsidP="00561DF9">
      <w:pPr>
        <w:pStyle w:val="ListParagraph"/>
        <w:numPr>
          <w:ilvl w:val="0"/>
          <w:numId w:val="18"/>
        </w:numPr>
        <w:jc w:val="both"/>
        <w:rPr>
          <w:b/>
          <w:i/>
          <w:iCs/>
        </w:rPr>
      </w:pPr>
      <w:r w:rsidRPr="00003D0F">
        <w:rPr>
          <w:b/>
          <w:i/>
          <w:iCs/>
        </w:rPr>
        <w:t>FFS: Maximum duration up to 14 symbols in a slot</w:t>
      </w:r>
    </w:p>
    <w:p w14:paraId="08BE2044" w14:textId="77777777" w:rsidR="00561DF9" w:rsidRDefault="00561DF9" w:rsidP="00561DF9">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00E898A3" w14:textId="5BA4EE2B" w:rsidR="00561DF9" w:rsidRDefault="00561DF9" w:rsidP="00561DF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6151C7D4" w14:textId="77777777" w:rsidR="00D74B0C" w:rsidRDefault="00D74B0C" w:rsidP="00561DF9">
      <w:pPr>
        <w:spacing w:after="0"/>
        <w:jc w:val="both"/>
        <w:rPr>
          <w:rFonts w:asciiTheme="majorBidi" w:hAnsiTheme="majorBidi" w:cstheme="majorBidi"/>
          <w:b/>
          <w:bCs/>
          <w:i/>
          <w:iCs/>
          <w:lang w:eastAsia="zh-CN"/>
        </w:rPr>
      </w:pPr>
    </w:p>
    <w:p w14:paraId="76346713" w14:textId="196BF28D" w:rsidR="00561DF9" w:rsidRDefault="00561DF9" w:rsidP="00561DF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6742E45E" w14:textId="77777777" w:rsidR="00EB3BCB" w:rsidRPr="00D1623A" w:rsidRDefault="00EB3BCB" w:rsidP="00011B53">
      <w:pPr>
        <w:tabs>
          <w:tab w:val="left" w:pos="1275"/>
        </w:tabs>
        <w:overflowPunct/>
        <w:spacing w:after="120" w:line="252" w:lineRule="auto"/>
        <w:jc w:val="both"/>
        <w:textAlignment w:val="auto"/>
        <w:rPr>
          <w:rFonts w:asciiTheme="majorBidi" w:hAnsiTheme="majorBidi" w:cstheme="majorBidi"/>
          <w:b/>
          <w:bCs/>
          <w:i/>
          <w:iCs/>
          <w:lang w:eastAsia="zh-CN"/>
        </w:rPr>
      </w:pPr>
    </w:p>
    <w:p w14:paraId="388AD2B8" w14:textId="5003AA62" w:rsidR="00790DD7" w:rsidRPr="000B409F" w:rsidRDefault="00133D01"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7F063880" w:rsidR="003A0821" w:rsidRDefault="003A0821" w:rsidP="00A40260">
      <w:pPr>
        <w:spacing w:beforeLines="50" w:before="120"/>
        <w:jc w:val="both"/>
      </w:pPr>
      <w:r>
        <w:t>[</w:t>
      </w:r>
      <w:r w:rsidR="00713F0E">
        <w:t>1</w:t>
      </w:r>
      <w:r>
        <w:t>]</w:t>
      </w:r>
      <w:r>
        <w:tab/>
        <w:t>3GPP RP-</w:t>
      </w:r>
      <w:r w:rsidR="00196FFB">
        <w:t>2</w:t>
      </w:r>
      <w:r w:rsidR="004132C4">
        <w:t>1</w:t>
      </w:r>
      <w:r w:rsidR="00527FE6">
        <w:t>1584</w:t>
      </w:r>
      <w:r>
        <w:t>, “</w:t>
      </w:r>
      <w:r w:rsidR="001552C4" w:rsidRPr="001552C4">
        <w:rPr>
          <w:i/>
          <w:iCs/>
        </w:rPr>
        <w:t>Revised WID:  Extending current NR operation to 71 GHz</w:t>
      </w:r>
      <w:r>
        <w:t xml:space="preserve">”, </w:t>
      </w:r>
      <w:r w:rsidR="00196FFB">
        <w:t>CMCC</w:t>
      </w:r>
    </w:p>
    <w:p w14:paraId="76E11F9C" w14:textId="2FC009B0" w:rsidR="00C50E8E" w:rsidRPr="008D45FD" w:rsidRDefault="00C50E8E" w:rsidP="00C50E8E">
      <w:pPr>
        <w:spacing w:beforeLines="50" w:before="120"/>
        <w:ind w:left="720" w:hanging="720"/>
        <w:jc w:val="both"/>
        <w:rPr>
          <w:lang w:val="de-DE"/>
        </w:rPr>
      </w:pPr>
      <w:r w:rsidRPr="008D45FD">
        <w:rPr>
          <w:lang w:val="de-DE"/>
        </w:rPr>
        <w:t>[</w:t>
      </w:r>
      <w:r w:rsidR="00C13D3E" w:rsidRPr="008D45FD">
        <w:rPr>
          <w:lang w:val="de-DE"/>
        </w:rPr>
        <w:t>2</w:t>
      </w:r>
      <w:r w:rsidRPr="008D45FD">
        <w:rPr>
          <w:lang w:val="de-DE"/>
        </w:rPr>
        <w:t xml:space="preserve">] </w:t>
      </w:r>
      <w:r w:rsidRPr="008D45FD">
        <w:rPr>
          <w:lang w:val="de-DE"/>
        </w:rPr>
        <w:tab/>
        <w:t>3GPP RAN1#10</w:t>
      </w:r>
      <w:r w:rsidR="00136A59" w:rsidRPr="008D45FD">
        <w:rPr>
          <w:lang w:val="de-DE"/>
        </w:rPr>
        <w:t>4</w:t>
      </w:r>
      <w:r w:rsidR="00466996" w:rsidRPr="008D45FD">
        <w:rPr>
          <w:lang w:val="de-DE"/>
        </w:rPr>
        <w:t>bis</w:t>
      </w:r>
      <w:r w:rsidRPr="008D45FD">
        <w:rPr>
          <w:lang w:val="de-DE"/>
        </w:rPr>
        <w:t>-e</w:t>
      </w:r>
      <w:r w:rsidR="002A700E" w:rsidRPr="008D45FD">
        <w:rPr>
          <w:lang w:val="de-DE"/>
        </w:rPr>
        <w:t>,</w:t>
      </w:r>
      <w:r w:rsidRPr="008D45FD">
        <w:rPr>
          <w:lang w:val="de-DE"/>
        </w:rPr>
        <w:t xml:space="preserve"> “</w:t>
      </w:r>
      <w:r w:rsidRPr="008D45FD">
        <w:rPr>
          <w:i/>
          <w:iCs/>
          <w:lang w:val="de-DE"/>
        </w:rPr>
        <w:t>Chairman Notes</w:t>
      </w:r>
      <w:r w:rsidRPr="008D45FD">
        <w:rPr>
          <w:lang w:val="de-DE"/>
        </w:rPr>
        <w:t>”</w:t>
      </w:r>
    </w:p>
    <w:p w14:paraId="427165D5" w14:textId="749BACE0" w:rsidR="0059043E" w:rsidRPr="000357D7" w:rsidRDefault="0059043E" w:rsidP="00C50E8E">
      <w:pPr>
        <w:spacing w:beforeLines="50" w:before="120"/>
        <w:ind w:left="720" w:hanging="720"/>
        <w:jc w:val="both"/>
      </w:pPr>
      <w:r w:rsidRPr="0001095B">
        <w:t>[</w:t>
      </w:r>
      <w:r w:rsidR="000B4071">
        <w:t>3</w:t>
      </w:r>
      <w:r w:rsidRPr="0001095B">
        <w:t>]</w:t>
      </w:r>
      <w:r w:rsidRPr="0001095B">
        <w:tab/>
        <w:t>R1-21</w:t>
      </w:r>
      <w:r w:rsidR="00F3729B">
        <w:t>0</w:t>
      </w:r>
      <w:r w:rsidR="00AD2E50">
        <w:t>6834</w:t>
      </w:r>
      <w:r w:rsidRPr="0001095B">
        <w:t>, “</w:t>
      </w:r>
      <w:r w:rsidRPr="00B51BF5">
        <w:rPr>
          <w:i/>
          <w:iCs/>
        </w:rPr>
        <w:t>Beam-management enhancements for NR from 52.6 GHz to 71GHz</w:t>
      </w:r>
      <w:r>
        <w:t>”, Lenovo, Motorola Mobility</w:t>
      </w:r>
    </w:p>
    <w:sectPr w:rsidR="0059043E" w:rsidRPr="000357D7" w:rsidSect="00B975F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9D70D" w14:textId="77777777" w:rsidR="00B3797B" w:rsidRDefault="00B3797B">
      <w:pPr>
        <w:spacing w:after="0"/>
      </w:pPr>
      <w:r>
        <w:separator/>
      </w:r>
    </w:p>
  </w:endnote>
  <w:endnote w:type="continuationSeparator" w:id="0">
    <w:p w14:paraId="3DD0C1DF" w14:textId="77777777" w:rsidR="00B3797B" w:rsidRDefault="00B37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8B832" w14:textId="77777777" w:rsidR="00B3797B" w:rsidRDefault="00B3797B">
      <w:pPr>
        <w:spacing w:after="0"/>
      </w:pPr>
      <w:r>
        <w:separator/>
      </w:r>
    </w:p>
  </w:footnote>
  <w:footnote w:type="continuationSeparator" w:id="0">
    <w:p w14:paraId="4B3B5146" w14:textId="77777777" w:rsidR="00B3797B" w:rsidRDefault="00B37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2"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4"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2"/>
  </w:num>
  <w:num w:numId="4">
    <w:abstractNumId w:val="21"/>
  </w:num>
  <w:num w:numId="5">
    <w:abstractNumId w:val="2"/>
  </w:num>
  <w:num w:numId="6">
    <w:abstractNumId w:val="1"/>
  </w:num>
  <w:num w:numId="7">
    <w:abstractNumId w:val="8"/>
  </w:num>
  <w:num w:numId="8">
    <w:abstractNumId w:val="5"/>
  </w:num>
  <w:num w:numId="9">
    <w:abstractNumId w:val="7"/>
  </w:num>
  <w:num w:numId="10">
    <w:abstractNumId w:val="12"/>
  </w:num>
  <w:num w:numId="11">
    <w:abstractNumId w:val="3"/>
  </w:num>
  <w:num w:numId="12">
    <w:abstractNumId w:val="11"/>
  </w:num>
  <w:num w:numId="13">
    <w:abstractNumId w:val="18"/>
  </w:num>
  <w:num w:numId="14">
    <w:abstractNumId w:val="24"/>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3"/>
  </w:num>
  <w:num w:numId="18">
    <w:abstractNumId w:val="9"/>
  </w:num>
  <w:num w:numId="19">
    <w:abstractNumId w:val="17"/>
  </w:num>
  <w:num w:numId="20">
    <w:abstractNumId w:val="13"/>
  </w:num>
  <w:num w:numId="21">
    <w:abstractNumId w:val="15"/>
  </w:num>
  <w:num w:numId="22">
    <w:abstractNumId w:val="6"/>
  </w:num>
  <w:num w:numId="23">
    <w:abstractNumId w:val="20"/>
  </w:num>
  <w:num w:numId="24">
    <w:abstractNumId w:val="0"/>
  </w:num>
  <w:num w:numId="25">
    <w:abstractNumId w:val="16"/>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3F0E"/>
    <w:rsid w:val="00005030"/>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57D7"/>
    <w:rsid w:val="00036903"/>
    <w:rsid w:val="000402EC"/>
    <w:rsid w:val="00041822"/>
    <w:rsid w:val="000422CE"/>
    <w:rsid w:val="00043EA5"/>
    <w:rsid w:val="000560AF"/>
    <w:rsid w:val="00056528"/>
    <w:rsid w:val="000606A5"/>
    <w:rsid w:val="0006151A"/>
    <w:rsid w:val="000671D6"/>
    <w:rsid w:val="0006735F"/>
    <w:rsid w:val="000756A6"/>
    <w:rsid w:val="0007709B"/>
    <w:rsid w:val="00081F11"/>
    <w:rsid w:val="0008305E"/>
    <w:rsid w:val="0009166C"/>
    <w:rsid w:val="00095BA9"/>
    <w:rsid w:val="00096CB1"/>
    <w:rsid w:val="000A2A2A"/>
    <w:rsid w:val="000A416F"/>
    <w:rsid w:val="000B2B28"/>
    <w:rsid w:val="000B394E"/>
    <w:rsid w:val="000B3A78"/>
    <w:rsid w:val="000B4071"/>
    <w:rsid w:val="000C0C40"/>
    <w:rsid w:val="000C1EF4"/>
    <w:rsid w:val="000C2B74"/>
    <w:rsid w:val="000C458D"/>
    <w:rsid w:val="000C73A8"/>
    <w:rsid w:val="000D1DD3"/>
    <w:rsid w:val="000D4899"/>
    <w:rsid w:val="000D4D06"/>
    <w:rsid w:val="000E05EE"/>
    <w:rsid w:val="000E190D"/>
    <w:rsid w:val="000F1868"/>
    <w:rsid w:val="000F21B0"/>
    <w:rsid w:val="000F2FCE"/>
    <w:rsid w:val="000F4C7C"/>
    <w:rsid w:val="000F7B1F"/>
    <w:rsid w:val="00102157"/>
    <w:rsid w:val="00102F82"/>
    <w:rsid w:val="001057C9"/>
    <w:rsid w:val="001067E6"/>
    <w:rsid w:val="00107E45"/>
    <w:rsid w:val="001104EF"/>
    <w:rsid w:val="00110C14"/>
    <w:rsid w:val="00115A44"/>
    <w:rsid w:val="00115B63"/>
    <w:rsid w:val="0012198A"/>
    <w:rsid w:val="001228F3"/>
    <w:rsid w:val="0012610D"/>
    <w:rsid w:val="00126FB9"/>
    <w:rsid w:val="00132171"/>
    <w:rsid w:val="00133D0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70A52"/>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B42"/>
    <w:rsid w:val="001D7CFD"/>
    <w:rsid w:val="001E2EA4"/>
    <w:rsid w:val="001E3506"/>
    <w:rsid w:val="001E5445"/>
    <w:rsid w:val="001E68BE"/>
    <w:rsid w:val="001E7186"/>
    <w:rsid w:val="001F028A"/>
    <w:rsid w:val="001F0DAD"/>
    <w:rsid w:val="001F2B53"/>
    <w:rsid w:val="001F2FBB"/>
    <w:rsid w:val="001F4A0A"/>
    <w:rsid w:val="001F5320"/>
    <w:rsid w:val="00202015"/>
    <w:rsid w:val="002039B0"/>
    <w:rsid w:val="00203A90"/>
    <w:rsid w:val="00204AF0"/>
    <w:rsid w:val="002053BF"/>
    <w:rsid w:val="00206C2E"/>
    <w:rsid w:val="002075EB"/>
    <w:rsid w:val="00213D57"/>
    <w:rsid w:val="00221A93"/>
    <w:rsid w:val="00222F63"/>
    <w:rsid w:val="002259B3"/>
    <w:rsid w:val="002339B5"/>
    <w:rsid w:val="002361AE"/>
    <w:rsid w:val="00236BEC"/>
    <w:rsid w:val="00236DDC"/>
    <w:rsid w:val="00240384"/>
    <w:rsid w:val="00244CEF"/>
    <w:rsid w:val="00247F0D"/>
    <w:rsid w:val="00250A46"/>
    <w:rsid w:val="00251514"/>
    <w:rsid w:val="00253839"/>
    <w:rsid w:val="002543F7"/>
    <w:rsid w:val="00255159"/>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86EDB"/>
    <w:rsid w:val="00290C41"/>
    <w:rsid w:val="00291E2B"/>
    <w:rsid w:val="002952EE"/>
    <w:rsid w:val="002979E1"/>
    <w:rsid w:val="00297F0C"/>
    <w:rsid w:val="002A1C1A"/>
    <w:rsid w:val="002A4291"/>
    <w:rsid w:val="002A700E"/>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3BF0"/>
    <w:rsid w:val="002E6FFA"/>
    <w:rsid w:val="002F0081"/>
    <w:rsid w:val="002F091B"/>
    <w:rsid w:val="002F126F"/>
    <w:rsid w:val="002F340C"/>
    <w:rsid w:val="002F4C54"/>
    <w:rsid w:val="0030439A"/>
    <w:rsid w:val="00304583"/>
    <w:rsid w:val="003054C4"/>
    <w:rsid w:val="00305B56"/>
    <w:rsid w:val="0030741B"/>
    <w:rsid w:val="00310A89"/>
    <w:rsid w:val="00311699"/>
    <w:rsid w:val="00313257"/>
    <w:rsid w:val="0031673E"/>
    <w:rsid w:val="003176A0"/>
    <w:rsid w:val="003176BE"/>
    <w:rsid w:val="003205B2"/>
    <w:rsid w:val="00320DC2"/>
    <w:rsid w:val="003221FE"/>
    <w:rsid w:val="003237DE"/>
    <w:rsid w:val="00325FF8"/>
    <w:rsid w:val="00330585"/>
    <w:rsid w:val="0033177D"/>
    <w:rsid w:val="00335461"/>
    <w:rsid w:val="003356B4"/>
    <w:rsid w:val="00342813"/>
    <w:rsid w:val="00347C63"/>
    <w:rsid w:val="00352013"/>
    <w:rsid w:val="003521E6"/>
    <w:rsid w:val="00355530"/>
    <w:rsid w:val="00355BBC"/>
    <w:rsid w:val="00356E27"/>
    <w:rsid w:val="00356E4A"/>
    <w:rsid w:val="00363167"/>
    <w:rsid w:val="00363BBA"/>
    <w:rsid w:val="00366323"/>
    <w:rsid w:val="003731A2"/>
    <w:rsid w:val="003738FB"/>
    <w:rsid w:val="00376502"/>
    <w:rsid w:val="00377C96"/>
    <w:rsid w:val="00382791"/>
    <w:rsid w:val="00384DE3"/>
    <w:rsid w:val="00386069"/>
    <w:rsid w:val="00390674"/>
    <w:rsid w:val="00392DF0"/>
    <w:rsid w:val="003942A8"/>
    <w:rsid w:val="003963EE"/>
    <w:rsid w:val="00397863"/>
    <w:rsid w:val="003A0821"/>
    <w:rsid w:val="003A17C8"/>
    <w:rsid w:val="003A4FDF"/>
    <w:rsid w:val="003A7A5D"/>
    <w:rsid w:val="003B03BE"/>
    <w:rsid w:val="003B0A29"/>
    <w:rsid w:val="003B11BC"/>
    <w:rsid w:val="003B1BCB"/>
    <w:rsid w:val="003B46B9"/>
    <w:rsid w:val="003B5DFC"/>
    <w:rsid w:val="003C16F0"/>
    <w:rsid w:val="003C60BD"/>
    <w:rsid w:val="003C6862"/>
    <w:rsid w:val="003D1867"/>
    <w:rsid w:val="003D4CEB"/>
    <w:rsid w:val="003D70B9"/>
    <w:rsid w:val="003D719C"/>
    <w:rsid w:val="003E2BD0"/>
    <w:rsid w:val="003E2F9A"/>
    <w:rsid w:val="003E59A3"/>
    <w:rsid w:val="003E603B"/>
    <w:rsid w:val="003F0EA8"/>
    <w:rsid w:val="003F2794"/>
    <w:rsid w:val="003F2DD5"/>
    <w:rsid w:val="003F35C9"/>
    <w:rsid w:val="003F3F84"/>
    <w:rsid w:val="003F4707"/>
    <w:rsid w:val="003F6E0C"/>
    <w:rsid w:val="003F6E30"/>
    <w:rsid w:val="003F7CE8"/>
    <w:rsid w:val="004016B1"/>
    <w:rsid w:val="00405A83"/>
    <w:rsid w:val="00406600"/>
    <w:rsid w:val="00406BF5"/>
    <w:rsid w:val="00411011"/>
    <w:rsid w:val="004132C4"/>
    <w:rsid w:val="00417A31"/>
    <w:rsid w:val="00420E60"/>
    <w:rsid w:val="004229CC"/>
    <w:rsid w:val="00431C40"/>
    <w:rsid w:val="00441805"/>
    <w:rsid w:val="0044192A"/>
    <w:rsid w:val="00443035"/>
    <w:rsid w:val="00443491"/>
    <w:rsid w:val="00447402"/>
    <w:rsid w:val="004479C6"/>
    <w:rsid w:val="004512DF"/>
    <w:rsid w:val="00453071"/>
    <w:rsid w:val="004611B2"/>
    <w:rsid w:val="00462497"/>
    <w:rsid w:val="004655DA"/>
    <w:rsid w:val="004658AF"/>
    <w:rsid w:val="00465AC3"/>
    <w:rsid w:val="00465B44"/>
    <w:rsid w:val="00466996"/>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72C8"/>
    <w:rsid w:val="004B747B"/>
    <w:rsid w:val="004C2072"/>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F0869"/>
    <w:rsid w:val="004F78B9"/>
    <w:rsid w:val="00500200"/>
    <w:rsid w:val="0050071A"/>
    <w:rsid w:val="00500BF5"/>
    <w:rsid w:val="00501D54"/>
    <w:rsid w:val="005053F2"/>
    <w:rsid w:val="005072DC"/>
    <w:rsid w:val="00511366"/>
    <w:rsid w:val="00514EAC"/>
    <w:rsid w:val="0051636B"/>
    <w:rsid w:val="00521083"/>
    <w:rsid w:val="0052269D"/>
    <w:rsid w:val="005229C3"/>
    <w:rsid w:val="005263EF"/>
    <w:rsid w:val="00527FE6"/>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DF9"/>
    <w:rsid w:val="00561F79"/>
    <w:rsid w:val="00563948"/>
    <w:rsid w:val="00563D5B"/>
    <w:rsid w:val="005711A1"/>
    <w:rsid w:val="0057150E"/>
    <w:rsid w:val="00572570"/>
    <w:rsid w:val="00576BFF"/>
    <w:rsid w:val="00586DDF"/>
    <w:rsid w:val="005876BD"/>
    <w:rsid w:val="0059043E"/>
    <w:rsid w:val="00590A39"/>
    <w:rsid w:val="00593B39"/>
    <w:rsid w:val="005969B5"/>
    <w:rsid w:val="005970B6"/>
    <w:rsid w:val="005A0408"/>
    <w:rsid w:val="005A29B3"/>
    <w:rsid w:val="005A2F27"/>
    <w:rsid w:val="005A7164"/>
    <w:rsid w:val="005B466D"/>
    <w:rsid w:val="005B4E93"/>
    <w:rsid w:val="005B5959"/>
    <w:rsid w:val="005B6680"/>
    <w:rsid w:val="005C17FD"/>
    <w:rsid w:val="005C2CB9"/>
    <w:rsid w:val="005C48E8"/>
    <w:rsid w:val="005C609D"/>
    <w:rsid w:val="005C60B7"/>
    <w:rsid w:val="005D0604"/>
    <w:rsid w:val="005D1F14"/>
    <w:rsid w:val="005D2031"/>
    <w:rsid w:val="005D2437"/>
    <w:rsid w:val="005D2A92"/>
    <w:rsid w:val="005D3807"/>
    <w:rsid w:val="005D3825"/>
    <w:rsid w:val="005D55B4"/>
    <w:rsid w:val="005D7616"/>
    <w:rsid w:val="005E1108"/>
    <w:rsid w:val="005E1360"/>
    <w:rsid w:val="005E3610"/>
    <w:rsid w:val="005E4A1F"/>
    <w:rsid w:val="005F0652"/>
    <w:rsid w:val="005F2BAB"/>
    <w:rsid w:val="005F4CEE"/>
    <w:rsid w:val="005F753A"/>
    <w:rsid w:val="00602DAE"/>
    <w:rsid w:val="006043EE"/>
    <w:rsid w:val="00604BC4"/>
    <w:rsid w:val="00606297"/>
    <w:rsid w:val="006067B1"/>
    <w:rsid w:val="006072F6"/>
    <w:rsid w:val="0061308B"/>
    <w:rsid w:val="00614860"/>
    <w:rsid w:val="00614C4F"/>
    <w:rsid w:val="0061758E"/>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63AF2"/>
    <w:rsid w:val="006678AD"/>
    <w:rsid w:val="00675887"/>
    <w:rsid w:val="00682882"/>
    <w:rsid w:val="00685B8E"/>
    <w:rsid w:val="00687BFB"/>
    <w:rsid w:val="00690443"/>
    <w:rsid w:val="006907E6"/>
    <w:rsid w:val="006922DD"/>
    <w:rsid w:val="006951A0"/>
    <w:rsid w:val="006952AB"/>
    <w:rsid w:val="006A22D1"/>
    <w:rsid w:val="006A301F"/>
    <w:rsid w:val="006B1DB6"/>
    <w:rsid w:val="006B62AB"/>
    <w:rsid w:val="006B72BA"/>
    <w:rsid w:val="006B73BF"/>
    <w:rsid w:val="006C3F8C"/>
    <w:rsid w:val="006C56C8"/>
    <w:rsid w:val="006C5863"/>
    <w:rsid w:val="006C732E"/>
    <w:rsid w:val="006D541A"/>
    <w:rsid w:val="006D7A1D"/>
    <w:rsid w:val="006E56CC"/>
    <w:rsid w:val="006E641D"/>
    <w:rsid w:val="006F0588"/>
    <w:rsid w:val="006F425A"/>
    <w:rsid w:val="006F6AC0"/>
    <w:rsid w:val="006F76F0"/>
    <w:rsid w:val="00704042"/>
    <w:rsid w:val="00706554"/>
    <w:rsid w:val="007108B7"/>
    <w:rsid w:val="0071248E"/>
    <w:rsid w:val="00713172"/>
    <w:rsid w:val="00713D19"/>
    <w:rsid w:val="00713F0E"/>
    <w:rsid w:val="0071534E"/>
    <w:rsid w:val="0071545A"/>
    <w:rsid w:val="00720763"/>
    <w:rsid w:val="00723F1C"/>
    <w:rsid w:val="00724574"/>
    <w:rsid w:val="00726840"/>
    <w:rsid w:val="00732235"/>
    <w:rsid w:val="007328FA"/>
    <w:rsid w:val="00732A75"/>
    <w:rsid w:val="00745B9E"/>
    <w:rsid w:val="00747357"/>
    <w:rsid w:val="00750C74"/>
    <w:rsid w:val="007513AB"/>
    <w:rsid w:val="0075513B"/>
    <w:rsid w:val="00755C9A"/>
    <w:rsid w:val="00756905"/>
    <w:rsid w:val="00757E9D"/>
    <w:rsid w:val="00760713"/>
    <w:rsid w:val="007633DF"/>
    <w:rsid w:val="0076369D"/>
    <w:rsid w:val="00764410"/>
    <w:rsid w:val="007654A0"/>
    <w:rsid w:val="007718DC"/>
    <w:rsid w:val="00780737"/>
    <w:rsid w:val="00782B04"/>
    <w:rsid w:val="00782E13"/>
    <w:rsid w:val="007837D9"/>
    <w:rsid w:val="0078683C"/>
    <w:rsid w:val="00787FDF"/>
    <w:rsid w:val="00790DD7"/>
    <w:rsid w:val="0079412A"/>
    <w:rsid w:val="00795C44"/>
    <w:rsid w:val="00796813"/>
    <w:rsid w:val="007A2149"/>
    <w:rsid w:val="007A25C2"/>
    <w:rsid w:val="007A2A30"/>
    <w:rsid w:val="007A2D79"/>
    <w:rsid w:val="007A331E"/>
    <w:rsid w:val="007A50E1"/>
    <w:rsid w:val="007B36BD"/>
    <w:rsid w:val="007B498D"/>
    <w:rsid w:val="007B514A"/>
    <w:rsid w:val="007B6F9A"/>
    <w:rsid w:val="007B716B"/>
    <w:rsid w:val="007C1BB7"/>
    <w:rsid w:val="007C1BD7"/>
    <w:rsid w:val="007C7B83"/>
    <w:rsid w:val="007D05CA"/>
    <w:rsid w:val="007D33A8"/>
    <w:rsid w:val="007D344B"/>
    <w:rsid w:val="007D41A1"/>
    <w:rsid w:val="007D4ACD"/>
    <w:rsid w:val="007D6AA6"/>
    <w:rsid w:val="007E0621"/>
    <w:rsid w:val="007E190F"/>
    <w:rsid w:val="007E34FE"/>
    <w:rsid w:val="007E3814"/>
    <w:rsid w:val="007F194A"/>
    <w:rsid w:val="007F4D60"/>
    <w:rsid w:val="007F6908"/>
    <w:rsid w:val="007F7458"/>
    <w:rsid w:val="0080156D"/>
    <w:rsid w:val="00805CED"/>
    <w:rsid w:val="0080625A"/>
    <w:rsid w:val="00806407"/>
    <w:rsid w:val="0080662E"/>
    <w:rsid w:val="00806DA8"/>
    <w:rsid w:val="00806E70"/>
    <w:rsid w:val="00812E99"/>
    <w:rsid w:val="00813070"/>
    <w:rsid w:val="008220E8"/>
    <w:rsid w:val="00822593"/>
    <w:rsid w:val="008244B4"/>
    <w:rsid w:val="00825D08"/>
    <w:rsid w:val="00826549"/>
    <w:rsid w:val="00826A77"/>
    <w:rsid w:val="008310CF"/>
    <w:rsid w:val="008314E5"/>
    <w:rsid w:val="00832D6A"/>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34DC"/>
    <w:rsid w:val="00874627"/>
    <w:rsid w:val="008751D0"/>
    <w:rsid w:val="00881E86"/>
    <w:rsid w:val="008824D6"/>
    <w:rsid w:val="008825C0"/>
    <w:rsid w:val="00882BEF"/>
    <w:rsid w:val="00884B7A"/>
    <w:rsid w:val="008870B0"/>
    <w:rsid w:val="00895433"/>
    <w:rsid w:val="00895531"/>
    <w:rsid w:val="00897207"/>
    <w:rsid w:val="008A113F"/>
    <w:rsid w:val="008A32A7"/>
    <w:rsid w:val="008A3BEC"/>
    <w:rsid w:val="008A3F46"/>
    <w:rsid w:val="008A667F"/>
    <w:rsid w:val="008B07BF"/>
    <w:rsid w:val="008B08A5"/>
    <w:rsid w:val="008B1A32"/>
    <w:rsid w:val="008B4887"/>
    <w:rsid w:val="008B6E21"/>
    <w:rsid w:val="008B73D8"/>
    <w:rsid w:val="008B786E"/>
    <w:rsid w:val="008C021C"/>
    <w:rsid w:val="008C3C24"/>
    <w:rsid w:val="008C47E0"/>
    <w:rsid w:val="008C6099"/>
    <w:rsid w:val="008C68AD"/>
    <w:rsid w:val="008C71D2"/>
    <w:rsid w:val="008D1D46"/>
    <w:rsid w:val="008D45FD"/>
    <w:rsid w:val="008D7057"/>
    <w:rsid w:val="008E0EDA"/>
    <w:rsid w:val="008E49B3"/>
    <w:rsid w:val="008F02E7"/>
    <w:rsid w:val="008F0F8E"/>
    <w:rsid w:val="008F2A4F"/>
    <w:rsid w:val="008F4E8C"/>
    <w:rsid w:val="00901A73"/>
    <w:rsid w:val="00901C17"/>
    <w:rsid w:val="00902343"/>
    <w:rsid w:val="009035B0"/>
    <w:rsid w:val="009063D0"/>
    <w:rsid w:val="00906A49"/>
    <w:rsid w:val="0091026A"/>
    <w:rsid w:val="0091275C"/>
    <w:rsid w:val="00913653"/>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502F4"/>
    <w:rsid w:val="0095341C"/>
    <w:rsid w:val="00955A87"/>
    <w:rsid w:val="0096275C"/>
    <w:rsid w:val="0096551C"/>
    <w:rsid w:val="009658D8"/>
    <w:rsid w:val="00965A10"/>
    <w:rsid w:val="00967F50"/>
    <w:rsid w:val="00982E18"/>
    <w:rsid w:val="00987D43"/>
    <w:rsid w:val="009A0206"/>
    <w:rsid w:val="009A34C2"/>
    <w:rsid w:val="009A35AC"/>
    <w:rsid w:val="009A6D74"/>
    <w:rsid w:val="009A6EAB"/>
    <w:rsid w:val="009B2131"/>
    <w:rsid w:val="009B2881"/>
    <w:rsid w:val="009B3AC7"/>
    <w:rsid w:val="009B50A5"/>
    <w:rsid w:val="009B6221"/>
    <w:rsid w:val="009B7A4B"/>
    <w:rsid w:val="009B7E2C"/>
    <w:rsid w:val="009C11ED"/>
    <w:rsid w:val="009C6EFD"/>
    <w:rsid w:val="009D3BE8"/>
    <w:rsid w:val="009D3E6B"/>
    <w:rsid w:val="009D5E69"/>
    <w:rsid w:val="009E2954"/>
    <w:rsid w:val="009E49F3"/>
    <w:rsid w:val="009E59FA"/>
    <w:rsid w:val="009F76CE"/>
    <w:rsid w:val="009F7C0B"/>
    <w:rsid w:val="00A01D2B"/>
    <w:rsid w:val="00A02C57"/>
    <w:rsid w:val="00A03340"/>
    <w:rsid w:val="00A10526"/>
    <w:rsid w:val="00A11528"/>
    <w:rsid w:val="00A136C3"/>
    <w:rsid w:val="00A16BFB"/>
    <w:rsid w:val="00A2193B"/>
    <w:rsid w:val="00A250A1"/>
    <w:rsid w:val="00A3017F"/>
    <w:rsid w:val="00A30C8A"/>
    <w:rsid w:val="00A31BC3"/>
    <w:rsid w:val="00A33AC0"/>
    <w:rsid w:val="00A344E7"/>
    <w:rsid w:val="00A357BD"/>
    <w:rsid w:val="00A36717"/>
    <w:rsid w:val="00A37031"/>
    <w:rsid w:val="00A37FC7"/>
    <w:rsid w:val="00A40260"/>
    <w:rsid w:val="00A4364A"/>
    <w:rsid w:val="00A43897"/>
    <w:rsid w:val="00A46CD2"/>
    <w:rsid w:val="00A47F55"/>
    <w:rsid w:val="00A5202E"/>
    <w:rsid w:val="00A53EC5"/>
    <w:rsid w:val="00A54E2C"/>
    <w:rsid w:val="00A555E9"/>
    <w:rsid w:val="00A573CF"/>
    <w:rsid w:val="00A57D2C"/>
    <w:rsid w:val="00A602FF"/>
    <w:rsid w:val="00A617F3"/>
    <w:rsid w:val="00A660CB"/>
    <w:rsid w:val="00A70DA5"/>
    <w:rsid w:val="00A71798"/>
    <w:rsid w:val="00A720D1"/>
    <w:rsid w:val="00A73255"/>
    <w:rsid w:val="00A76699"/>
    <w:rsid w:val="00A779A7"/>
    <w:rsid w:val="00A8076D"/>
    <w:rsid w:val="00A8110E"/>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E50"/>
    <w:rsid w:val="00AD2FC0"/>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3797B"/>
    <w:rsid w:val="00B411DB"/>
    <w:rsid w:val="00B437EE"/>
    <w:rsid w:val="00B43AA1"/>
    <w:rsid w:val="00B451FA"/>
    <w:rsid w:val="00B4745D"/>
    <w:rsid w:val="00B52F59"/>
    <w:rsid w:val="00B53202"/>
    <w:rsid w:val="00B5370C"/>
    <w:rsid w:val="00B559F7"/>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9015B"/>
    <w:rsid w:val="00B91C1A"/>
    <w:rsid w:val="00B95A31"/>
    <w:rsid w:val="00B975F2"/>
    <w:rsid w:val="00BA24D3"/>
    <w:rsid w:val="00BA3989"/>
    <w:rsid w:val="00BB0987"/>
    <w:rsid w:val="00BB1C38"/>
    <w:rsid w:val="00BB48D7"/>
    <w:rsid w:val="00BB7E3D"/>
    <w:rsid w:val="00BC0F24"/>
    <w:rsid w:val="00BC2537"/>
    <w:rsid w:val="00BC2C27"/>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41D31"/>
    <w:rsid w:val="00C42313"/>
    <w:rsid w:val="00C42BB9"/>
    <w:rsid w:val="00C4466D"/>
    <w:rsid w:val="00C464C2"/>
    <w:rsid w:val="00C472FE"/>
    <w:rsid w:val="00C50E8E"/>
    <w:rsid w:val="00C52045"/>
    <w:rsid w:val="00C527C0"/>
    <w:rsid w:val="00C56535"/>
    <w:rsid w:val="00C57F3E"/>
    <w:rsid w:val="00C60262"/>
    <w:rsid w:val="00C60FB7"/>
    <w:rsid w:val="00C61F62"/>
    <w:rsid w:val="00C64DF1"/>
    <w:rsid w:val="00C671AA"/>
    <w:rsid w:val="00C71168"/>
    <w:rsid w:val="00C72559"/>
    <w:rsid w:val="00C77CC9"/>
    <w:rsid w:val="00C77E02"/>
    <w:rsid w:val="00C84D50"/>
    <w:rsid w:val="00C860A5"/>
    <w:rsid w:val="00C907AF"/>
    <w:rsid w:val="00C92608"/>
    <w:rsid w:val="00C928D7"/>
    <w:rsid w:val="00C95681"/>
    <w:rsid w:val="00C9595C"/>
    <w:rsid w:val="00C95DFB"/>
    <w:rsid w:val="00CA2484"/>
    <w:rsid w:val="00CA3168"/>
    <w:rsid w:val="00CA523B"/>
    <w:rsid w:val="00CA6393"/>
    <w:rsid w:val="00CA754D"/>
    <w:rsid w:val="00CB11D0"/>
    <w:rsid w:val="00CB149B"/>
    <w:rsid w:val="00CB512D"/>
    <w:rsid w:val="00CC27A8"/>
    <w:rsid w:val="00CC2E18"/>
    <w:rsid w:val="00CC2E64"/>
    <w:rsid w:val="00CC4C71"/>
    <w:rsid w:val="00CD579F"/>
    <w:rsid w:val="00CD7939"/>
    <w:rsid w:val="00CE2C89"/>
    <w:rsid w:val="00CE2F1A"/>
    <w:rsid w:val="00CE4044"/>
    <w:rsid w:val="00CE6047"/>
    <w:rsid w:val="00CE7D94"/>
    <w:rsid w:val="00D07BD2"/>
    <w:rsid w:val="00D10586"/>
    <w:rsid w:val="00D123F4"/>
    <w:rsid w:val="00D1582E"/>
    <w:rsid w:val="00D160D1"/>
    <w:rsid w:val="00D1623A"/>
    <w:rsid w:val="00D247C2"/>
    <w:rsid w:val="00D2488D"/>
    <w:rsid w:val="00D26775"/>
    <w:rsid w:val="00D30A92"/>
    <w:rsid w:val="00D30C17"/>
    <w:rsid w:val="00D44165"/>
    <w:rsid w:val="00D4670D"/>
    <w:rsid w:val="00D46936"/>
    <w:rsid w:val="00D4775E"/>
    <w:rsid w:val="00D5091E"/>
    <w:rsid w:val="00D50A49"/>
    <w:rsid w:val="00D52484"/>
    <w:rsid w:val="00D54E1C"/>
    <w:rsid w:val="00D56FE5"/>
    <w:rsid w:val="00D61E7B"/>
    <w:rsid w:val="00D631D8"/>
    <w:rsid w:val="00D639AD"/>
    <w:rsid w:val="00D70D2D"/>
    <w:rsid w:val="00D70EA8"/>
    <w:rsid w:val="00D72BC4"/>
    <w:rsid w:val="00D73C5A"/>
    <w:rsid w:val="00D74B0C"/>
    <w:rsid w:val="00D74FA4"/>
    <w:rsid w:val="00D839FB"/>
    <w:rsid w:val="00D85889"/>
    <w:rsid w:val="00D861AD"/>
    <w:rsid w:val="00D97893"/>
    <w:rsid w:val="00D97F0D"/>
    <w:rsid w:val="00DA1593"/>
    <w:rsid w:val="00DA23E9"/>
    <w:rsid w:val="00DA3154"/>
    <w:rsid w:val="00DA6C93"/>
    <w:rsid w:val="00DA6DF1"/>
    <w:rsid w:val="00DB0C63"/>
    <w:rsid w:val="00DB149F"/>
    <w:rsid w:val="00DB1B42"/>
    <w:rsid w:val="00DB2B48"/>
    <w:rsid w:val="00DB4E21"/>
    <w:rsid w:val="00DB57B8"/>
    <w:rsid w:val="00DC063B"/>
    <w:rsid w:val="00DC1112"/>
    <w:rsid w:val="00DC1CD0"/>
    <w:rsid w:val="00DC5D77"/>
    <w:rsid w:val="00DD174C"/>
    <w:rsid w:val="00DD2386"/>
    <w:rsid w:val="00DD2B5F"/>
    <w:rsid w:val="00DD47C9"/>
    <w:rsid w:val="00DD5B47"/>
    <w:rsid w:val="00DD7401"/>
    <w:rsid w:val="00DE39B1"/>
    <w:rsid w:val="00DE587E"/>
    <w:rsid w:val="00DE64D5"/>
    <w:rsid w:val="00DF3433"/>
    <w:rsid w:val="00DF5BE4"/>
    <w:rsid w:val="00E020A4"/>
    <w:rsid w:val="00E043BE"/>
    <w:rsid w:val="00E06246"/>
    <w:rsid w:val="00E105ED"/>
    <w:rsid w:val="00E11B8F"/>
    <w:rsid w:val="00E11F11"/>
    <w:rsid w:val="00E127DE"/>
    <w:rsid w:val="00E1295F"/>
    <w:rsid w:val="00E14248"/>
    <w:rsid w:val="00E14BF2"/>
    <w:rsid w:val="00E1547E"/>
    <w:rsid w:val="00E16C0E"/>
    <w:rsid w:val="00E25ABB"/>
    <w:rsid w:val="00E26FCE"/>
    <w:rsid w:val="00E30C75"/>
    <w:rsid w:val="00E310BC"/>
    <w:rsid w:val="00E34367"/>
    <w:rsid w:val="00E404E8"/>
    <w:rsid w:val="00E40A93"/>
    <w:rsid w:val="00E40B01"/>
    <w:rsid w:val="00E40B42"/>
    <w:rsid w:val="00E42109"/>
    <w:rsid w:val="00E42E94"/>
    <w:rsid w:val="00E44564"/>
    <w:rsid w:val="00E5040C"/>
    <w:rsid w:val="00E5326E"/>
    <w:rsid w:val="00E56F2A"/>
    <w:rsid w:val="00E61443"/>
    <w:rsid w:val="00E61983"/>
    <w:rsid w:val="00E63FC2"/>
    <w:rsid w:val="00E71BAA"/>
    <w:rsid w:val="00E72B9D"/>
    <w:rsid w:val="00E738D2"/>
    <w:rsid w:val="00E742FA"/>
    <w:rsid w:val="00E74D4F"/>
    <w:rsid w:val="00E76042"/>
    <w:rsid w:val="00E77B85"/>
    <w:rsid w:val="00E82CF3"/>
    <w:rsid w:val="00E83B5D"/>
    <w:rsid w:val="00E84B43"/>
    <w:rsid w:val="00E85142"/>
    <w:rsid w:val="00E8571C"/>
    <w:rsid w:val="00E874E1"/>
    <w:rsid w:val="00E919A1"/>
    <w:rsid w:val="00E93967"/>
    <w:rsid w:val="00EA09FF"/>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4D09"/>
    <w:rsid w:val="00EE4A7D"/>
    <w:rsid w:val="00EE5859"/>
    <w:rsid w:val="00EE5C07"/>
    <w:rsid w:val="00EF5D66"/>
    <w:rsid w:val="00F013AD"/>
    <w:rsid w:val="00F01CCE"/>
    <w:rsid w:val="00F0224D"/>
    <w:rsid w:val="00F059AD"/>
    <w:rsid w:val="00F100CE"/>
    <w:rsid w:val="00F1118E"/>
    <w:rsid w:val="00F13200"/>
    <w:rsid w:val="00F13495"/>
    <w:rsid w:val="00F14783"/>
    <w:rsid w:val="00F20040"/>
    <w:rsid w:val="00F2043C"/>
    <w:rsid w:val="00F21C50"/>
    <w:rsid w:val="00F221F9"/>
    <w:rsid w:val="00F22F47"/>
    <w:rsid w:val="00F266B3"/>
    <w:rsid w:val="00F26ACF"/>
    <w:rsid w:val="00F3382D"/>
    <w:rsid w:val="00F3729B"/>
    <w:rsid w:val="00F375AD"/>
    <w:rsid w:val="00F37614"/>
    <w:rsid w:val="00F517D6"/>
    <w:rsid w:val="00F52101"/>
    <w:rsid w:val="00F5351F"/>
    <w:rsid w:val="00F53995"/>
    <w:rsid w:val="00F55D49"/>
    <w:rsid w:val="00F57572"/>
    <w:rsid w:val="00F578A9"/>
    <w:rsid w:val="00F61E59"/>
    <w:rsid w:val="00F63BCC"/>
    <w:rsid w:val="00F65E3F"/>
    <w:rsid w:val="00F67239"/>
    <w:rsid w:val="00F70BA0"/>
    <w:rsid w:val="00F71BF0"/>
    <w:rsid w:val="00F728EC"/>
    <w:rsid w:val="00F74264"/>
    <w:rsid w:val="00F761C0"/>
    <w:rsid w:val="00F76F97"/>
    <w:rsid w:val="00F7728F"/>
    <w:rsid w:val="00F77593"/>
    <w:rsid w:val="00F825A1"/>
    <w:rsid w:val="00F844C5"/>
    <w:rsid w:val="00F8597E"/>
    <w:rsid w:val="00F924B2"/>
    <w:rsid w:val="00F964E4"/>
    <w:rsid w:val="00FA3BB1"/>
    <w:rsid w:val="00FB0184"/>
    <w:rsid w:val="00FB4564"/>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 w:val="00FF54A5"/>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8608746">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3167</Words>
  <Characters>18058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46</cp:revision>
  <cp:lastPrinted>2019-01-22T03:27:00Z</cp:lastPrinted>
  <dcterms:created xsi:type="dcterms:W3CDTF">2021-04-06T16:04:00Z</dcterms:created>
  <dcterms:modified xsi:type="dcterms:W3CDTF">2021-08-06T12:59:00Z</dcterms:modified>
</cp:coreProperties>
</file>