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22CF86A" w:rsidR="00586217" w:rsidRDefault="00586217">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Huawei, Samsung</w:t>
      </w:r>
      <w:r w:rsidR="00114F09">
        <w:rPr>
          <w:lang w:eastAsia="en-US"/>
        </w:rPr>
        <w:t>, AT&amp;T, Oppo</w:t>
      </w:r>
    </w:p>
    <w:p w14:paraId="37D8E621" w14:textId="4A3ED7D6"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proofErr w:type="spellStart"/>
            <w:r w:rsidRPr="004245E3">
              <w:rPr>
                <w:lang w:eastAsia="en-US"/>
              </w:rPr>
              <w:t>InterDigital</w:t>
            </w:r>
            <w:proofErr w:type="spellEnd"/>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 xml:space="preserve">For Pout in EDT determination, define Pout as at least the maximum of </w:t>
      </w:r>
      <w:proofErr w:type="gramStart"/>
      <w:r w:rsidRPr="00586217">
        <w:rPr>
          <w:lang w:eastAsia="en-US"/>
        </w:rPr>
        <w:t>beam-specific</w:t>
      </w:r>
      <w:proofErr w:type="gramEnd"/>
      <w:r w:rsidRPr="00586217">
        <w:rPr>
          <w:lang w:eastAsia="en-US"/>
        </w:rPr>
        <w:t xml:space="preserve">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lastRenderedPageBreak/>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 xml:space="preserve">For Pout in EDT determination, define Pout as at least the maximum of </w:t>
            </w:r>
            <w:proofErr w:type="gramStart"/>
            <w:r w:rsidRPr="005B4B1B">
              <w:rPr>
                <w:rFonts w:eastAsia="Batang"/>
                <w:kern w:val="2"/>
                <w:lang w:eastAsia="en-US"/>
              </w:rPr>
              <w:t>beam-specific</w:t>
            </w:r>
            <w:proofErr w:type="gramEnd"/>
            <w:r w:rsidRPr="005B4B1B">
              <w:rPr>
                <w:rFonts w:eastAsia="Batang"/>
                <w:kern w:val="2"/>
                <w:lang w:eastAsia="en-US"/>
              </w:rPr>
              <w:t xml:space="preserve">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xml:space="preserve">.  </w:t>
            </w:r>
            <w:proofErr w:type="gramStart"/>
            <w:r w:rsidRPr="005B4B1B">
              <w:rPr>
                <w:rFonts w:hint="eastAsia"/>
                <w:lang w:eastAsia="en-US"/>
              </w:rPr>
              <w:t>In order to</w:t>
            </w:r>
            <w:proofErr w:type="gramEnd"/>
            <w:r w:rsidRPr="005B4B1B">
              <w:rPr>
                <w:rFonts w:hint="eastAsia"/>
                <w:lang w:eastAsia="en-US"/>
              </w:rPr>
              <w:t xml:space="preserve">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Moreover, subclause 4.2.2.1 of the HS EN 302 567 only considers the EIRP of the equipment during a transmission burst before which the equipment is required to perf</w:t>
            </w:r>
            <w:r>
              <w:rPr>
                <w:lang w:eastAsia="en-US"/>
              </w:rPr>
              <w:lastRenderedPageBreak/>
              <w:t xml:space="preserve">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lastRenderedPageBreak/>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proofErr w:type="spellStart"/>
            <w:r w:rsidRPr="004245E3">
              <w:rPr>
                <w:lang w:eastAsia="en-US"/>
              </w:rPr>
              <w:lastRenderedPageBreak/>
              <w:t>InterDigital</w:t>
            </w:r>
            <w:proofErr w:type="spellEnd"/>
          </w:p>
        </w:tc>
        <w:tc>
          <w:tcPr>
            <w:tcW w:w="6937" w:type="dxa"/>
          </w:tcPr>
          <w:p w14:paraId="1C071BFF" w14:textId="77777777" w:rsidR="00150474" w:rsidRPr="004245E3" w:rsidRDefault="00150474" w:rsidP="0058621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hint="eastAsia"/>
                <w:lang w:eastAsia="zh-CN"/>
              </w:rPr>
            </w:pPr>
            <w:r>
              <w:rPr>
                <w:lang w:eastAsia="en-US"/>
              </w:rPr>
              <w:t>Although we support Alt SC. 3 but are ok with proposal to support both.</w:t>
            </w:r>
          </w:p>
        </w:tc>
      </w:tr>
    </w:tbl>
    <w:p w14:paraId="37D8E6E4" w14:textId="77777777" w:rsidR="006C7ECB" w:rsidRPr="00150474"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lastRenderedPageBreak/>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w:t>
            </w:r>
            <w:proofErr w:type="gramStart"/>
            <w:r>
              <w:rPr>
                <w:lang w:eastAsia="en-US"/>
              </w:rPr>
              <w:t>similar to</w:t>
            </w:r>
            <w:proofErr w:type="gramEnd"/>
            <w:r>
              <w:rPr>
                <w:lang w:eastAsia="en-US"/>
              </w:rPr>
              <w:t xml:space="preserve">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7FA9A3F" w:rsidR="00CE49D6" w:rsidRPr="00CE49D6" w:rsidRDefault="00CE49D6" w:rsidP="00CE49D6">
      <w:pPr>
        <w:pStyle w:val="ListParagraph"/>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CE49D6" w14:paraId="70844424" w14:textId="77777777" w:rsidTr="00114F09">
        <w:tc>
          <w:tcPr>
            <w:tcW w:w="2425" w:type="dxa"/>
          </w:tcPr>
          <w:p w14:paraId="392B0BE6" w14:textId="66A94747" w:rsidR="00CE49D6" w:rsidRDefault="00CE49D6" w:rsidP="00114F09">
            <w:pPr>
              <w:rPr>
                <w:lang w:eastAsia="en-US"/>
              </w:rPr>
            </w:pPr>
          </w:p>
        </w:tc>
        <w:tc>
          <w:tcPr>
            <w:tcW w:w="6937" w:type="dxa"/>
          </w:tcPr>
          <w:p w14:paraId="60C13E6A" w14:textId="1D371EE7" w:rsidR="00CE49D6" w:rsidRDefault="00CE49D6" w:rsidP="00114F09">
            <w:pPr>
              <w:rPr>
                <w:lang w:eastAsia="en-US"/>
              </w:rPr>
            </w:pPr>
          </w:p>
        </w:tc>
      </w:tr>
    </w:tbl>
    <w:p w14:paraId="496D68B3" w14:textId="1D3BA7D8" w:rsidR="00CE49D6" w:rsidRPr="00CE49D6"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4062D82B"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CE49D6" w14:paraId="72009C77" w14:textId="77777777" w:rsidTr="00114F09">
        <w:tc>
          <w:tcPr>
            <w:tcW w:w="2425" w:type="dxa"/>
          </w:tcPr>
          <w:p w14:paraId="2869E7D8" w14:textId="77777777" w:rsidR="00CE49D6" w:rsidRDefault="00CE49D6" w:rsidP="00114F09">
            <w:pPr>
              <w:rPr>
                <w:lang w:eastAsia="en-US"/>
              </w:rPr>
            </w:pPr>
          </w:p>
        </w:tc>
        <w:tc>
          <w:tcPr>
            <w:tcW w:w="6937" w:type="dxa"/>
          </w:tcPr>
          <w:p w14:paraId="01F01274" w14:textId="77777777" w:rsidR="00CE49D6" w:rsidRDefault="00CE49D6" w:rsidP="00114F09">
            <w:pPr>
              <w:rPr>
                <w:lang w:eastAsia="en-US"/>
              </w:rPr>
            </w:pPr>
          </w:p>
        </w:tc>
      </w:tr>
    </w:tbl>
    <w:p w14:paraId="14A2CC9C" w14:textId="77777777" w:rsidR="00CE49D6"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7D8ED6E"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0" w:name="OLE_LINK71"/>
                            <w:bookmarkStart w:id="1"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7D8ED6E"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2" w:name="OLE_LINK71"/>
                      <w:bookmarkStart w:id="3"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w:t>
            </w:r>
            <w:proofErr w:type="gramStart"/>
            <w:r w:rsidRPr="008D52CC">
              <w:rPr>
                <w:color w:val="00B0F0"/>
                <w:lang w:eastAsia="en-US"/>
              </w:rPr>
              <w:t>,  WA</w:t>
            </w:r>
            <w:proofErr w:type="gramEnd"/>
            <w:r w:rsidRPr="008D52CC">
              <w:rPr>
                <w:color w:val="00B0F0"/>
                <w:lang w:eastAsia="en-US"/>
              </w:rPr>
              <w:t xml:space="preserve">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hint="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hint="eastAsia"/>
                <w:lang w:eastAsia="zh-CN"/>
              </w:rPr>
            </w:pPr>
            <w:r>
              <w:rPr>
                <w:rFonts w:hint="eastAsia"/>
              </w:rPr>
              <w:t>W</w:t>
            </w:r>
            <w:r>
              <w:t>e support Alt 2.</w:t>
            </w:r>
          </w:p>
        </w:tc>
      </w:tr>
    </w:tbl>
    <w:p w14:paraId="37D8E755" w14:textId="77777777" w:rsidR="006C7ECB" w:rsidRDefault="006C7ECB">
      <w:pPr>
        <w:rPr>
          <w:lang w:eastAsia="en-US"/>
        </w:rPr>
      </w:pPr>
    </w:p>
    <w:p w14:paraId="37D8E756" w14:textId="77777777" w:rsidR="006C7ECB" w:rsidRDefault="00A01006">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4849E0EB"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w:t>
            </w:r>
            <w:r w:rsidRPr="00C11A96">
              <w:rPr>
                <w:lang w:val="en-US" w:eastAsia="en-US"/>
              </w:rPr>
              <w:lastRenderedPageBreak/>
              <w:t>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hint="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hint="eastAsia"/>
                <w:lang w:eastAsia="zh-CN"/>
              </w:rPr>
            </w:pPr>
            <w:r w:rsidRPr="003A5277">
              <w:rPr>
                <w:lang w:eastAsia="en-US"/>
              </w:rPr>
              <w:t>We support Alt 1. It is not necessary to define a maximum gap for COT sharing within the maximum COT duration per the ETSI regulation</w:t>
            </w:r>
          </w:p>
        </w:tc>
      </w:tr>
    </w:tbl>
    <w:p w14:paraId="37D8E7B1" w14:textId="77777777" w:rsidR="006C7ECB" w:rsidRPr="00E066FF"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7D8ED7A"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7D8ED7A"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w:t>
      </w:r>
      <w:proofErr w:type="spellStart"/>
      <w:r w:rsidR="00173F66">
        <w:rPr>
          <w:rFonts w:cs="Times"/>
          <w:szCs w:val="20"/>
        </w:rPr>
        <w:t>InterDigital</w:t>
      </w:r>
      <w:proofErr w:type="spellEnd"/>
      <w:r w:rsidR="00173F66">
        <w:rPr>
          <w:rFonts w:cs="Times"/>
          <w:szCs w:val="20"/>
        </w:rPr>
        <w:t xml:space="preserve">, </w:t>
      </w:r>
      <w:proofErr w:type="spellStart"/>
      <w:r w:rsidR="00173F66">
        <w:rPr>
          <w:rFonts w:cs="Times"/>
          <w:szCs w:val="20"/>
        </w:rPr>
        <w:t>Convida</w:t>
      </w:r>
      <w:proofErr w:type="spellEnd"/>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 xml:space="preserve">e support Alt </w:t>
            </w:r>
            <w:proofErr w:type="gramStart"/>
            <w:r w:rsidRPr="00A87A1E">
              <w:rPr>
                <w:lang w:eastAsia="en-US"/>
              </w:rPr>
              <w:t>2, and</w:t>
            </w:r>
            <w:proofErr w:type="gramEnd"/>
            <w:r w:rsidRPr="00A87A1E">
              <w:rPr>
                <w:lang w:eastAsia="en-US"/>
              </w:rPr>
              <w:t xml:space="preserve"> be open to discuss the use cases of Cat 2 LBT at least for COT sharing. Regarding d</w:t>
            </w:r>
            <w:r>
              <w:rPr>
                <w:lang w:eastAsia="en-US"/>
              </w:rPr>
              <w:t xml:space="preserve">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w:t>
            </w:r>
            <w:r w:rsidRPr="00893954">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hint="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hint="eastAsia"/>
                <w:lang w:eastAsia="zh-CN"/>
              </w:rPr>
            </w:pPr>
            <w:r w:rsidRPr="003A5277">
              <w:rPr>
                <w:lang w:eastAsia="en-US"/>
              </w:rPr>
              <w:t xml:space="preserve">We support Alt 2. </w:t>
            </w:r>
            <w:proofErr w:type="gramStart"/>
            <w:r w:rsidRPr="003A5277">
              <w:rPr>
                <w:lang w:eastAsia="en-US"/>
              </w:rPr>
              <w:t>Also</w:t>
            </w:r>
            <w:proofErr w:type="gramEnd"/>
            <w:r w:rsidRPr="003A5277">
              <w:rPr>
                <w:lang w:eastAsia="en-US"/>
              </w:rPr>
              <w:t xml:space="preserve"> we are open to discuss 2.5.1-1 although the reason to have longer LBT time by using Cat-4 is not clear to us.</w:t>
            </w:r>
          </w:p>
        </w:tc>
      </w:tr>
    </w:tbl>
    <w:p w14:paraId="37D8E82E" w14:textId="77777777" w:rsidR="006C7ECB" w:rsidRPr="00E066FF"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hint="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bl>
    <w:p w14:paraId="37D8E840" w14:textId="77777777" w:rsidR="006C7ECB" w:rsidRPr="00E066FF"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7AC39618" w:rsidR="006C7ECB" w:rsidRDefault="00691119" w:rsidP="00691119">
      <w:pPr>
        <w:pStyle w:val="ListParagraph"/>
        <w:numPr>
          <w:ilvl w:val="0"/>
          <w:numId w:val="20"/>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
    <w:p w14:paraId="5DCE1992" w14:textId="0CE46C4E" w:rsidR="00691119" w:rsidRDefault="00691119" w:rsidP="00691119">
      <w:pPr>
        <w:pStyle w:val="ListParagraph"/>
        <w:numPr>
          <w:ilvl w:val="0"/>
          <w:numId w:val="20"/>
        </w:numPr>
        <w:rPr>
          <w:lang w:eastAsia="en-US"/>
        </w:rPr>
      </w:pPr>
      <w:r>
        <w:rPr>
          <w:lang w:eastAsia="en-US"/>
        </w:rPr>
        <w:lastRenderedPageBreak/>
        <w:t xml:space="preserve">Not </w:t>
      </w:r>
      <w:proofErr w:type="gramStart"/>
      <w:r>
        <w:rPr>
          <w:lang w:eastAsia="en-US"/>
        </w:rPr>
        <w:t>support:</w:t>
      </w:r>
      <w:proofErr w:type="gramEnd"/>
      <w:r>
        <w:rPr>
          <w:lang w:eastAsia="en-US"/>
        </w:rPr>
        <w:t xml:space="preserve"> vivo, Huawei, </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proofErr w:type="spellStart"/>
            <w:r w:rsidRPr="004245E3">
              <w:rPr>
                <w:rFonts w:eastAsia="SimSun"/>
                <w:lang w:val="en-US" w:eastAsia="zh-CN"/>
              </w:rPr>
              <w:t>InterDigital</w:t>
            </w:r>
            <w:proofErr w:type="spellEnd"/>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w:t>
            </w:r>
            <w:r>
              <w:rPr>
                <w:lang w:eastAsia="en-US"/>
              </w:rPr>
              <w:lastRenderedPageBreak/>
              <w:t>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bl>
    <w:p w14:paraId="37D8E8D7" w14:textId="77777777" w:rsidR="006C7ECB" w:rsidRPr="00150474" w:rsidRDefault="006C7ECB">
      <w:pPr>
        <w:rPr>
          <w:lang w:val="en-US"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w:t>
            </w:r>
            <w:r>
              <w:rPr>
                <w:rFonts w:ascii="Calibri" w:eastAsia="Times New Roman" w:hAnsi="Calibri" w:cs="Calibri"/>
                <w:snapToGrid/>
                <w:color w:val="000000"/>
                <w:kern w:val="0"/>
                <w:szCs w:val="20"/>
                <w:lang w:val="en-US" w:eastAsia="en-US"/>
              </w:rPr>
              <w:lastRenderedPageBreak/>
              <w:t xml:space="preserve">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w:t>
      </w:r>
      <w:r w:rsidR="00114F09">
        <w:rPr>
          <w:lang w:eastAsia="en-US"/>
        </w:rPr>
        <w:t>AT&amp;T, Oppo</w:t>
      </w:r>
      <w:r w:rsidR="00DB4980">
        <w:rPr>
          <w:lang w:eastAsia="en-US"/>
        </w:rPr>
        <w:t>, WILUS</w:t>
      </w:r>
    </w:p>
    <w:p w14:paraId="7A571BC6" w14:textId="1D3FE123" w:rsidR="000B1CEC" w:rsidRPr="000B1CEC" w:rsidRDefault="000B1CEC" w:rsidP="000B1CEC">
      <w:pPr>
        <w:pStyle w:val="ListParagraph"/>
        <w:numPr>
          <w:ilvl w:val="0"/>
          <w:numId w:val="19"/>
        </w:numPr>
        <w:rPr>
          <w:lang w:eastAsia="en-US"/>
        </w:rPr>
      </w:pPr>
      <w:r>
        <w:rPr>
          <w:lang w:eastAsia="en-US"/>
        </w:rPr>
        <w:t>Ericsson (agree on how to sense in single beam first)</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lastRenderedPageBreak/>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hint="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lastRenderedPageBreak/>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hint="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0E2C1B5" w:rsidR="000B1CEC" w:rsidRDefault="000B1CEC" w:rsidP="000B1CEC">
      <w:pPr>
        <w:pStyle w:val="ListParagraph"/>
        <w:numPr>
          <w:ilvl w:val="1"/>
          <w:numId w:val="15"/>
        </w:numPr>
        <w:rPr>
          <w:lang w:eastAsia="en-US"/>
        </w:rPr>
      </w:pPr>
      <w:r>
        <w:rPr>
          <w:lang w:eastAsia="en-US"/>
        </w:rPr>
        <w:t xml:space="preserve">Support: Nokia, Intel, Apple, Huawei, </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20DED130" w:rsidR="00DB4980" w:rsidRPr="00DB4980" w:rsidRDefault="000B1CEC" w:rsidP="00DB4980">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sidR="00114F09">
        <w:rPr>
          <w:rFonts w:cs="Times"/>
          <w:szCs w:val="20"/>
        </w:rPr>
        <w:t xml:space="preserve">, AT&amp;T, </w:t>
      </w:r>
      <w:r w:rsidR="00DB4980">
        <w:rPr>
          <w:rFonts w:cs="Times"/>
          <w:szCs w:val="20"/>
        </w:rPr>
        <w:t>WILUS</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ListParagraph"/>
        <w:numPr>
          <w:ilvl w:val="0"/>
          <w:numId w:val="15"/>
        </w:numPr>
        <w:rPr>
          <w:rFonts w:cs="Times"/>
          <w:szCs w:val="20"/>
        </w:rPr>
      </w:pPr>
      <w:r>
        <w:rPr>
          <w:rFonts w:cs="Times"/>
          <w:szCs w:val="20"/>
        </w:rPr>
        <w:t>Oppo: Left for implementation</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w:t>
            </w:r>
            <w:proofErr w:type="gramStart"/>
            <w:r w:rsidRPr="009D1FA8">
              <w:rPr>
                <w:rFonts w:cs="Times"/>
                <w:szCs w:val="20"/>
              </w:rPr>
              <w:t>down-select</w:t>
            </w:r>
            <w:proofErr w:type="gramEnd"/>
            <w:r w:rsidRPr="009D1FA8">
              <w:rPr>
                <w:rFonts w:cs="Times"/>
                <w:szCs w:val="20"/>
              </w:rPr>
              <w:t xml:space="preserve">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w:t>
            </w:r>
            <w:r w:rsidRPr="004C3942">
              <w:rPr>
                <w:lang w:eastAsia="en-US"/>
              </w:rPr>
              <w:lastRenderedPageBreak/>
              <w:t xml:space="preserve">,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hint="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t>
      </w:r>
      <w:r w:rsidR="00DB4980">
        <w:rPr>
          <w:lang w:eastAsia="en-US"/>
        </w:rPr>
        <w:t>,WILUS</w:t>
      </w:r>
      <w:proofErr w:type="spellEnd"/>
      <w:proofErr w:type="gramEnd"/>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 xml:space="preserve">Oppo: </w:t>
      </w:r>
      <w:proofErr w:type="spellStart"/>
      <w:r>
        <w:rPr>
          <w:lang w:eastAsia="en-US"/>
        </w:rPr>
        <w:t>Implmentation</w:t>
      </w:r>
      <w:proofErr w:type="spellEnd"/>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hint="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bl>
    <w:p w14:paraId="37D8E9D3" w14:textId="77777777" w:rsidR="006C7ECB" w:rsidRDefault="006C7ECB">
      <w:pPr>
        <w:rPr>
          <w:lang w:eastAsia="en-US"/>
        </w:rPr>
      </w:pPr>
    </w:p>
    <w:p w14:paraId="37D8E9D4" w14:textId="77777777" w:rsidR="006C7ECB" w:rsidRDefault="00A01006">
      <w:pPr>
        <w:pStyle w:val="discussionpoint"/>
      </w:pPr>
      <w:r>
        <w:lastRenderedPageBreak/>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w:t>
            </w:r>
            <w:proofErr w:type="spellStart"/>
            <w:r>
              <w:t>backoff</w:t>
            </w:r>
            <w:proofErr w:type="spellEnd"/>
            <w:r>
              <w:t xml:space="preserve"> counter</w:t>
            </w:r>
            <w:bookmarkEnd w:id="6"/>
            <w:bookmarkEnd w:id="7"/>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4"/>
          <w:bookmarkEnd w:id="5"/>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lastRenderedPageBreak/>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w:t>
            </w:r>
            <w:proofErr w:type="gramStart"/>
            <w:r>
              <w:rPr>
                <w:rFonts w:cs="Times"/>
              </w:rPr>
              <w:t>fall back</w:t>
            </w:r>
            <w:proofErr w:type="gramEnd"/>
            <w:r>
              <w:rPr>
                <w:rFonts w:cs="Times"/>
              </w:rPr>
              <w:t xml:space="preserve">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hint="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 xml:space="preserve">To address Nokia’s comment, we do not see why Type B would be applicable only if channelization is conformant with channel bonding as in 802.11 ad/ay. In particular, </w:t>
            </w:r>
            <w:r w:rsidRPr="00C2710B">
              <w:lastRenderedPageBreak/>
              <w:t xml:space="preserve">unlike in 802.11 ad/ay, the BW of the primary channel can be </w:t>
            </w:r>
            <w:proofErr w:type="gramStart"/>
            <w:r w:rsidRPr="00C2710B">
              <w:t>flexible</w:t>
            </w:r>
            <w:proofErr w:type="gramEnd"/>
            <w:r w:rsidRPr="00C2710B">
              <w:t xml:space="preserv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lastRenderedPageBreak/>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hint="eastAsia"/>
                <w:lang w:eastAsia="zh-CN"/>
              </w:rPr>
            </w:pPr>
            <w:r>
              <w:rPr>
                <w:rFonts w:hint="eastAsia"/>
              </w:rPr>
              <w:t>W</w:t>
            </w:r>
            <w:r>
              <w:t xml:space="preserve">e support </w:t>
            </w:r>
            <w:r w:rsidRPr="00C2710B">
              <w:t>Proposal 2.8.1-1.</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32BA1BEA" w:rsidR="000D765A" w:rsidRDefault="000D765A" w:rsidP="000D765A">
      <w:pPr>
        <w:pStyle w:val="ListParagraph"/>
        <w:numPr>
          <w:ilvl w:val="2"/>
          <w:numId w:val="22"/>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w:t>
      </w:r>
      <w:r w:rsidR="00114F09">
        <w:rPr>
          <w:lang w:val="en-US" w:eastAsia="en-US"/>
        </w:rPr>
        <w:t>, Oppo</w:t>
      </w:r>
    </w:p>
    <w:p w14:paraId="37D8EAB3" w14:textId="6978A886" w:rsidR="006C7ECB" w:rsidRDefault="00A01006" w:rsidP="000D765A">
      <w:pPr>
        <w:pStyle w:val="ListParagraph"/>
        <w:numPr>
          <w:ilvl w:val="1"/>
          <w:numId w:val="22"/>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41558975" w14:textId="14AD5A3D" w:rsidR="000D765A" w:rsidRDefault="000D765A" w:rsidP="000D765A">
      <w:pPr>
        <w:pStyle w:val="ListParagraph"/>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beam-forming), the wanted communication link (between the UUT and the </w:t>
            </w:r>
            <w:r w:rsidRPr="00153258">
              <w:rPr>
                <w:i/>
                <w:iCs/>
                <w:szCs w:val="20"/>
                <w:u w:val="single"/>
              </w:rPr>
              <w:lastRenderedPageBreak/>
              <w:t>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lastRenderedPageBreak/>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 xml:space="preserve">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 xml:space="preserve">FFS] dB of the peak transmission beam gain.  The sensing beam </w:t>
            </w:r>
            <w:proofErr w:type="gramStart"/>
            <w:r w:rsidRPr="006E191E">
              <w:rPr>
                <w:rFonts w:eastAsia="Gulim"/>
                <w:i/>
                <w:iCs/>
                <w:kern w:val="0"/>
                <w:szCs w:val="20"/>
                <w:lang w:eastAsia="en-US"/>
              </w:rPr>
              <w:t>is considered to be</w:t>
            </w:r>
            <w:proofErr w:type="gramEnd"/>
            <w:r w:rsidRPr="006E191E">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w:t>
            </w:r>
            <w:proofErr w:type="gramStart"/>
            <w:r w:rsidRPr="006E191E">
              <w:rPr>
                <w:rFonts w:eastAsia="Gulim"/>
                <w:i/>
                <w:iCs/>
                <w:color w:val="C00000"/>
                <w:kern w:val="0"/>
                <w:szCs w:val="20"/>
                <w:lang w:val="en-US" w:eastAsia="en-US"/>
              </w:rPr>
              <w:t>is considered to be</w:t>
            </w:r>
            <w:proofErr w:type="gramEnd"/>
            <w:r w:rsidRPr="006E191E">
              <w:rPr>
                <w:rFonts w:eastAsia="Gulim"/>
                <w:i/>
                <w:iCs/>
                <w:color w:val="C00000"/>
                <w:kern w:val="0"/>
                <w:szCs w:val="20"/>
                <w:lang w:val="en-US" w:eastAsia="en-US"/>
              </w:rPr>
              <w:t xml:space="preserv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w:t>
            </w:r>
            <w:proofErr w:type="gramStart"/>
            <w:r w:rsidRPr="006E191E">
              <w:rPr>
                <w:rFonts w:eastAsia="Gulim"/>
                <w:kern w:val="0"/>
                <w:lang w:eastAsia="en-US"/>
              </w:rPr>
              <w:t>gNB</w:t>
            </w:r>
            <w:proofErr w:type="gram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w:t>
            </w:r>
            <w:r>
              <w:rPr>
                <w:lang w:eastAsia="en-US"/>
              </w:rPr>
              <w:lastRenderedPageBreak/>
              <w:t xml:space="preserve">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w:t>
            </w:r>
            <w:proofErr w:type="gramStart"/>
            <w:r w:rsidRPr="000E1E87">
              <w:rPr>
                <w:lang w:val="en-US" w:eastAsia="en-US"/>
              </w:rPr>
              <w:t>beam,  extend</w:t>
            </w:r>
            <w:proofErr w:type="gramEnd"/>
            <w:r w:rsidRPr="000E1E87">
              <w:rPr>
                <w:lang w:val="en-US" w:eastAsia="en-US"/>
              </w:rPr>
              <w:t xml:space="preserve">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w:t>
            </w:r>
            <w:proofErr w:type="gramStart"/>
            <w:r w:rsidRPr="000E1E87">
              <w:rPr>
                <w:lang w:eastAsia="en-US"/>
              </w:rPr>
              <w:t>3]dB</w:t>
            </w:r>
            <w:proofErr w:type="gramEnd"/>
            <w:r w:rsidRPr="000E1E87">
              <w:rPr>
                <w:lang w:eastAsia="en-US"/>
              </w:rPr>
              <w:t xml:space="preserve">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bl>
    <w:p w14:paraId="37D8EAC6" w14:textId="77777777" w:rsidR="006C7ECB" w:rsidRDefault="006C7ECB">
      <w:pPr>
        <w:rPr>
          <w:lang w:eastAsia="en-US"/>
        </w:rPr>
      </w:pPr>
    </w:p>
    <w:p w14:paraId="37D8EAC7" w14:textId="77777777" w:rsidR="006C7ECB" w:rsidRDefault="00A01006">
      <w:pPr>
        <w:pStyle w:val="Heading2"/>
      </w:pPr>
      <w:r>
        <w:lastRenderedPageBreak/>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gNB should indicate to the UE this gNB-UE connection is operating in LBT mode or no-LBT mode. </w:t>
            </w:r>
            <w:proofErr w:type="gramStart"/>
            <w:r>
              <w:t>Down-select</w:t>
            </w:r>
            <w:proofErr w:type="gramEnd"/>
            <w:r>
              <w:t xml:space="preserve">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5916657" w:rsidR="000D765A" w:rsidRDefault="000D765A">
      <w:pPr>
        <w:pStyle w:val="ListParagraph"/>
        <w:numPr>
          <w:ilvl w:val="0"/>
          <w:numId w:val="23"/>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Samsung</w:t>
      </w:r>
      <w:r w:rsidR="00966240">
        <w:t>, Oppo</w:t>
      </w:r>
      <w:r w:rsidR="00DB4980">
        <w:t xml:space="preserve">, WILUS, </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w:t>
      </w:r>
      <w:proofErr w:type="spellStart"/>
      <w:r w:rsidR="00D3570F">
        <w:t>InterDigital</w:t>
      </w:r>
      <w:proofErr w:type="spellEnd"/>
      <w:r w:rsidR="00D3570F">
        <w:t>, Samsung</w:t>
      </w:r>
      <w:r w:rsidR="00966240">
        <w:t>, Oppo</w:t>
      </w:r>
    </w:p>
    <w:p w14:paraId="37D8EB63" w14:textId="22540A8B" w:rsidR="006C7ECB" w:rsidRDefault="00A01006">
      <w:pPr>
        <w:pStyle w:val="ListParagraph"/>
        <w:numPr>
          <w:ilvl w:val="0"/>
          <w:numId w:val="23"/>
        </w:numPr>
      </w:pPr>
      <w:r>
        <w:t>Do not support per beam indication of the decision on applying LBT mode or no-LBT mode:</w:t>
      </w:r>
      <w:r w:rsidR="00D3570F">
        <w:t xml:space="preserve"> Nokia, Charter, Intel, vivo, Apple, </w:t>
      </w:r>
      <w:proofErr w:type="spellStart"/>
      <w:r w:rsidR="00D3570F">
        <w:t>Futurewei</w:t>
      </w:r>
      <w:proofErr w:type="spellEnd"/>
      <w:r w:rsidR="00D3570F">
        <w:t xml:space="preserve">, Ericsson, Huawei, Fujitsu, </w:t>
      </w:r>
      <w:r w:rsidR="00DB4980">
        <w:t>WILUS</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ListParagraph"/>
        <w:numPr>
          <w:ilvl w:val="0"/>
          <w:numId w:val="23"/>
        </w:numPr>
      </w:pPr>
      <w:r>
        <w:t>Support per cell indication of the decision on applying LBT mode or no-LBT mode:</w:t>
      </w:r>
      <w:r w:rsidR="00D3570F">
        <w:t xml:space="preserve"> Nokia, Lenovo, Intel, ZTE(?), vivo, NEC, Ericsson, </w:t>
      </w:r>
      <w:proofErr w:type="spellStart"/>
      <w:r w:rsidR="00D3570F">
        <w:t>InterDigital</w:t>
      </w:r>
      <w:proofErr w:type="spellEnd"/>
      <w:r w:rsidR="00D3570F">
        <w:t xml:space="preserve">, Fujitsu, </w:t>
      </w:r>
      <w:proofErr w:type="spellStart"/>
      <w:r w:rsidR="00D3570F">
        <w:t>Convida</w:t>
      </w:r>
      <w:proofErr w:type="spellEnd"/>
      <w:r w:rsidR="00D3570F">
        <w:t>, Samsung</w:t>
      </w:r>
      <w:r w:rsidR="00966240">
        <w:t xml:space="preserve">, </w:t>
      </w:r>
      <w:proofErr w:type="spellStart"/>
      <w:proofErr w:type="gramStart"/>
      <w:r w:rsidR="00966240">
        <w:t>Oppo</w:t>
      </w:r>
      <w:r w:rsidR="00DB4980">
        <w:t>,WILUS</w:t>
      </w:r>
      <w:proofErr w:type="spellEnd"/>
      <w:proofErr w:type="gramEnd"/>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 xml:space="preserve">Nokia, Charter, Lenovo, ZTE, Intel, vivo, Apple, </w:t>
      </w:r>
      <w:proofErr w:type="spellStart"/>
      <w:r w:rsidR="00D3570F">
        <w:t>Futurewei</w:t>
      </w:r>
      <w:proofErr w:type="spellEnd"/>
      <w:r w:rsidR="00D3570F">
        <w:t xml:space="preserve">, NEC, Ericsson, Huawei, ITRI, </w:t>
      </w:r>
      <w:proofErr w:type="spellStart"/>
      <w:r w:rsidR="00D3570F">
        <w:t>InterDigital</w:t>
      </w:r>
      <w:proofErr w:type="spellEnd"/>
      <w:r w:rsidR="00D3570F">
        <w:t>,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lastRenderedPageBreak/>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w:t>
            </w:r>
            <w:proofErr w:type="gramStart"/>
            <w:r>
              <w:t>In particular, if</w:t>
            </w:r>
            <w:proofErr w:type="gramEnd"/>
            <w:r>
              <w:t xml:space="preserve">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w:t>
      </w:r>
      <w:proofErr w:type="spellStart"/>
      <w:r w:rsidR="00D3570F">
        <w:rPr>
          <w:szCs w:val="20"/>
          <w:lang w:val="en-US"/>
        </w:rPr>
        <w:t>InterDigital</w:t>
      </w:r>
      <w:proofErr w:type="spellEnd"/>
      <w:r w:rsidR="00D3570F">
        <w:rPr>
          <w:szCs w:val="20"/>
          <w:lang w:val="en-US"/>
        </w:rPr>
        <w:t xml:space="preserve"> (at least for initial access), </w:t>
      </w:r>
      <w:proofErr w:type="spellStart"/>
      <w:r w:rsidR="00D3570F">
        <w:rPr>
          <w:szCs w:val="20"/>
          <w:lang w:val="en-US"/>
        </w:rPr>
        <w:t>Convida</w:t>
      </w:r>
      <w:proofErr w:type="spellEnd"/>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lastRenderedPageBreak/>
        <w:t>Not support:</w:t>
      </w:r>
      <w:r w:rsidR="00D3570F">
        <w:rPr>
          <w:szCs w:val="20"/>
          <w:lang w:val="en-US"/>
        </w:rPr>
        <w:t xml:space="preserve"> Charter, Intel, Apple, </w:t>
      </w:r>
      <w:proofErr w:type="spellStart"/>
      <w:r w:rsidR="00D3570F">
        <w:rPr>
          <w:szCs w:val="20"/>
          <w:lang w:val="en-US"/>
        </w:rPr>
        <w:t>Futurewei</w:t>
      </w:r>
      <w:proofErr w:type="spellEnd"/>
      <w:r w:rsidR="00D3570F">
        <w:rPr>
          <w:szCs w:val="20"/>
          <w:lang w:val="en-US"/>
        </w:rPr>
        <w:t>, Ericsson, Huawei, Fujitsu, Samsung (this is different from LBT field in DCI)</w:t>
      </w:r>
      <w:r w:rsidR="00DB4980">
        <w:rPr>
          <w:szCs w:val="20"/>
          <w:lang w:val="en-US"/>
        </w:rPr>
        <w:t>, WILUS</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bl>
    <w:p w14:paraId="37D8EBB0" w14:textId="77777777" w:rsidR="006C7ECB" w:rsidRPr="00E066FF" w:rsidRDefault="006C7ECB"/>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lastRenderedPageBreak/>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proofErr w:type="gramStart"/>
      <w:r>
        <w:t>Against;</w:t>
      </w:r>
      <w:proofErr w:type="gramEnd"/>
      <w:r>
        <w:t xml:space="preserve">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017B8E7" w14:textId="4996528D"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xml:space="preserve">, </w:t>
      </w:r>
      <w:proofErr w:type="spellStart"/>
      <w:r>
        <w:rPr>
          <w:lang w:eastAsia="en-US"/>
        </w:rPr>
        <w:t>Futurewei</w:t>
      </w:r>
      <w:proofErr w:type="spellEnd"/>
      <w:r>
        <w:rPr>
          <w:lang w:eastAsia="en-US"/>
        </w:rPr>
        <w:t xml:space="preserve"> (Alt 1)</w:t>
      </w:r>
      <w:r w:rsidR="000E2862">
        <w:rPr>
          <w:lang w:eastAsia="en-US"/>
        </w:rPr>
        <w:t>, Ericsson (Alt 2), Samsung</w:t>
      </w:r>
    </w:p>
    <w:p w14:paraId="6A4604AF" w14:textId="65C2FD25" w:rsidR="00D3570F" w:rsidRDefault="00D3570F">
      <w:pPr>
        <w:pStyle w:val="ListParagraph"/>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w:t>
            </w:r>
            <w:r>
              <w:rPr>
                <w:lang w:eastAsia="en-US"/>
              </w:rPr>
              <w:lastRenderedPageBreak/>
              <w:t>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Msg 3 exceeds to 10ms limitation, then this case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proofErr w:type="gram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roofErr w:type="gramEnd"/>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Signalling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lastRenderedPageBreak/>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622E70BE"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C90411B"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hint="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41EAC2EB"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w:t>
      </w:r>
      <w:proofErr w:type="spellStart"/>
      <w:r w:rsidR="000E2862">
        <w:rPr>
          <w:lang w:eastAsia="en-US"/>
        </w:rPr>
        <w:t>InterDigital</w:t>
      </w:r>
      <w:proofErr w:type="spellEnd"/>
      <w:r w:rsidR="000E2862">
        <w:rPr>
          <w:lang w:eastAsia="en-US"/>
        </w:rPr>
        <w:t xml:space="preserve">, </w:t>
      </w:r>
      <w:r w:rsidR="00DB4980">
        <w:rPr>
          <w:lang w:eastAsia="en-US"/>
        </w:rPr>
        <w:t>WILUS</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C1995E6" w:rsidR="006C7ECB" w:rsidRDefault="00A01006">
      <w:pPr>
        <w:pStyle w:val="ListParagraph"/>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proofErr w:type="spellStart"/>
            <w:r w:rsidRPr="004245E3">
              <w:rPr>
                <w:lang w:eastAsia="en-US"/>
              </w:rPr>
              <w:t>InterDigital</w:t>
            </w:r>
            <w:proofErr w:type="spellEnd"/>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hint="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lastRenderedPageBreak/>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BD6C" w14:textId="77777777" w:rsidR="006D44E0" w:rsidRDefault="006D44E0">
      <w:pPr>
        <w:spacing w:after="0" w:line="240" w:lineRule="auto"/>
      </w:pPr>
      <w:r>
        <w:separator/>
      </w:r>
    </w:p>
  </w:endnote>
  <w:endnote w:type="continuationSeparator" w:id="0">
    <w:p w14:paraId="6E4770B2" w14:textId="77777777" w:rsidR="006D44E0" w:rsidRDefault="006D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114F09" w:rsidRDefault="00114F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114F09" w:rsidRDefault="00114F09">
    <w:pPr>
      <w:pStyle w:val="Footer"/>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2FD2A3F2" w:rsidR="00114F09" w:rsidRDefault="00114F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14:paraId="37D8ED4F" w14:textId="77777777" w:rsidR="00114F09" w:rsidRDefault="00114F09">
    <w:pPr>
      <w:pStyle w:val="Footer"/>
    </w:pPr>
  </w:p>
  <w:p w14:paraId="37D8ED50" w14:textId="77777777" w:rsidR="00114F09" w:rsidRDefault="00114F09"/>
  <w:p w14:paraId="37D8ED51" w14:textId="77777777" w:rsidR="00114F09" w:rsidRDefault="00114F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055B" w14:textId="77777777" w:rsidR="00114F09" w:rsidRDefault="00114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D6CD" w14:textId="77777777" w:rsidR="006D44E0" w:rsidRDefault="006D44E0">
      <w:pPr>
        <w:spacing w:after="0" w:line="240" w:lineRule="auto"/>
      </w:pPr>
      <w:r>
        <w:separator/>
      </w:r>
    </w:p>
  </w:footnote>
  <w:footnote w:type="continuationSeparator" w:id="0">
    <w:p w14:paraId="1BA3B9B3" w14:textId="77777777" w:rsidR="006D44E0" w:rsidRDefault="006D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8933" w14:textId="77777777" w:rsidR="00114F09" w:rsidRDefault="00114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CCAC" w14:textId="77777777" w:rsidR="00114F09" w:rsidRDefault="00114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625F" w14:textId="77777777" w:rsidR="00114F09" w:rsidRDefault="0011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出段落,列表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5BF0A-8966-4567-B9BA-35A627BBDC9D}">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7650C21D-0DD3-462C-9B22-EEC94B428F7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A8B8042-0EE1-46C3-BDBD-4E88449AA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70</Pages>
  <Words>31996</Words>
  <Characters>182382</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10</cp:revision>
  <cp:lastPrinted>2019-01-10T09:30:00Z</cp:lastPrinted>
  <dcterms:created xsi:type="dcterms:W3CDTF">2021-05-21T02:30:00Z</dcterms:created>
  <dcterms:modified xsi:type="dcterms:W3CDTF">2021-05-21T05:14:00Z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