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5F3E8B" w:rsidRDefault="005F3E8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F3E8B" w:rsidRDefault="005F3E8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5F3E8B" w:rsidRDefault="005F3E8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F3E8B" w:rsidRDefault="005F3E8B"/>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5F3E8B" w:rsidRDefault="005F3E8B">
                            <w:pPr>
                              <w:rPr>
                                <w:rFonts w:eastAsia="SimSun"/>
                                <w:snapToGrid/>
                                <w:kern w:val="0"/>
                                <w:lang w:val="en-US" w:eastAsia="zh-CN"/>
                              </w:rPr>
                            </w:pPr>
                            <w:r>
                              <w:rPr>
                                <w:highlight w:val="darkYellow"/>
                                <w:lang w:eastAsia="zh-CN"/>
                              </w:rPr>
                              <w:t>Working assumption:</w:t>
                            </w:r>
                          </w:p>
                          <w:p w14:paraId="37D8ED5D" w14:textId="77777777" w:rsidR="005F3E8B" w:rsidRDefault="005F3E8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5F3E8B" w:rsidRDefault="005F3E8B">
                      <w:pPr>
                        <w:rPr>
                          <w:rFonts w:eastAsia="SimSun"/>
                          <w:snapToGrid/>
                          <w:kern w:val="0"/>
                          <w:lang w:val="en-US" w:eastAsia="zh-CN"/>
                        </w:rPr>
                      </w:pPr>
                      <w:r>
                        <w:rPr>
                          <w:highlight w:val="darkYellow"/>
                          <w:lang w:eastAsia="zh-CN"/>
                        </w:rPr>
                        <w:t>Working assumption:</w:t>
                      </w:r>
                    </w:p>
                    <w:p w14:paraId="37D8ED5D" w14:textId="77777777" w:rsidR="005F3E8B" w:rsidRDefault="005F3E8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 xml:space="preserve">While we acknowledge that calculation the mean EIRP may be more complex than </w:t>
            </w:r>
            <w:r>
              <w:rPr>
                <w:lang w:eastAsia="en-US"/>
              </w:rPr>
              <w:lastRenderedPageBreak/>
              <w:t>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lastRenderedPageBreak/>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5F3E8B" w:rsidRDefault="005F3E8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F3E8B" w:rsidRDefault="005F3E8B">
                            <w:pPr>
                              <w:rPr>
                                <w:rFonts w:cs="Times"/>
                                <w:szCs w:val="20"/>
                              </w:rPr>
                            </w:pPr>
                            <w:r>
                              <w:rPr>
                                <w:rFonts w:cs="Times"/>
                                <w:szCs w:val="20"/>
                              </w:rPr>
                              <w:t>For LBT for single carrier transmission, consider the following alternatives</w:t>
                            </w:r>
                          </w:p>
                          <w:p w14:paraId="37D8ED60"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5F3E8B" w:rsidRDefault="005F3E8B">
                            <w:pPr>
                              <w:rPr>
                                <w:rFonts w:cs="Times"/>
                                <w:szCs w:val="20"/>
                              </w:rPr>
                            </w:pPr>
                            <w:r>
                              <w:rPr>
                                <w:rFonts w:cs="Times"/>
                                <w:szCs w:val="20"/>
                              </w:rPr>
                              <w:t>For LBT for multi-carrier transmission in intra-band CA, consider the following alternatives</w:t>
                            </w:r>
                          </w:p>
                          <w:p w14:paraId="37D8ED64"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5F3E8B" w:rsidRDefault="005F3E8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F3E8B" w:rsidRDefault="005F3E8B"/>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5F3E8B" w:rsidRDefault="005F3E8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F3E8B" w:rsidRDefault="005F3E8B">
                      <w:pPr>
                        <w:rPr>
                          <w:rFonts w:cs="Times"/>
                          <w:szCs w:val="20"/>
                        </w:rPr>
                      </w:pPr>
                      <w:r>
                        <w:rPr>
                          <w:rFonts w:cs="Times"/>
                          <w:szCs w:val="20"/>
                        </w:rPr>
                        <w:t>For LBT for single carrier transmission, consider the following alternatives</w:t>
                      </w:r>
                    </w:p>
                    <w:p w14:paraId="37D8ED60"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5F3E8B" w:rsidRDefault="005F3E8B">
                      <w:pPr>
                        <w:rPr>
                          <w:rFonts w:cs="Times"/>
                          <w:szCs w:val="20"/>
                        </w:rPr>
                      </w:pPr>
                      <w:r>
                        <w:rPr>
                          <w:rFonts w:cs="Times"/>
                          <w:szCs w:val="20"/>
                        </w:rPr>
                        <w:t>For LBT for multi-carrier transmission in intra-band CA, consider the following alternatives</w:t>
                      </w:r>
                    </w:p>
                    <w:p w14:paraId="37D8ED64"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5F3E8B" w:rsidRDefault="005F3E8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F3E8B" w:rsidRDefault="005F3E8B"/>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bl>
    <w:p w14:paraId="37D8E6E4" w14:textId="77777777" w:rsidR="006C7ECB" w:rsidRPr="00B269F3" w:rsidRDefault="006C7ECB">
      <w:pPr>
        <w:rPr>
          <w:lang w:val="en-US"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lastRenderedPageBreak/>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5F3E8B" w:rsidRDefault="005F3E8B">
                            <w:pPr>
                              <w:rPr>
                                <w:rFonts w:cs="Times"/>
                                <w:szCs w:val="20"/>
                              </w:rPr>
                            </w:pPr>
                          </w:p>
                          <w:p w14:paraId="37D8ED6C" w14:textId="77777777" w:rsidR="005F3E8B" w:rsidRDefault="005F3E8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F3E8B" w:rsidRDefault="005F3E8B">
                            <w:pPr>
                              <w:rPr>
                                <w:rFonts w:cs="Times"/>
                                <w:sz w:val="18"/>
                                <w:szCs w:val="20"/>
                              </w:rPr>
                            </w:pPr>
                            <w:r>
                              <w:rPr>
                                <w:rFonts w:cs="Times"/>
                                <w:sz w:val="18"/>
                                <w:szCs w:val="20"/>
                              </w:rPr>
                              <w:t>For energy measurement in 8us deferral period, down-select from the following:</w:t>
                            </w:r>
                          </w:p>
                          <w:p w14:paraId="37D8ED6E"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F3E8B" w:rsidRDefault="005F3E8B">
                            <w:pPr>
                              <w:rPr>
                                <w:rFonts w:cs="Times"/>
                                <w:sz w:val="18"/>
                                <w:szCs w:val="20"/>
                                <w:lang w:eastAsia="en-US"/>
                              </w:rPr>
                            </w:pPr>
                            <w:r>
                              <w:rPr>
                                <w:rFonts w:cs="Times"/>
                                <w:sz w:val="18"/>
                                <w:szCs w:val="20"/>
                              </w:rPr>
                              <w:t>For energy measurement in 5us observation slot, perform single measurement</w:t>
                            </w:r>
                          </w:p>
                          <w:p w14:paraId="37D8ED72"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F3E8B" w:rsidRDefault="005F3E8B">
                            <w:pPr>
                              <w:rPr>
                                <w:sz w:val="18"/>
                                <w:highlight w:val="darkYellow"/>
                                <w:lang w:eastAsia="zh-CN"/>
                              </w:rPr>
                            </w:pPr>
                            <w:bookmarkStart w:id="0" w:name="OLE_LINK71"/>
                            <w:bookmarkStart w:id="1" w:name="OLE_LINK70"/>
                          </w:p>
                          <w:p w14:paraId="37D8ED75" w14:textId="77777777" w:rsidR="005F3E8B" w:rsidRDefault="005F3E8B">
                            <w:pPr>
                              <w:rPr>
                                <w:sz w:val="18"/>
                                <w:lang w:eastAsia="zh-CN"/>
                              </w:rPr>
                            </w:pPr>
                            <w:r>
                              <w:rPr>
                                <w:sz w:val="18"/>
                                <w:highlight w:val="darkYellow"/>
                                <w:lang w:eastAsia="zh-CN"/>
                              </w:rPr>
                              <w:t>Working assumption:</w:t>
                            </w:r>
                          </w:p>
                          <w:p w14:paraId="37D8ED7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5F3E8B" w:rsidRDefault="005F3E8B"/>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5F3E8B" w:rsidRDefault="005F3E8B">
                      <w:pPr>
                        <w:rPr>
                          <w:rFonts w:cs="Times"/>
                          <w:szCs w:val="20"/>
                        </w:rPr>
                      </w:pPr>
                    </w:p>
                    <w:p w14:paraId="37D8ED6C" w14:textId="77777777" w:rsidR="005F3E8B" w:rsidRDefault="005F3E8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F3E8B" w:rsidRDefault="005F3E8B">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7D8ED6E"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F3E8B" w:rsidRDefault="005F3E8B">
                      <w:pPr>
                        <w:rPr>
                          <w:rFonts w:cs="Times"/>
                          <w:sz w:val="18"/>
                          <w:szCs w:val="20"/>
                          <w:lang w:eastAsia="en-US"/>
                        </w:rPr>
                      </w:pPr>
                      <w:r>
                        <w:rPr>
                          <w:rFonts w:cs="Times"/>
                          <w:sz w:val="18"/>
                          <w:szCs w:val="20"/>
                        </w:rPr>
                        <w:t>For energy measurement in 5us observation slot, perform single measurement</w:t>
                      </w:r>
                    </w:p>
                    <w:p w14:paraId="37D8ED72"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F3E8B" w:rsidRDefault="005F3E8B">
                      <w:pPr>
                        <w:rPr>
                          <w:sz w:val="18"/>
                          <w:highlight w:val="darkYellow"/>
                          <w:lang w:eastAsia="zh-CN"/>
                        </w:rPr>
                      </w:pPr>
                      <w:bookmarkStart w:id="2" w:name="OLE_LINK71"/>
                      <w:bookmarkStart w:id="3" w:name="OLE_LINK70"/>
                    </w:p>
                    <w:p w14:paraId="37D8ED75" w14:textId="77777777" w:rsidR="005F3E8B" w:rsidRDefault="005F3E8B">
                      <w:pPr>
                        <w:rPr>
                          <w:sz w:val="18"/>
                          <w:lang w:eastAsia="zh-CN"/>
                        </w:rPr>
                      </w:pPr>
                      <w:r>
                        <w:rPr>
                          <w:sz w:val="18"/>
                          <w:highlight w:val="darkYellow"/>
                          <w:lang w:eastAsia="zh-CN"/>
                        </w:rPr>
                        <w:t>Working assumption:</w:t>
                      </w:r>
                    </w:p>
                    <w:p w14:paraId="37D8ED7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5F3E8B" w:rsidRDefault="005F3E8B"/>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9" w14:textId="77777777" w:rsidR="005F3E8B" w:rsidRDefault="005F3E8B">
                            <w:pPr>
                              <w:rPr>
                                <w:rFonts w:cs="Times"/>
                                <w:szCs w:val="20"/>
                              </w:rPr>
                            </w:pPr>
                            <w:r>
                              <w:rPr>
                                <w:rFonts w:cs="Times"/>
                                <w:szCs w:val="20"/>
                              </w:rPr>
                              <w:t>For Cat 2 LBT, down-select from the following alternatives</w:t>
                            </w:r>
                          </w:p>
                          <w:p w14:paraId="37D8ED7A"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F3E8B" w:rsidRDefault="005F3E8B">
                            <w:pPr>
                              <w:kinsoku/>
                              <w:adjustRightInd/>
                              <w:snapToGrid w:val="0"/>
                              <w:spacing w:after="0" w:line="252" w:lineRule="auto"/>
                              <w:textAlignment w:val="auto"/>
                              <w:rPr>
                                <w:rFonts w:cs="Times"/>
                                <w:szCs w:val="20"/>
                              </w:rPr>
                            </w:pPr>
                          </w:p>
                          <w:p w14:paraId="37D8ED7D"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E" w14:textId="77777777" w:rsidR="005F3E8B" w:rsidRDefault="005F3E8B">
                            <w:pPr>
                              <w:rPr>
                                <w:rFonts w:cs="Times"/>
                                <w:color w:val="000000"/>
                                <w:szCs w:val="20"/>
                              </w:rPr>
                            </w:pPr>
                            <w:r>
                              <w:rPr>
                                <w:rFonts w:cs="Times"/>
                                <w:color w:val="000000"/>
                                <w:szCs w:val="20"/>
                              </w:rPr>
                              <w:t>If Cat 2 LBT is introduced, the following use cases can be further studied:</w:t>
                            </w:r>
                          </w:p>
                          <w:p w14:paraId="37D8ED7F"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F3E8B" w:rsidRDefault="005F3E8B">
                            <w:pPr>
                              <w:rPr>
                                <w:rFonts w:cs="Times"/>
                                <w:szCs w:val="20"/>
                              </w:rPr>
                            </w:pPr>
                            <w:r>
                              <w:rPr>
                                <w:rFonts w:cs="Times"/>
                                <w:szCs w:val="20"/>
                              </w:rPr>
                              <w:t xml:space="preserve">Other use cases not precluded. </w:t>
                            </w:r>
                          </w:p>
                          <w:p w14:paraId="37D8ED84" w14:textId="77777777" w:rsidR="005F3E8B" w:rsidRDefault="005F3E8B">
                            <w:pPr>
                              <w:rPr>
                                <w:rFonts w:cs="Times"/>
                                <w:szCs w:val="20"/>
                              </w:rPr>
                            </w:pPr>
                            <w:r>
                              <w:rPr>
                                <w:rFonts w:cs="Times"/>
                                <w:szCs w:val="20"/>
                              </w:rPr>
                              <w:t>FFS if Cat 2 LBT is mandated for each use case or not.</w:t>
                            </w:r>
                          </w:p>
                          <w:p w14:paraId="37D8ED85"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9" w14:textId="77777777" w:rsidR="005F3E8B" w:rsidRDefault="005F3E8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7D8ED7A"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F3E8B" w:rsidRDefault="005F3E8B">
                      <w:pPr>
                        <w:kinsoku/>
                        <w:adjustRightInd/>
                        <w:snapToGrid w:val="0"/>
                        <w:spacing w:after="0" w:line="252" w:lineRule="auto"/>
                        <w:textAlignment w:val="auto"/>
                        <w:rPr>
                          <w:rFonts w:cs="Times"/>
                          <w:szCs w:val="20"/>
                        </w:rPr>
                      </w:pPr>
                    </w:p>
                    <w:p w14:paraId="37D8ED7D"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E" w14:textId="77777777" w:rsidR="005F3E8B" w:rsidRDefault="005F3E8B">
                      <w:pPr>
                        <w:rPr>
                          <w:rFonts w:cs="Times"/>
                          <w:color w:val="000000"/>
                          <w:szCs w:val="20"/>
                        </w:rPr>
                      </w:pPr>
                      <w:r>
                        <w:rPr>
                          <w:rFonts w:cs="Times"/>
                          <w:color w:val="000000"/>
                          <w:szCs w:val="20"/>
                        </w:rPr>
                        <w:t>If Cat 2 LBT is introduced, the following use cases can be further studied:</w:t>
                      </w:r>
                    </w:p>
                    <w:p w14:paraId="37D8ED7F"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F3E8B" w:rsidRDefault="005F3E8B">
                      <w:pPr>
                        <w:rPr>
                          <w:rFonts w:cs="Times"/>
                          <w:szCs w:val="20"/>
                        </w:rPr>
                      </w:pPr>
                      <w:r>
                        <w:rPr>
                          <w:rFonts w:cs="Times"/>
                          <w:szCs w:val="20"/>
                        </w:rPr>
                        <w:t xml:space="preserve">Other use cases not precluded. </w:t>
                      </w:r>
                    </w:p>
                    <w:p w14:paraId="37D8ED84" w14:textId="77777777" w:rsidR="005F3E8B" w:rsidRDefault="005F3E8B">
                      <w:pPr>
                        <w:rPr>
                          <w:rFonts w:cs="Times"/>
                          <w:szCs w:val="20"/>
                        </w:rPr>
                      </w:pPr>
                      <w:r>
                        <w:rPr>
                          <w:rFonts w:cs="Times"/>
                          <w:szCs w:val="20"/>
                        </w:rPr>
                        <w:t>FFS if Cat 2 LBT is mandated for each use case or not.</w:t>
                      </w:r>
                    </w:p>
                    <w:p w14:paraId="37D8ED85"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Disagree Alt 3 and reason has been mentioned in discussion 2.5.1-2. Besides, at leas</w:t>
            </w:r>
            <w:r>
              <w:rPr>
                <w:rFonts w:eastAsia="SimSun" w:hint="eastAsia"/>
                <w:lang w:val="en-US" w:eastAsia="zh-CN"/>
              </w:rPr>
              <w:lastRenderedPageBreak/>
              <w:t xml:space="preserve">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lastRenderedPageBreak/>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bl>
    <w:p w14:paraId="37D8E840" w14:textId="77777777" w:rsidR="006C7ECB" w:rsidRPr="00E066FF"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5F3E8B" w:rsidRDefault="005F3E8B">
                            <w:pPr>
                              <w:snapToGrid w:val="0"/>
                              <w:spacing w:line="252" w:lineRule="auto"/>
                              <w:rPr>
                                <w:rFonts w:cs="Times"/>
                                <w:szCs w:val="20"/>
                              </w:rPr>
                            </w:pPr>
                          </w:p>
                          <w:p w14:paraId="37D8ED87"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88" w14:textId="77777777" w:rsidR="005F3E8B" w:rsidRDefault="005F3E8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5F3E8B" w:rsidRDefault="005F3E8B">
                      <w:pPr>
                        <w:snapToGrid w:val="0"/>
                        <w:spacing w:line="252" w:lineRule="auto"/>
                        <w:rPr>
                          <w:rFonts w:cs="Times"/>
                          <w:szCs w:val="20"/>
                        </w:rPr>
                      </w:pPr>
                    </w:p>
                    <w:p w14:paraId="37D8ED87"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88" w14:textId="77777777" w:rsidR="005F3E8B" w:rsidRDefault="005F3E8B">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Samsung,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lastRenderedPageBreak/>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bl>
    <w:p w14:paraId="37D8E9D3" w14:textId="77777777" w:rsidR="006C7ECB" w:rsidRDefault="006C7ECB">
      <w:pPr>
        <w:rPr>
          <w:lang w:eastAsia="en-US"/>
        </w:rPr>
      </w:pPr>
    </w:p>
    <w:p w14:paraId="37D8E9D4" w14:textId="77777777" w:rsidR="006C7ECB" w:rsidRDefault="00A01006">
      <w:pPr>
        <w:pStyle w:val="discussionpoint"/>
      </w:pPr>
      <w:r>
        <w:lastRenderedPageBreak/>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90" w14:textId="77777777" w:rsidR="005F3E8B" w:rsidRDefault="005F3E8B">
                            <w:pPr>
                              <w:rPr>
                                <w:rFonts w:cs="Times"/>
                                <w:szCs w:val="20"/>
                              </w:rPr>
                            </w:pPr>
                            <w:r>
                              <w:rPr>
                                <w:rFonts w:cs="Times"/>
                                <w:szCs w:val="20"/>
                              </w:rPr>
                              <w:t>Define Type A and Type B multi-channel channel access as:</w:t>
                            </w:r>
                          </w:p>
                          <w:p w14:paraId="37D8ED91"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5F3E8B" w:rsidRDefault="005F3E8B">
                            <w:pPr>
                              <w:rPr>
                                <w:rFonts w:cs="Times"/>
                                <w:szCs w:val="20"/>
                              </w:rPr>
                            </w:pPr>
                            <w:r>
                              <w:rPr>
                                <w:rFonts w:cs="Times"/>
                                <w:szCs w:val="20"/>
                              </w:rPr>
                              <w:t>Down-selection between</w:t>
                            </w:r>
                          </w:p>
                          <w:p w14:paraId="37D8ED94"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F3E8B" w:rsidRDefault="005F3E8B">
                            <w:pPr>
                              <w:rPr>
                                <w:rFonts w:cs="Times"/>
                                <w:szCs w:val="20"/>
                              </w:rPr>
                            </w:pPr>
                            <w:r>
                              <w:rPr>
                                <w:rFonts w:cs="Times"/>
                                <w:szCs w:val="20"/>
                              </w:rPr>
                              <w:t>Note: How eCCA is performed on each channel, and the BW of the channels over which eCCAs are performed are separately discussed</w:t>
                            </w:r>
                          </w:p>
                          <w:p w14:paraId="37D8ED97"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90" w14:textId="77777777" w:rsidR="005F3E8B" w:rsidRDefault="005F3E8B">
                      <w:pPr>
                        <w:rPr>
                          <w:rFonts w:cs="Times"/>
                          <w:szCs w:val="20"/>
                        </w:rPr>
                      </w:pPr>
                      <w:r>
                        <w:rPr>
                          <w:rFonts w:cs="Times"/>
                          <w:szCs w:val="20"/>
                        </w:rPr>
                        <w:t>Define Type A and Type B multi-channel channel access as:</w:t>
                      </w:r>
                    </w:p>
                    <w:p w14:paraId="37D8ED91"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F3E8B" w:rsidRDefault="005F3E8B">
                      <w:pPr>
                        <w:rPr>
                          <w:rFonts w:cs="Times"/>
                          <w:szCs w:val="20"/>
                        </w:rPr>
                      </w:pPr>
                      <w:r>
                        <w:rPr>
                          <w:rFonts w:cs="Times"/>
                          <w:szCs w:val="20"/>
                        </w:rPr>
                        <w:t>Down-selection between</w:t>
                      </w:r>
                    </w:p>
                    <w:p w14:paraId="37D8ED94"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F3E8B" w:rsidRDefault="005F3E8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lastRenderedPageBreak/>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2" w:name="_Toc55375929"/>
            <w:bookmarkStart w:id="3" w:name="_Toc55377107"/>
            <w:bookmarkStart w:id="4" w:name="_Toc56083007"/>
            <w:bookmarkStart w:id="5" w:name="_Toc535304757"/>
            <w:bookmarkStart w:id="6" w:name="_Toc535305763"/>
            <w:bookmarkStart w:id="7" w:name="_Toc535305880"/>
            <w:bookmarkStart w:id="8" w:name="_Toc40800392"/>
            <w:bookmarkStart w:id="9" w:name="_Toc40800519"/>
            <w:r w:rsidRPr="00153258">
              <w:rPr>
                <w:i/>
                <w:iCs/>
                <w:szCs w:val="20"/>
                <w:u w:val="single"/>
              </w:rPr>
              <w:t>“5.3.8.2</w:t>
            </w:r>
            <w:r w:rsidRPr="00153258">
              <w:rPr>
                <w:i/>
                <w:iCs/>
                <w:szCs w:val="20"/>
                <w:u w:val="single"/>
              </w:rPr>
              <w:tab/>
              <w:t>Test method</w:t>
            </w:r>
            <w:bookmarkEnd w:id="2"/>
            <w:bookmarkEnd w:id="3"/>
            <w:bookmarkEnd w:id="4"/>
            <w:bookmarkEnd w:id="5"/>
            <w:bookmarkEnd w:id="6"/>
            <w:bookmarkEnd w:id="7"/>
            <w:bookmarkEnd w:id="8"/>
            <w:bookmarkEnd w:id="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lastRenderedPageBreak/>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w:t>
            </w:r>
            <w:r w:rsidRPr="006E191E">
              <w:rPr>
                <w:rFonts w:eastAsia="Gulim"/>
                <w:i/>
                <w:iCs/>
                <w:color w:val="C00000"/>
                <w:kern w:val="0"/>
                <w:szCs w:val="20"/>
                <w:lang w:val="en-US" w:eastAsia="en-US"/>
              </w:rPr>
              <w:lastRenderedPageBreak/>
              <w:t xml:space="preserve">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77777777"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1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gNB should indicate to the UE this gNB-UE connection is operating in LBT </w:t>
      </w:r>
      <w:r>
        <w:lastRenderedPageBreak/>
        <w:t>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gNB activates a set of TCI states via MAC </w:t>
            </w:r>
            <w:r w:rsidRPr="002E5F80">
              <w:rPr>
                <w:lang w:eastAsia="en-US"/>
              </w:rPr>
              <w:lastRenderedPageBreak/>
              <w:t>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lastRenderedPageBreak/>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2" w:name="_Hlk67063652"/>
            <w:r w:rsidRPr="00E01C1A">
              <w:rPr>
                <w:lang w:val="en-US"/>
              </w:rPr>
              <w:t>complex</w:t>
            </w:r>
            <w:r>
              <w:rPr>
                <w:lang w:val="en-US"/>
              </w:rPr>
              <w:t>ity</w:t>
            </w:r>
            <w:bookmarkEnd w:id="1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w:t>
            </w:r>
            <w:r>
              <w:rPr>
                <w:lang w:eastAsia="en-US"/>
              </w:rPr>
              <w:lastRenderedPageBreak/>
              <w:t>ilable</w:t>
            </w:r>
          </w:p>
        </w:tc>
      </w:tr>
      <w:tr w:rsidR="006C7ECB" w14:paraId="37D8EB97" w14:textId="77777777">
        <w:tc>
          <w:tcPr>
            <w:tcW w:w="2425" w:type="dxa"/>
          </w:tcPr>
          <w:p w14:paraId="37D8EB95" w14:textId="77777777" w:rsidR="006C7ECB" w:rsidRDefault="00A01006">
            <w:pPr>
              <w:rPr>
                <w:lang w:eastAsia="en-US"/>
              </w:rPr>
            </w:pPr>
            <w:r>
              <w:rPr>
                <w:lang w:eastAsia="en-US"/>
              </w:rPr>
              <w:lastRenderedPageBreak/>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bl>
    <w:p w14:paraId="37D8EBB0" w14:textId="77777777" w:rsidR="006C7ECB" w:rsidRPr="00E066FF"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lastRenderedPageBreak/>
              <w:t>FFS: Other DL signals/channels can be transmitted with Contention Exempt Short Control Signaling rule, such as PDCCH, broadcast PDSCH, PDSCH without user plain data, CSI-RS, PRS, etc</w:t>
            </w:r>
          </w:p>
          <w:bookmarkEnd w:id="1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Msg1/MsgA</w:t>
      </w:r>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msg1/msg3/msgA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w:t>
            </w:r>
            <w:r>
              <w:rPr>
                <w:rFonts w:eastAsia="SimSun" w:hint="eastAsia"/>
                <w:lang w:val="en-US" w:eastAsia="zh-CN"/>
              </w:rPr>
              <w:lastRenderedPageBreak/>
              <w:t>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A77CFF">
        <w:tc>
          <w:tcPr>
            <w:tcW w:w="2425" w:type="dxa"/>
          </w:tcPr>
          <w:p w14:paraId="0D5F1A62" w14:textId="77777777" w:rsidR="00A432AF" w:rsidRDefault="00A432AF" w:rsidP="00A77CFF">
            <w:pPr>
              <w:rPr>
                <w:lang w:eastAsia="en-US"/>
              </w:rPr>
            </w:pPr>
            <w:r>
              <w:rPr>
                <w:lang w:eastAsia="en-US"/>
              </w:rPr>
              <w:t>Ericsson</w:t>
            </w:r>
          </w:p>
        </w:tc>
        <w:tc>
          <w:tcPr>
            <w:tcW w:w="6937" w:type="dxa"/>
          </w:tcPr>
          <w:p w14:paraId="1483CE43" w14:textId="77777777" w:rsidR="00A432AF" w:rsidRDefault="00A432AF" w:rsidP="00A77CF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A77CF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A77CF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A77CF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A77CF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A77CF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A77CF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A77CF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A77CF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A77CFF">
            <w:pPr>
              <w:pStyle w:val="Heading4"/>
              <w:jc w:val="both"/>
              <w:outlineLvl w:val="3"/>
              <w:rPr>
                <w:sz w:val="14"/>
                <w:szCs w:val="18"/>
              </w:rPr>
            </w:pPr>
            <w:bookmarkStart w:id="14" w:name="_Toc67049887"/>
            <w:r w:rsidRPr="00A6254D">
              <w:rPr>
                <w:sz w:val="14"/>
                <w:szCs w:val="18"/>
              </w:rPr>
              <w:t>4.2.6.1</w:t>
            </w:r>
            <w:r w:rsidRPr="00A6254D">
              <w:rPr>
                <w:sz w:val="14"/>
                <w:szCs w:val="18"/>
              </w:rPr>
              <w:tab/>
              <w:t>Definition</w:t>
            </w:r>
            <w:bookmarkEnd w:id="14"/>
          </w:p>
          <w:p w14:paraId="05DD36CF" w14:textId="77777777" w:rsidR="00A432AF" w:rsidRPr="00A6254D" w:rsidRDefault="00A432AF" w:rsidP="00A77CF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A77CFF">
            <w:pPr>
              <w:pStyle w:val="Heading4"/>
              <w:jc w:val="both"/>
              <w:outlineLvl w:val="3"/>
              <w:rPr>
                <w:sz w:val="14"/>
                <w:szCs w:val="18"/>
              </w:rPr>
            </w:pPr>
            <w:bookmarkStart w:id="15" w:name="_Toc67049888"/>
            <w:r w:rsidRPr="00A6254D">
              <w:rPr>
                <w:sz w:val="14"/>
                <w:szCs w:val="18"/>
              </w:rPr>
              <w:t>4.2.6.2</w:t>
            </w:r>
            <w:r w:rsidRPr="00A6254D">
              <w:rPr>
                <w:sz w:val="14"/>
                <w:szCs w:val="18"/>
              </w:rPr>
              <w:tab/>
              <w:t>Limits</w:t>
            </w:r>
            <w:bookmarkEnd w:id="15"/>
          </w:p>
          <w:p w14:paraId="2C64A257" w14:textId="77777777" w:rsidR="00A432AF" w:rsidRPr="00A6254D" w:rsidRDefault="00A432AF" w:rsidP="00A77CF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A77CFF">
            <w:pPr>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w:t>
            </w:r>
            <w:r>
              <w:rPr>
                <w:rFonts w:ascii="Arial" w:eastAsia="Times New Roman" w:hAnsi="Arial" w:cs="Arial"/>
                <w:snapToGrid/>
                <w:color w:val="000000"/>
                <w:kern w:val="0"/>
                <w:sz w:val="16"/>
                <w:szCs w:val="16"/>
                <w:lang w:val="en-US" w:eastAsia="en-US"/>
              </w:rPr>
              <w:lastRenderedPageBreak/>
              <w:t>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A77CFF">
        <w:tc>
          <w:tcPr>
            <w:tcW w:w="2425" w:type="dxa"/>
          </w:tcPr>
          <w:p w14:paraId="297E50AB" w14:textId="77777777" w:rsidR="00A432AF" w:rsidRDefault="00A432AF" w:rsidP="00A77CFF">
            <w:pPr>
              <w:rPr>
                <w:lang w:eastAsia="en-US"/>
              </w:rPr>
            </w:pPr>
            <w:r>
              <w:rPr>
                <w:lang w:eastAsia="en-US"/>
              </w:rPr>
              <w:t>Ericsson</w:t>
            </w:r>
          </w:p>
        </w:tc>
        <w:tc>
          <w:tcPr>
            <w:tcW w:w="6937" w:type="dxa"/>
          </w:tcPr>
          <w:p w14:paraId="6DE980BE" w14:textId="77777777" w:rsidR="00A432AF" w:rsidRDefault="00A432AF" w:rsidP="00A77CFF">
            <w:pPr>
              <w:rPr>
                <w:lang w:eastAsia="en-US"/>
              </w:rPr>
            </w:pPr>
            <w:r>
              <w:rPr>
                <w:lang w:eastAsia="en-US"/>
              </w:rPr>
              <w:t xml:space="preserve">We do not support introduction of CWS adjustment. </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A77CFF">
        <w:tc>
          <w:tcPr>
            <w:tcW w:w="2425" w:type="dxa"/>
          </w:tcPr>
          <w:p w14:paraId="3BB1DCE0" w14:textId="77777777" w:rsidR="00A432AF" w:rsidRDefault="00A432AF" w:rsidP="00A77CFF">
            <w:pPr>
              <w:rPr>
                <w:lang w:eastAsia="en-US"/>
              </w:rPr>
            </w:pPr>
            <w:r>
              <w:rPr>
                <w:lang w:eastAsia="en-US"/>
              </w:rPr>
              <w:t>Ericsson</w:t>
            </w:r>
          </w:p>
        </w:tc>
        <w:tc>
          <w:tcPr>
            <w:tcW w:w="6937" w:type="dxa"/>
          </w:tcPr>
          <w:p w14:paraId="31733E90" w14:textId="77777777" w:rsidR="00A432AF" w:rsidRDefault="00A432AF" w:rsidP="00A77CFF">
            <w:pPr>
              <w:rPr>
                <w:lang w:eastAsia="en-US"/>
              </w:rPr>
            </w:pPr>
            <w:r>
              <w:rPr>
                <w:lang w:eastAsia="en-US"/>
              </w:rPr>
              <w:t xml:space="preserve">We do not see the need to introduce CAPC. </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R1-2104836, Discussion on the channel access for 52.6 to 71GHz, ZTE, Sanechips</w:t>
      </w:r>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79849" w14:textId="77777777" w:rsidR="005F3E8B" w:rsidRDefault="005F3E8B">
      <w:pPr>
        <w:spacing w:after="0" w:line="240" w:lineRule="auto"/>
      </w:pPr>
      <w:r>
        <w:separator/>
      </w:r>
    </w:p>
  </w:endnote>
  <w:endnote w:type="continuationSeparator" w:id="0">
    <w:p w14:paraId="2C8B80DA" w14:textId="77777777" w:rsidR="005F3E8B" w:rsidRDefault="005F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5F3E8B" w:rsidRDefault="005F3E8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5F3E8B" w:rsidRDefault="005F3E8B">
    <w:pPr>
      <w:pStyle w:val="Footer"/>
    </w:pPr>
  </w:p>
  <w:p w14:paraId="37D8ED4C" w14:textId="77777777" w:rsidR="005F3E8B" w:rsidRDefault="005F3E8B"/>
  <w:p w14:paraId="37D8ED4D" w14:textId="77777777" w:rsidR="005F3E8B" w:rsidRDefault="005F3E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4999A836" w:rsidR="005F3E8B" w:rsidRDefault="005F3E8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37D8ED4F" w14:textId="77777777" w:rsidR="005F3E8B" w:rsidRDefault="005F3E8B">
    <w:pPr>
      <w:pStyle w:val="Footer"/>
    </w:pPr>
  </w:p>
  <w:p w14:paraId="37D8ED50" w14:textId="77777777" w:rsidR="005F3E8B" w:rsidRDefault="005F3E8B"/>
  <w:p w14:paraId="37D8ED51" w14:textId="77777777" w:rsidR="005F3E8B" w:rsidRDefault="005F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FEA7A" w14:textId="77777777" w:rsidR="005F3E8B" w:rsidRDefault="005F3E8B">
      <w:pPr>
        <w:spacing w:after="0" w:line="240" w:lineRule="auto"/>
      </w:pPr>
      <w:r>
        <w:separator/>
      </w:r>
    </w:p>
  </w:footnote>
  <w:footnote w:type="continuationSeparator" w:id="0">
    <w:p w14:paraId="5A722059" w14:textId="77777777" w:rsidR="005F3E8B" w:rsidRDefault="005F3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0"/>
  </w:num>
  <w:num w:numId="3">
    <w:abstractNumId w:val="27"/>
  </w:num>
  <w:num w:numId="4">
    <w:abstractNumId w:val="7"/>
  </w:num>
  <w:num w:numId="5">
    <w:abstractNumId w:val="25"/>
  </w:num>
  <w:num w:numId="6">
    <w:abstractNumId w:val="6"/>
  </w:num>
  <w:num w:numId="7">
    <w:abstractNumId w:val="12"/>
  </w:num>
  <w:num w:numId="8">
    <w:abstractNumId w:val="8"/>
  </w:num>
  <w:num w:numId="9">
    <w:abstractNumId w:val="13"/>
  </w:num>
  <w:num w:numId="10">
    <w:abstractNumId w:val="14"/>
  </w:num>
  <w:num w:numId="11">
    <w:abstractNumId w:val="9"/>
  </w:num>
  <w:num w:numId="12">
    <w:abstractNumId w:val="17"/>
  </w:num>
  <w:num w:numId="13">
    <w:abstractNumId w:val="26"/>
  </w:num>
  <w:num w:numId="14">
    <w:abstractNumId w:val="19"/>
  </w:num>
  <w:num w:numId="15">
    <w:abstractNumId w:val="4"/>
  </w:num>
  <w:num w:numId="16">
    <w:abstractNumId w:val="23"/>
  </w:num>
  <w:num w:numId="17">
    <w:abstractNumId w:val="15"/>
  </w:num>
  <w:num w:numId="18">
    <w:abstractNumId w:val="2"/>
  </w:num>
  <w:num w:numId="19">
    <w:abstractNumId w:val="16"/>
  </w:num>
  <w:num w:numId="20">
    <w:abstractNumId w:val="22"/>
  </w:num>
  <w:num w:numId="21">
    <w:abstractNumId w:val="21"/>
  </w:num>
  <w:num w:numId="22">
    <w:abstractNumId w:val="5"/>
  </w:num>
  <w:num w:numId="23">
    <w:abstractNumId w:val="1"/>
  </w:num>
  <w:num w:numId="24">
    <w:abstractNumId w:val="20"/>
  </w:num>
  <w:num w:numId="25">
    <w:abstractNumId w:val="24"/>
  </w:num>
  <w:num w:numId="26">
    <w:abstractNumId w:val="18"/>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FA214B31-1886-485B-8253-B536967531C2}">
  <ds:schemaRefs>
    <ds:schemaRef ds:uri="http://schemas.openxmlformats.org/officeDocument/2006/bibliography"/>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41FB1F-DC54-4FED-ADD5-B383AB18E0AD}">
  <ds:schemaRefs>
    <ds:schemaRef ds:uri="http://schemas.openxmlformats.org/officeDocument/2006/bibliography"/>
  </ds:schemaRefs>
</ds:datastoreItem>
</file>

<file path=customXml/itemProps7.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58</Pages>
  <Words>29059</Words>
  <Characters>150081</Characters>
  <Application>Microsoft Office Word</Application>
  <DocSecurity>0</DocSecurity>
  <Lines>1250</Lines>
  <Paragraphs>357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9</cp:revision>
  <cp:lastPrinted>2019-01-10T09:30:00Z</cp:lastPrinted>
  <dcterms:created xsi:type="dcterms:W3CDTF">2021-05-20T22:45:00Z</dcterms:created>
  <dcterms:modified xsi:type="dcterms:W3CDTF">2021-05-20T23:20:00Z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