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AFE5" w14:textId="2214A438" w:rsidR="007E727E" w:rsidRPr="00BB3919" w:rsidRDefault="007E727E" w:rsidP="007E727E">
      <w:pPr>
        <w:pStyle w:val="af3"/>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50ECF65B" w14:textId="28A7A71B" w:rsidR="009C4439" w:rsidRDefault="009C4439" w:rsidP="009C4439">
      <w:pPr>
        <w:pStyle w:val="1"/>
        <w:numPr>
          <w:ilvl w:val="0"/>
          <w:numId w:val="13"/>
        </w:numPr>
        <w:pBdr>
          <w:top w:val="single" w:sz="12" w:space="2" w:color="auto"/>
        </w:pBdr>
        <w:rPr>
          <w:lang w:eastAsia="zh-TW"/>
        </w:rPr>
      </w:pPr>
      <w:r>
        <w:rPr>
          <w:rFonts w:eastAsia="宋体"/>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aa"/>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aff"/>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2441A" w14:paraId="111C6547" w14:textId="77777777" w:rsidTr="00114ED1">
        <w:tc>
          <w:tcPr>
            <w:tcW w:w="1696" w:type="dxa"/>
          </w:tcPr>
          <w:p w14:paraId="68DC968B" w14:textId="7F68AA6E" w:rsidR="00F2441A" w:rsidRDefault="00BC6637" w:rsidP="00114ED1">
            <w:pPr>
              <w:rPr>
                <w:rFonts w:eastAsia="宋体"/>
                <w:lang w:eastAsia="zh-CN"/>
              </w:rPr>
            </w:pPr>
            <w:r>
              <w:rPr>
                <w:rFonts w:eastAsia="宋体"/>
                <w:lang w:eastAsia="zh-CN"/>
              </w:rPr>
              <w:t>OPPO</w:t>
            </w:r>
          </w:p>
        </w:tc>
        <w:tc>
          <w:tcPr>
            <w:tcW w:w="8761" w:type="dxa"/>
          </w:tcPr>
          <w:p w14:paraId="1EF8D629" w14:textId="77777777" w:rsidR="00BC6637" w:rsidRDefault="00BC6637" w:rsidP="00BC6637">
            <w:pPr>
              <w:rPr>
                <w:rFonts w:eastAsia="宋体"/>
                <w:lang w:eastAsia="zh-CN"/>
              </w:rPr>
            </w:pPr>
            <w:r>
              <w:rPr>
                <w:rFonts w:eastAsia="宋体"/>
                <w:lang w:eastAsia="zh-CN"/>
              </w:rPr>
              <w:t xml:space="preserve">We are fine with the proposal.  </w:t>
            </w:r>
          </w:p>
          <w:p w14:paraId="71883313" w14:textId="1CCAF9CD" w:rsidR="00BC6637" w:rsidRDefault="00BC6637" w:rsidP="00BC6637">
            <w:pPr>
              <w:rPr>
                <w:rFonts w:eastAsia="宋体"/>
                <w:lang w:eastAsia="zh-CN"/>
              </w:rPr>
            </w:pPr>
            <w:r>
              <w:rPr>
                <w:rFonts w:eastAsia="宋体"/>
                <w:lang w:eastAsia="zh-CN"/>
              </w:rPr>
              <w:t>FYI: I added our tdoc in the reference as [5], which is missed in the summary.</w:t>
            </w:r>
          </w:p>
        </w:tc>
      </w:tr>
      <w:tr w:rsidR="00F2441A" w14:paraId="34A2D21F" w14:textId="77777777" w:rsidTr="00114ED1">
        <w:tc>
          <w:tcPr>
            <w:tcW w:w="1696" w:type="dxa"/>
          </w:tcPr>
          <w:p w14:paraId="09661490" w14:textId="1A01AD40" w:rsidR="00F2441A" w:rsidRDefault="00FB23EC" w:rsidP="00114ED1">
            <w:pPr>
              <w:rPr>
                <w:rFonts w:eastAsia="宋体"/>
                <w:lang w:eastAsia="zh-CN"/>
              </w:rPr>
            </w:pPr>
            <w:r>
              <w:rPr>
                <w:rFonts w:eastAsia="宋体"/>
                <w:lang w:eastAsia="zh-CN"/>
              </w:rPr>
              <w:t>MTK</w:t>
            </w:r>
          </w:p>
        </w:tc>
        <w:tc>
          <w:tcPr>
            <w:tcW w:w="8761" w:type="dxa"/>
          </w:tcPr>
          <w:p w14:paraId="2C2F7B88" w14:textId="4D601CE8" w:rsidR="00F2441A" w:rsidRDefault="00FB23EC" w:rsidP="00114ED1">
            <w:pPr>
              <w:rPr>
                <w:rFonts w:eastAsia="宋体"/>
                <w:lang w:eastAsia="zh-CN"/>
              </w:rPr>
            </w:pPr>
            <w:r>
              <w:rPr>
                <w:rFonts w:eastAsia="宋体"/>
                <w:lang w:eastAsia="zh-CN"/>
              </w:rPr>
              <w:t>We support the FL proposal.</w:t>
            </w:r>
          </w:p>
        </w:tc>
      </w:tr>
      <w:tr w:rsidR="00967678" w14:paraId="222C10D5" w14:textId="77777777" w:rsidTr="00114ED1">
        <w:tc>
          <w:tcPr>
            <w:tcW w:w="1696" w:type="dxa"/>
          </w:tcPr>
          <w:p w14:paraId="41100C3F" w14:textId="5D299518" w:rsidR="00967678" w:rsidRDefault="00967678" w:rsidP="00114ED1">
            <w:pPr>
              <w:rPr>
                <w:rFonts w:eastAsia="宋体"/>
                <w:lang w:eastAsia="zh-CN"/>
              </w:rPr>
            </w:pPr>
            <w:r>
              <w:rPr>
                <w:rFonts w:eastAsia="宋体" w:hint="eastAsia"/>
                <w:lang w:eastAsia="zh-CN"/>
              </w:rPr>
              <w:t>H</w:t>
            </w:r>
            <w:r>
              <w:rPr>
                <w:rFonts w:eastAsia="宋体"/>
                <w:lang w:eastAsia="zh-CN"/>
              </w:rPr>
              <w:t>uawei, HiSilicon</w:t>
            </w:r>
          </w:p>
        </w:tc>
        <w:tc>
          <w:tcPr>
            <w:tcW w:w="8761" w:type="dxa"/>
          </w:tcPr>
          <w:p w14:paraId="1FB29C8A" w14:textId="0EB024AE" w:rsidR="00830FE2" w:rsidRDefault="00967678" w:rsidP="008C1DC4">
            <w:pPr>
              <w:rPr>
                <w:rFonts w:eastAsia="宋体"/>
                <w:lang w:eastAsia="zh-CN"/>
              </w:rPr>
            </w:pPr>
            <w:r>
              <w:rPr>
                <w:rFonts w:eastAsia="宋体"/>
                <w:lang w:eastAsia="zh-CN"/>
              </w:rPr>
              <w:t>We support the FL’s proposal.</w:t>
            </w:r>
          </w:p>
        </w:tc>
      </w:tr>
      <w:tr w:rsidR="00AA0A1C" w14:paraId="7F028D00" w14:textId="77777777" w:rsidTr="00114ED1">
        <w:tc>
          <w:tcPr>
            <w:tcW w:w="1696" w:type="dxa"/>
          </w:tcPr>
          <w:p w14:paraId="540B2EF9" w14:textId="4AB6D4E0" w:rsidR="00AA0A1C" w:rsidRDefault="00AA0A1C" w:rsidP="00114ED1">
            <w:pPr>
              <w:rPr>
                <w:rFonts w:eastAsia="宋体"/>
                <w:lang w:eastAsia="zh-CN"/>
              </w:rPr>
            </w:pPr>
            <w:r>
              <w:rPr>
                <w:rFonts w:eastAsia="宋体"/>
                <w:lang w:eastAsia="zh-CN"/>
              </w:rPr>
              <w:t>Ericsson</w:t>
            </w:r>
          </w:p>
        </w:tc>
        <w:tc>
          <w:tcPr>
            <w:tcW w:w="8761" w:type="dxa"/>
          </w:tcPr>
          <w:p w14:paraId="4C15E517" w14:textId="3623CA68" w:rsidR="00AA0A1C" w:rsidRDefault="00AA0A1C" w:rsidP="008C1DC4">
            <w:pPr>
              <w:rPr>
                <w:rFonts w:eastAsia="宋体"/>
                <w:lang w:eastAsia="zh-CN"/>
              </w:rPr>
            </w:pPr>
            <w:r>
              <w:rPr>
                <w:rFonts w:eastAsia="宋体"/>
                <w:lang w:eastAsia="zh-CN"/>
              </w:rPr>
              <w:t>We prefer to await results from more companies before sending another LS response.</w:t>
            </w:r>
          </w:p>
        </w:tc>
      </w:tr>
      <w:tr w:rsidR="005B1A83" w14:paraId="07347759" w14:textId="77777777" w:rsidTr="00114ED1">
        <w:tc>
          <w:tcPr>
            <w:tcW w:w="1696" w:type="dxa"/>
          </w:tcPr>
          <w:p w14:paraId="6DAC2E48" w14:textId="258483CC" w:rsidR="005B1A83" w:rsidRDefault="005B1A83" w:rsidP="00114ED1">
            <w:pPr>
              <w:rPr>
                <w:rFonts w:eastAsia="宋体"/>
                <w:lang w:eastAsia="zh-CN"/>
              </w:rPr>
            </w:pPr>
            <w:r>
              <w:rPr>
                <w:rFonts w:eastAsia="宋体" w:hint="eastAsia"/>
                <w:lang w:eastAsia="zh-CN"/>
              </w:rPr>
              <w:t>v</w:t>
            </w:r>
            <w:r>
              <w:rPr>
                <w:rFonts w:eastAsia="宋体"/>
                <w:lang w:eastAsia="zh-CN"/>
              </w:rPr>
              <w:t>ivo</w:t>
            </w:r>
          </w:p>
        </w:tc>
        <w:tc>
          <w:tcPr>
            <w:tcW w:w="8761" w:type="dxa"/>
          </w:tcPr>
          <w:p w14:paraId="01788289" w14:textId="49EF2D7F" w:rsidR="005B1A83" w:rsidRDefault="005B1A83" w:rsidP="008C1DC4">
            <w:pPr>
              <w:rPr>
                <w:rFonts w:eastAsia="宋体"/>
                <w:lang w:eastAsia="zh-CN"/>
              </w:rPr>
            </w:pPr>
            <w:r>
              <w:rPr>
                <w:rFonts w:eastAsia="宋体" w:hint="eastAsia"/>
                <w:lang w:eastAsia="zh-CN"/>
              </w:rPr>
              <w:t>W</w:t>
            </w:r>
            <w:r>
              <w:rPr>
                <w:rFonts w:eastAsia="宋体"/>
                <w:lang w:eastAsia="zh-CN"/>
              </w:rPr>
              <w:t>e are fine with FL’s proposal.</w:t>
            </w:r>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1"/>
        <w:numPr>
          <w:ilvl w:val="0"/>
          <w:numId w:val="13"/>
        </w:numPr>
        <w:pBdr>
          <w:top w:val="single" w:sz="12" w:space="2" w:color="auto"/>
        </w:pBdr>
        <w:rPr>
          <w:lang w:eastAsia="zh-TW"/>
        </w:rPr>
      </w:pPr>
      <w:r>
        <w:rPr>
          <w:rFonts w:eastAsia="宋体"/>
          <w:lang w:eastAsia="zh-CN"/>
        </w:rPr>
        <w:lastRenderedPageBreak/>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affb"/>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1"/>
        <w:numPr>
          <w:ilvl w:val="0"/>
          <w:numId w:val="13"/>
        </w:numPr>
        <w:pBdr>
          <w:top w:val="single" w:sz="12" w:space="2" w:color="auto"/>
        </w:pBdr>
        <w:rPr>
          <w:rFonts w:eastAsia="宋体"/>
          <w:lang w:eastAsia="zh-CN"/>
        </w:rPr>
      </w:pPr>
      <w:r w:rsidRPr="005301D9">
        <w:rPr>
          <w:rFonts w:eastAsia="宋体"/>
          <w:lang w:eastAsia="zh-CN"/>
        </w:rPr>
        <w:t>References</w:t>
      </w:r>
    </w:p>
    <w:bookmarkStart w:id="4" w:name="_Ref54027126"/>
    <w:p w14:paraId="3659465C" w14:textId="77777777" w:rsidR="009C4439" w:rsidRDefault="009C4439" w:rsidP="009C4439">
      <w:pPr>
        <w:pStyle w:val="affb"/>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aff4"/>
        </w:rPr>
        <w:t>R1-2100015</w:t>
      </w:r>
      <w:r>
        <w:fldChar w:fldCharType="end"/>
      </w:r>
      <w:r>
        <w:tab/>
      </w:r>
      <w:r w:rsidRPr="008A1BC3">
        <w:t>LS on New Standardized 5QIs for 5G-AIS (Advanced Interactive Services)</w:t>
      </w:r>
      <w:r w:rsidRPr="00230CB9">
        <w:tab/>
      </w:r>
      <w:bookmarkEnd w:id="4"/>
      <w:r>
        <w:t>SA2, Tencent</w:t>
      </w:r>
    </w:p>
    <w:p w14:paraId="19ED1037" w14:textId="77777777" w:rsidR="009C4439" w:rsidRDefault="00FE6727" w:rsidP="009C4439">
      <w:pPr>
        <w:pStyle w:val="affb"/>
        <w:numPr>
          <w:ilvl w:val="0"/>
          <w:numId w:val="76"/>
        </w:numPr>
        <w:tabs>
          <w:tab w:val="left" w:pos="1701"/>
        </w:tabs>
        <w:spacing w:after="0" w:line="240" w:lineRule="auto"/>
      </w:pPr>
      <w:hyperlink r:id="rId14" w:history="1">
        <w:r w:rsidR="009C4439">
          <w:rPr>
            <w:rStyle w:val="aff4"/>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693CAD3" w14:textId="26749B4A" w:rsidR="009C4439" w:rsidRDefault="00FE6727" w:rsidP="009C4439">
      <w:pPr>
        <w:pStyle w:val="affb"/>
        <w:numPr>
          <w:ilvl w:val="0"/>
          <w:numId w:val="76"/>
        </w:numPr>
        <w:tabs>
          <w:tab w:val="left" w:pos="1701"/>
        </w:tabs>
        <w:spacing w:after="0" w:line="240" w:lineRule="auto"/>
      </w:pPr>
      <w:hyperlink r:id="rId15" w:history="1">
        <w:r w:rsidR="009C4439">
          <w:rPr>
            <w:rStyle w:val="aff4"/>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62761CCE" w14:textId="08C5B2F2" w:rsidR="009C4439" w:rsidRDefault="00FE6727" w:rsidP="009C4439">
      <w:pPr>
        <w:pStyle w:val="affb"/>
        <w:numPr>
          <w:ilvl w:val="0"/>
          <w:numId w:val="76"/>
        </w:numPr>
        <w:tabs>
          <w:tab w:val="left" w:pos="1701"/>
        </w:tabs>
        <w:spacing w:after="0" w:line="240" w:lineRule="auto"/>
      </w:pPr>
      <w:hyperlink r:id="rId16" w:history="1">
        <w:r w:rsidR="009C4439">
          <w:rPr>
            <w:rStyle w:val="aff4"/>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236EAECE" w14:textId="26F76E58" w:rsidR="00BC6637" w:rsidRPr="00230CB9" w:rsidRDefault="00BC6637" w:rsidP="00BC6637">
      <w:pPr>
        <w:pStyle w:val="affb"/>
        <w:numPr>
          <w:ilvl w:val="0"/>
          <w:numId w:val="76"/>
        </w:numPr>
        <w:rPr>
          <w:lang w:eastAsia="x-none"/>
        </w:rPr>
      </w:pPr>
      <w:r w:rsidRPr="00BC6637">
        <w:rPr>
          <w:lang w:eastAsia="x-none"/>
        </w:rPr>
        <w:t>R1-2104749</w:t>
      </w:r>
      <w:r>
        <w:rPr>
          <w:lang w:eastAsia="x-none"/>
        </w:rPr>
        <w:t xml:space="preserve">     </w:t>
      </w:r>
      <w:r>
        <w:rPr>
          <w:lang w:eastAsia="x-none"/>
        </w:rPr>
        <w:tab/>
        <w:t>Draft reply LS on New Standardized 5QIs for 5G-AIS (Advanced Interactive Services)</w:t>
      </w:r>
      <w:r>
        <w:rPr>
          <w:lang w:eastAsia="x-none"/>
        </w:rPr>
        <w:tab/>
        <w:t xml:space="preserve">  OPPO</w:t>
      </w:r>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0FC2" w14:textId="77777777" w:rsidR="00FE6727" w:rsidRDefault="00FE6727">
      <w:pPr>
        <w:spacing w:after="0" w:line="240" w:lineRule="auto"/>
      </w:pPr>
      <w:r>
        <w:separator/>
      </w:r>
    </w:p>
  </w:endnote>
  <w:endnote w:type="continuationSeparator" w:id="0">
    <w:p w14:paraId="6F89F67D" w14:textId="77777777" w:rsidR="00FE6727" w:rsidRDefault="00FE6727">
      <w:pPr>
        <w:spacing w:after="0" w:line="240" w:lineRule="auto"/>
      </w:pPr>
      <w:r>
        <w:continuationSeparator/>
      </w:r>
    </w:p>
  </w:endnote>
  <w:endnote w:type="continuationNotice" w:id="1">
    <w:p w14:paraId="1EF3C0AF" w14:textId="77777777" w:rsidR="00FE6727" w:rsidRDefault="00FE6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FF7" w14:textId="77777777" w:rsidR="00970E18" w:rsidRDefault="00970E18">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8C1DC4" w:rsidRPr="008C1DC4">
      <w:rPr>
        <w:noProof/>
        <w:lang w:val="zh-CN" w:eastAsia="zh-CN"/>
      </w:rPr>
      <w:t>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7F72" w14:textId="77777777" w:rsidR="00FE6727" w:rsidRDefault="00FE6727">
      <w:pPr>
        <w:spacing w:after="0" w:line="240" w:lineRule="auto"/>
      </w:pPr>
      <w:r>
        <w:separator/>
      </w:r>
    </w:p>
  </w:footnote>
  <w:footnote w:type="continuationSeparator" w:id="0">
    <w:p w14:paraId="7E607E12" w14:textId="77777777" w:rsidR="00FE6727" w:rsidRDefault="00FE6727">
      <w:pPr>
        <w:spacing w:after="0" w:line="240" w:lineRule="auto"/>
      </w:pPr>
      <w:r>
        <w:continuationSeparator/>
      </w:r>
    </w:p>
  </w:footnote>
  <w:footnote w:type="continuationNotice" w:id="1">
    <w:p w14:paraId="3D53FFDF" w14:textId="77777777" w:rsidR="00FE6727" w:rsidRDefault="00FE67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8E3"/>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8E"/>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DCC"/>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09"/>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88F"/>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A83"/>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FE2"/>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DC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7DB"/>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678"/>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1C"/>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959"/>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727"/>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B3432EB-C186-4F2A-845A-64DD0F4DF0B2}">
  <ds:schemaRefs>
    <ds:schemaRef ds:uri="http://schemas.openxmlformats.org/officeDocument/2006/bibliography"/>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745</Words>
  <Characters>4251</Characters>
  <Application>Microsoft Office Word</Application>
  <DocSecurity>0</DocSecurity>
  <Lines>35</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Xiaodong Sun(vivo)</cp:lastModifiedBy>
  <cp:revision>4</cp:revision>
  <dcterms:created xsi:type="dcterms:W3CDTF">2021-05-21T09:01:00Z</dcterms:created>
  <dcterms:modified xsi:type="dcterms:W3CDTF">2021-05-21T09:20:00Z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