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and extension to more than 2 carriers should be default (otherwise, it will be a Rel-17 deja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64723C">
        <w:tc>
          <w:tcPr>
            <w:tcW w:w="1555" w:type="dxa"/>
          </w:tcPr>
          <w:p w14:paraId="6165743B" w14:textId="34295308" w:rsidR="0064723C" w:rsidRDefault="0064723C" w:rsidP="00B8589C">
            <w:pPr>
              <w:rPr>
                <w:lang w:eastAsia="en-US"/>
              </w:rPr>
            </w:pPr>
            <w:r>
              <w:rPr>
                <w:rFonts w:eastAsiaTheme="minorEastAsia"/>
                <w:szCs w:val="20"/>
                <w:lang w:eastAsia="zh-CN"/>
              </w:rPr>
              <w:t>LG</w:t>
            </w:r>
          </w:p>
        </w:tc>
        <w:tc>
          <w:tcPr>
            <w:tcW w:w="7796"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64723C">
        <w:tc>
          <w:tcPr>
            <w:tcW w:w="1555" w:type="dxa"/>
          </w:tcPr>
          <w:p w14:paraId="2DA0B682" w14:textId="3F1F7FF1" w:rsidR="00023CFB" w:rsidRDefault="00023CFB" w:rsidP="00B8589C">
            <w:pPr>
              <w:rPr>
                <w:rFonts w:eastAsiaTheme="minorEastAsia"/>
                <w:szCs w:val="20"/>
                <w:lang w:eastAsia="zh-CN"/>
              </w:rPr>
            </w:pPr>
            <w:r>
              <w:rPr>
                <w:rFonts w:eastAsiaTheme="minorEastAsia"/>
                <w:szCs w:val="20"/>
                <w:lang w:eastAsia="zh-CN"/>
              </w:rPr>
              <w:t>InterDigital</w:t>
            </w:r>
          </w:p>
        </w:tc>
        <w:tc>
          <w:tcPr>
            <w:tcW w:w="7796"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64723C">
        <w:tc>
          <w:tcPr>
            <w:tcW w:w="1555" w:type="dxa"/>
          </w:tcPr>
          <w:p w14:paraId="473B81D6" w14:textId="18109B05" w:rsidR="00D6313E" w:rsidRPr="00D6313E" w:rsidRDefault="00D6313E" w:rsidP="00B8589C">
            <w:pPr>
              <w:rPr>
                <w:rFonts w:eastAsiaTheme="minorEastAsia"/>
                <w:szCs w:val="20"/>
                <w:lang w:eastAsia="zh-CN"/>
              </w:rPr>
            </w:pPr>
            <w:r>
              <w:rPr>
                <w:rFonts w:eastAsiaTheme="minorEastAsia"/>
                <w:szCs w:val="20"/>
                <w:lang w:eastAsia="zh-CN"/>
              </w:rPr>
              <w:t>Qualcomm</w:t>
            </w:r>
          </w:p>
        </w:tc>
        <w:tc>
          <w:tcPr>
            <w:tcW w:w="7796"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64723C">
        <w:tc>
          <w:tcPr>
            <w:tcW w:w="1555" w:type="dxa"/>
          </w:tcPr>
          <w:p w14:paraId="2C11A7D9" w14:textId="452F6978" w:rsidR="008D2CA8" w:rsidRPr="008D2CA8" w:rsidRDefault="008D2CA8" w:rsidP="00B8589C">
            <w:pPr>
              <w:rPr>
                <w:rFonts w:eastAsiaTheme="minorEastAsia"/>
                <w:szCs w:val="20"/>
                <w:lang w:eastAsia="zh-CN"/>
              </w:rPr>
            </w:pPr>
            <w:r>
              <w:rPr>
                <w:rFonts w:eastAsiaTheme="minorEastAsia"/>
                <w:szCs w:val="20"/>
                <w:lang w:eastAsia="zh-CN"/>
              </w:rPr>
              <w:t>OPPO</w:t>
            </w:r>
          </w:p>
        </w:tc>
        <w:tc>
          <w:tcPr>
            <w:tcW w:w="7796"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64723C">
        <w:tc>
          <w:tcPr>
            <w:tcW w:w="1555" w:type="dxa"/>
          </w:tcPr>
          <w:p w14:paraId="7456A1D2" w14:textId="014C6863" w:rsidR="008946C9" w:rsidRDefault="008946C9" w:rsidP="00B8589C">
            <w:pPr>
              <w:rPr>
                <w:rFonts w:eastAsiaTheme="minorEastAsia"/>
                <w:szCs w:val="20"/>
                <w:lang w:eastAsia="zh-CN"/>
              </w:rPr>
            </w:pPr>
            <w:r>
              <w:rPr>
                <w:rFonts w:eastAsiaTheme="minorEastAsia"/>
                <w:szCs w:val="20"/>
                <w:lang w:eastAsia="zh-CN"/>
              </w:rPr>
              <w:t>Lenovo, Motorola Mobility</w:t>
            </w:r>
          </w:p>
        </w:tc>
        <w:tc>
          <w:tcPr>
            <w:tcW w:w="7796" w:type="dxa"/>
          </w:tcPr>
          <w:p w14:paraId="3A8AEB3A" w14:textId="113A0238" w:rsidR="008946C9" w:rsidRDefault="008946C9" w:rsidP="0064723C">
            <w:pPr>
              <w:rPr>
                <w:rFonts w:eastAsiaTheme="minorEastAsia" w:hint="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lastRenderedPageBreak/>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r>
              <w:rPr>
                <w:rFonts w:eastAsiaTheme="minorEastAsia"/>
                <w:szCs w:val="20"/>
                <w:lang w:eastAsia="zh-CN"/>
              </w:rPr>
              <w:t>InterDigital</w:t>
            </w:r>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hint="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hint="eastAsia"/>
                <w:szCs w:val="20"/>
                <w:lang w:eastAsia="zh-CN"/>
              </w:rPr>
            </w:pPr>
            <w:r>
              <w:rPr>
                <w:rFonts w:eastAsiaTheme="minorEastAsia"/>
                <w:szCs w:val="20"/>
                <w:lang w:eastAsia="zh-CN"/>
              </w:rPr>
              <w:t>Same view with Samsung</w:t>
            </w:r>
          </w:p>
        </w:tc>
      </w:tr>
    </w:tbl>
    <w:p w14:paraId="226A42F8" w14:textId="3315259A" w:rsidR="00CD30CB" w:rsidRPr="0064723C"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w:t>
      </w:r>
      <w:r>
        <w:lastRenderedPageBreak/>
        <w:t xml:space="preserve">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 xml:space="preserve">roposal 4: How to maintain the DCI budget due to the introduction of DSS-DCI needs </w:t>
            </w:r>
            <w:r w:rsidRPr="003D36E2">
              <w:rPr>
                <w:rFonts w:hint="eastAsia"/>
                <w:b/>
                <w:szCs w:val="20"/>
              </w:rPr>
              <w:lastRenderedPageBreak/>
              <w:t>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lastRenderedPageBreak/>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lastRenderedPageBreak/>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C9464E"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C9464E"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C9464E"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C9464E"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C9464E"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C9464E"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C9464E"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C9464E"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C9464E"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C9464E"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C9464E"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C9464E"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C9464E"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C9464E"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C9464E"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C9464E"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lastRenderedPageBreak/>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w:t>
      </w:r>
      <w:r>
        <w:rPr>
          <w:rFonts w:hint="eastAsia"/>
          <w:bCs/>
          <w:lang w:eastAsia="zh-CN"/>
        </w:rPr>
        <w:lastRenderedPageBreak/>
        <w:t xml:space="preserve">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lastRenderedPageBreak/>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w:t>
      </w:r>
      <w:r>
        <w:rPr>
          <w:rFonts w:hint="eastAsia"/>
          <w:bCs/>
          <w:lang w:eastAsia="zh-CN"/>
        </w:rPr>
        <w:lastRenderedPageBreak/>
        <w:t xml:space="preserve">~3.12%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lastRenderedPageBreak/>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lastRenderedPageBreak/>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lastRenderedPageBreak/>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lastRenderedPageBreak/>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lastRenderedPageBreak/>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B0325" w14:textId="77777777" w:rsidR="00C9464E" w:rsidRDefault="00C9464E">
      <w:pPr>
        <w:spacing w:after="0"/>
      </w:pPr>
      <w:r>
        <w:separator/>
      </w:r>
    </w:p>
  </w:endnote>
  <w:endnote w:type="continuationSeparator" w:id="0">
    <w:p w14:paraId="02F9688D" w14:textId="77777777" w:rsidR="00C9464E" w:rsidRDefault="00C94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71A0E4EA"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723C">
      <w:rPr>
        <w:rStyle w:val="PageNumber"/>
        <w:noProof/>
      </w:rPr>
      <w:t>10</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DF855" w14:textId="77777777" w:rsidR="00C9464E" w:rsidRDefault="00C9464E">
      <w:pPr>
        <w:spacing w:after="0"/>
      </w:pPr>
      <w:r>
        <w:separator/>
      </w:r>
    </w:p>
  </w:footnote>
  <w:footnote w:type="continuationSeparator" w:id="0">
    <w:p w14:paraId="6E87797B" w14:textId="77777777" w:rsidR="00C9464E" w:rsidRDefault="00C94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253A9BE6-D3A4-4382-A5AF-603FCCAC36D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F016EC-B2E3-4E7E-9B6A-32E7F9C4FE9C}">
  <ds:schemaRefs>
    <ds:schemaRef ds:uri="http://schemas.openxmlformats.org/officeDocument/2006/bibliography"/>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9280</Words>
  <Characters>52900</Characters>
  <Application>Microsoft Office Word</Application>
  <DocSecurity>0</DocSecurity>
  <Lines>440</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2021-05-25T03:30:00Z</dcterms:created>
  <dcterms:modified xsi:type="dcterms:W3CDTF">2021-05-25T03:32:00Z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