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ＭＳ 明朝" w:hAnsi="Arial" w:cs="Arial"/>
          <w:b/>
          <w:bCs/>
          <w:sz w:val="24"/>
          <w:szCs w:val="24"/>
          <w:lang w:eastAsia="ja-JP"/>
        </w:rPr>
        <w:t xml:space="preserve">e-Meeting, </w:t>
      </w:r>
      <w:r w:rsidR="008970D0">
        <w:rPr>
          <w:rFonts w:ascii="Arial" w:eastAsia="ＭＳ 明朝"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 xml:space="preserve">Note: The total PDCCH blind decoding budget should not be changed </w:t>
            </w:r>
            <w:proofErr w:type="gramStart"/>
            <w:r>
              <w:rPr>
                <w:rFonts w:ascii="Arial" w:hAnsi="Arial" w:cs="Arial"/>
                <w:szCs w:val="20"/>
              </w:rPr>
              <w:t>as a result of</w:t>
            </w:r>
            <w:proofErr w:type="gramEnd"/>
            <w:r>
              <w:rPr>
                <w:rFonts w:ascii="Arial" w:hAnsi="Arial" w:cs="Arial"/>
                <w:szCs w:val="20"/>
              </w:rPr>
              <w:t xml:space="preserve">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sends LS to </w:t>
            </w:r>
            <w:proofErr w:type="gramStart"/>
            <w:r w:rsidRPr="00F85665">
              <w:rPr>
                <w:i/>
                <w:szCs w:val="20"/>
                <w:lang w:eastAsia="zh-CN"/>
              </w:rPr>
              <w:t>RAN</w:t>
            </w:r>
            <w:proofErr w:type="gramEnd"/>
            <w:r w:rsidRPr="00F85665">
              <w:rPr>
                <w:i/>
                <w:szCs w:val="20"/>
                <w:lang w:eastAsia="zh-CN"/>
              </w:rPr>
              <w:t xml:space="preserve">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 xml:space="preserve">should be discussed and study </w:t>
            </w:r>
            <w:proofErr w:type="gramStart"/>
            <w:r w:rsidRPr="00F85665">
              <w:rPr>
                <w:rFonts w:eastAsia="SimSun"/>
                <w:i/>
                <w:szCs w:val="20"/>
                <w:lang w:val="en-US" w:eastAsia="zh-CN"/>
              </w:rPr>
              <w:t>whether or not</w:t>
            </w:r>
            <w:proofErr w:type="gramEnd"/>
            <w:r w:rsidRPr="00F85665">
              <w:rPr>
                <w:rFonts w:eastAsia="SimSun"/>
                <w:i/>
                <w:szCs w:val="20"/>
                <w:lang w:val="en-US" w:eastAsia="zh-CN"/>
              </w:rPr>
              <w:t xml:space="preserve">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ＭＳ 明朝"/>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proofErr w:type="gramStart"/>
      <w:r>
        <w:t>In order to</w:t>
      </w:r>
      <w:proofErr w:type="gramEnd"/>
      <w:r>
        <w:t xml:space="preserve">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 xml:space="preserve">We support the FL proposed observations and our view is that even if we agree on the observations it does not necessary mean to proceed within R17 given the remaining Tus and strong interest to include more scenarios. However, it is still useful to conclude a </w:t>
            </w:r>
            <w:proofErr w:type="gramStart"/>
            <w:r>
              <w:rPr>
                <w:szCs w:val="20"/>
              </w:rPr>
              <w:t>high level</w:t>
            </w:r>
            <w:proofErr w:type="gramEnd"/>
            <w:r>
              <w:rPr>
                <w:szCs w:val="20"/>
              </w:rPr>
              <w:t xml:space="preserve">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ＭＳ 明朝" w:hint="eastAsia"/>
                <w:szCs w:val="20"/>
                <w:lang w:eastAsia="ja-JP"/>
              </w:rPr>
              <w:lastRenderedPageBreak/>
              <w:t>Q</w:t>
            </w:r>
            <w:r>
              <w:rPr>
                <w:rFonts w:eastAsia="ＭＳ 明朝"/>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ＭＳ 明朝" w:hint="eastAsia"/>
                <w:iCs/>
                <w:szCs w:val="20"/>
                <w:lang w:eastAsia="ja-JP"/>
              </w:rPr>
              <w:t>T</w:t>
            </w:r>
            <w:r w:rsidRPr="00A005FC">
              <w:rPr>
                <w:rFonts w:eastAsia="ＭＳ 明朝"/>
                <w:iCs/>
                <w:szCs w:val="20"/>
                <w:lang w:eastAsia="ja-JP"/>
              </w:rPr>
              <w:t xml:space="preserve">he reason why we have captured </w:t>
            </w:r>
            <w:r>
              <w:rPr>
                <w:rFonts w:eastAsia="ＭＳ 明朝"/>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CA7BBF" w14:paraId="3CB49615" w14:textId="77777777" w:rsidTr="008772FC">
        <w:tc>
          <w:tcPr>
            <w:tcW w:w="1555" w:type="dxa"/>
          </w:tcPr>
          <w:p w14:paraId="075194F6" w14:textId="76D5F3CA" w:rsidR="00CA7BBF" w:rsidRDefault="00CA7BBF" w:rsidP="00CA7BBF">
            <w:pPr>
              <w:rPr>
                <w:lang w:eastAsia="en-US"/>
              </w:rPr>
            </w:pPr>
          </w:p>
        </w:tc>
        <w:tc>
          <w:tcPr>
            <w:tcW w:w="7796" w:type="dxa"/>
          </w:tcPr>
          <w:p w14:paraId="5FCC53B8" w14:textId="721DA87F" w:rsidR="00CA7BBF" w:rsidRDefault="00CA7BBF" w:rsidP="00CA7BBF">
            <w:pPr>
              <w:rPr>
                <w:szCs w:val="20"/>
              </w:rPr>
            </w:pPr>
          </w:p>
        </w:tc>
      </w:tr>
      <w:tr w:rsidR="00CA7BBF" w14:paraId="5B7F0E93" w14:textId="77777777" w:rsidTr="008772FC">
        <w:tc>
          <w:tcPr>
            <w:tcW w:w="1555" w:type="dxa"/>
          </w:tcPr>
          <w:p w14:paraId="6655E41C" w14:textId="77777777" w:rsidR="00CA7BBF" w:rsidRDefault="00CA7BBF" w:rsidP="00CA7BBF">
            <w:pPr>
              <w:rPr>
                <w:lang w:eastAsia="en-US"/>
              </w:rPr>
            </w:pPr>
          </w:p>
        </w:tc>
        <w:tc>
          <w:tcPr>
            <w:tcW w:w="7796" w:type="dxa"/>
          </w:tcPr>
          <w:p w14:paraId="081CFF69" w14:textId="77777777" w:rsidR="00CA7BBF" w:rsidRDefault="00CA7BBF" w:rsidP="00CA7BBF">
            <w:pPr>
              <w:rPr>
                <w:szCs w:val="20"/>
              </w:rPr>
            </w:pPr>
          </w:p>
        </w:tc>
      </w:tr>
      <w:tr w:rsidR="00CA7BBF" w14:paraId="252CD942" w14:textId="77777777" w:rsidTr="008772FC">
        <w:tc>
          <w:tcPr>
            <w:tcW w:w="1555" w:type="dxa"/>
          </w:tcPr>
          <w:p w14:paraId="0128E5C3" w14:textId="77777777" w:rsidR="00CA7BBF" w:rsidRDefault="00CA7BBF" w:rsidP="00CA7BBF">
            <w:pPr>
              <w:rPr>
                <w:lang w:eastAsia="en-US"/>
              </w:rPr>
            </w:pPr>
          </w:p>
        </w:tc>
        <w:tc>
          <w:tcPr>
            <w:tcW w:w="7796" w:type="dxa"/>
          </w:tcPr>
          <w:p w14:paraId="19030D95" w14:textId="77777777" w:rsidR="00CA7BBF" w:rsidRDefault="00CA7BBF" w:rsidP="00CA7BBF">
            <w:pPr>
              <w:rPr>
                <w:szCs w:val="20"/>
              </w:rPr>
            </w:pP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 xml:space="preserve">Per the discussion in RAN plenary, companies believe that the gain for multi-cell scheduling for PDSCH for 2-carrier is marginal.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ＭＳ 明朝" w:hint="eastAsia"/>
                <w:lang w:eastAsia="ja-JP"/>
              </w:rPr>
              <w:t>Q</w:t>
            </w:r>
            <w:r>
              <w:rPr>
                <w:rFonts w:eastAsia="ＭＳ 明朝"/>
                <w:lang w:eastAsia="ja-JP"/>
              </w:rPr>
              <w:t>ualcomm</w:t>
            </w:r>
          </w:p>
        </w:tc>
        <w:tc>
          <w:tcPr>
            <w:tcW w:w="7796" w:type="dxa"/>
          </w:tcPr>
          <w:p w14:paraId="0203C386" w14:textId="541E5558" w:rsidR="00CA7BBF" w:rsidRDefault="00CA7BBF" w:rsidP="00CA7BBF">
            <w:pPr>
              <w:wordWrap/>
              <w:jc w:val="left"/>
              <w:rPr>
                <w:szCs w:val="20"/>
              </w:rPr>
            </w:pPr>
            <w:r>
              <w:rPr>
                <w:rFonts w:eastAsia="ＭＳ 明朝" w:hint="eastAsia"/>
                <w:szCs w:val="20"/>
                <w:lang w:eastAsia="ja-JP"/>
              </w:rPr>
              <w:t>N</w:t>
            </w:r>
            <w:r>
              <w:rPr>
                <w:rFonts w:eastAsia="ＭＳ 明朝"/>
                <w:szCs w:val="20"/>
                <w:lang w:eastAsia="ja-JP"/>
              </w:rPr>
              <w:t xml:space="preserve">o, but this does not mean further enhancements for other scenarios in future releases is </w:t>
            </w:r>
            <w:r>
              <w:rPr>
                <w:rFonts w:eastAsia="ＭＳ 明朝"/>
                <w:szCs w:val="20"/>
                <w:lang w:eastAsia="ja-JP"/>
              </w:rPr>
              <w:lastRenderedPageBreak/>
              <w:t>precluded.</w:t>
            </w:r>
          </w:p>
        </w:tc>
      </w:tr>
      <w:tr w:rsidR="00CA7BBF" w14:paraId="599169A4" w14:textId="77777777" w:rsidTr="008772FC">
        <w:tc>
          <w:tcPr>
            <w:tcW w:w="1555" w:type="dxa"/>
          </w:tcPr>
          <w:p w14:paraId="494C4E13" w14:textId="77777777" w:rsidR="00CA7BBF" w:rsidRDefault="00CA7BBF" w:rsidP="00CA7BBF">
            <w:pPr>
              <w:rPr>
                <w:lang w:eastAsia="en-US"/>
              </w:rPr>
            </w:pPr>
          </w:p>
        </w:tc>
        <w:tc>
          <w:tcPr>
            <w:tcW w:w="7796" w:type="dxa"/>
          </w:tcPr>
          <w:p w14:paraId="0F5C0DFD" w14:textId="77777777" w:rsidR="00CA7BBF" w:rsidRDefault="00CA7BBF" w:rsidP="00CA7BBF">
            <w:pPr>
              <w:rPr>
                <w:szCs w:val="20"/>
              </w:rPr>
            </w:pPr>
          </w:p>
        </w:tc>
      </w:tr>
      <w:tr w:rsidR="00CA7BBF" w14:paraId="0D4CCD9E" w14:textId="77777777" w:rsidTr="008772FC">
        <w:tc>
          <w:tcPr>
            <w:tcW w:w="1555" w:type="dxa"/>
          </w:tcPr>
          <w:p w14:paraId="48B6C7A5" w14:textId="77777777" w:rsidR="00CA7BBF" w:rsidRDefault="00CA7BBF" w:rsidP="00CA7BBF">
            <w:pPr>
              <w:rPr>
                <w:lang w:eastAsia="en-US"/>
              </w:rPr>
            </w:pPr>
          </w:p>
        </w:tc>
        <w:tc>
          <w:tcPr>
            <w:tcW w:w="7796" w:type="dxa"/>
          </w:tcPr>
          <w:p w14:paraId="2715E05B" w14:textId="77777777" w:rsidR="00CA7BBF" w:rsidRDefault="00CA7BBF" w:rsidP="00CA7BBF">
            <w:pPr>
              <w:rPr>
                <w:szCs w:val="20"/>
              </w:rPr>
            </w:pPr>
          </w:p>
        </w:tc>
      </w:tr>
    </w:tbl>
    <w:p w14:paraId="10A715D3" w14:textId="04A3071E" w:rsidR="0008111D"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 xml:space="preserve">Similar comments as above.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ＭＳ 明朝" w:hint="eastAsia"/>
                <w:lang w:eastAsia="ja-JP"/>
              </w:rPr>
              <w:t>Q</w:t>
            </w:r>
            <w:r>
              <w:rPr>
                <w:rFonts w:eastAsia="ＭＳ 明朝"/>
                <w:lang w:eastAsia="ja-JP"/>
              </w:rPr>
              <w:t>ualcomm</w:t>
            </w:r>
          </w:p>
        </w:tc>
        <w:tc>
          <w:tcPr>
            <w:tcW w:w="7796" w:type="dxa"/>
          </w:tcPr>
          <w:p w14:paraId="1B7A9218" w14:textId="21B2B01A" w:rsidR="00CA7BBF" w:rsidRDefault="00CA7BBF" w:rsidP="00CA7BBF">
            <w:pPr>
              <w:wordWrap/>
              <w:jc w:val="left"/>
              <w:rPr>
                <w:szCs w:val="20"/>
              </w:rPr>
            </w:pPr>
            <w:r>
              <w:rPr>
                <w:rFonts w:eastAsia="ＭＳ 明朝" w:hint="eastAsia"/>
                <w:szCs w:val="20"/>
                <w:lang w:eastAsia="ja-JP"/>
              </w:rPr>
              <w:t>N</w:t>
            </w:r>
            <w:r>
              <w:rPr>
                <w:rFonts w:eastAsia="ＭＳ 明朝"/>
                <w:szCs w:val="20"/>
                <w:lang w:eastAsia="ja-JP"/>
              </w:rPr>
              <w:t>o, but this does not mean further enhancements for other scenarios in future releases is precluded.</w:t>
            </w:r>
          </w:p>
        </w:tc>
      </w:tr>
      <w:tr w:rsidR="00CA7BBF" w14:paraId="2A15E0B3" w14:textId="77777777" w:rsidTr="008772FC">
        <w:tc>
          <w:tcPr>
            <w:tcW w:w="1555" w:type="dxa"/>
          </w:tcPr>
          <w:p w14:paraId="5C6AF585" w14:textId="77777777" w:rsidR="00CA7BBF" w:rsidRDefault="00CA7BBF" w:rsidP="00CA7BBF">
            <w:pPr>
              <w:rPr>
                <w:lang w:eastAsia="en-US"/>
              </w:rPr>
            </w:pPr>
          </w:p>
        </w:tc>
        <w:tc>
          <w:tcPr>
            <w:tcW w:w="7796" w:type="dxa"/>
          </w:tcPr>
          <w:p w14:paraId="0E59E794" w14:textId="77777777" w:rsidR="00CA7BBF" w:rsidRDefault="00CA7BBF" w:rsidP="00CA7BBF">
            <w:pPr>
              <w:rPr>
                <w:szCs w:val="20"/>
              </w:rPr>
            </w:pPr>
          </w:p>
        </w:tc>
      </w:tr>
      <w:tr w:rsidR="00CA7BBF" w14:paraId="73A6302A" w14:textId="77777777" w:rsidTr="008772FC">
        <w:tc>
          <w:tcPr>
            <w:tcW w:w="1555" w:type="dxa"/>
          </w:tcPr>
          <w:p w14:paraId="2459F4E4" w14:textId="77777777" w:rsidR="00CA7BBF" w:rsidRDefault="00CA7BBF" w:rsidP="00CA7BBF">
            <w:pPr>
              <w:rPr>
                <w:lang w:eastAsia="en-US"/>
              </w:rPr>
            </w:pPr>
          </w:p>
        </w:tc>
        <w:tc>
          <w:tcPr>
            <w:tcW w:w="7796" w:type="dxa"/>
          </w:tcPr>
          <w:p w14:paraId="2A149BB5" w14:textId="77777777" w:rsidR="00CA7BBF" w:rsidRDefault="00CA7BBF" w:rsidP="00CA7BBF">
            <w:pPr>
              <w:rPr>
                <w:szCs w:val="20"/>
              </w:rPr>
            </w:pP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 xml:space="preserve">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ＭＳ 明朝"/>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77777777" w:rsidR="0008111D" w:rsidRPr="00F158BE" w:rsidRDefault="0008111D" w:rsidP="008772FC">
            <w:pPr>
              <w:rPr>
                <w:rFonts w:eastAsiaTheme="minorEastAsia"/>
                <w:szCs w:val="20"/>
                <w:lang w:eastAsia="zh-CN"/>
              </w:rPr>
            </w:pPr>
          </w:p>
        </w:tc>
        <w:tc>
          <w:tcPr>
            <w:tcW w:w="7796" w:type="dxa"/>
          </w:tcPr>
          <w:p w14:paraId="0D49668B" w14:textId="77777777" w:rsidR="0008111D" w:rsidRPr="00F158BE" w:rsidRDefault="0008111D" w:rsidP="008772FC">
            <w:pPr>
              <w:rPr>
                <w:rFonts w:eastAsiaTheme="minorEastAsia"/>
                <w:szCs w:val="20"/>
                <w:lang w:eastAsia="zh-CN"/>
              </w:rPr>
            </w:pP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7"/>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lastRenderedPageBreak/>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lastRenderedPageBreak/>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 xml:space="preserve">should be discussed and study </w:t>
            </w:r>
            <w:proofErr w:type="gramStart"/>
            <w:r w:rsidRPr="003D36E2">
              <w:rPr>
                <w:rFonts w:eastAsia="SimSun"/>
                <w:b/>
                <w:i/>
                <w:szCs w:val="20"/>
                <w:lang w:val="en-US" w:eastAsia="zh-CN"/>
              </w:rPr>
              <w:t>whether or not</w:t>
            </w:r>
            <w:proofErr w:type="gramEnd"/>
            <w:r w:rsidRPr="003D36E2">
              <w:rPr>
                <w:rFonts w:eastAsia="SimSun"/>
                <w:b/>
                <w:i/>
                <w:szCs w:val="20"/>
                <w:lang w:val="en-US" w:eastAsia="zh-CN"/>
              </w:rPr>
              <w:t xml:space="preserve">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 xml:space="preserve">roposal 5: It can be supported that </w:t>
            </w:r>
            <w:proofErr w:type="gramStart"/>
            <w:r w:rsidRPr="003D36E2">
              <w:rPr>
                <w:rFonts w:hint="eastAsia"/>
                <w:b/>
                <w:szCs w:val="20"/>
              </w:rPr>
              <w:t>all of</w:t>
            </w:r>
            <w:proofErr w:type="gramEnd"/>
            <w:r w:rsidRPr="003D36E2">
              <w:rPr>
                <w:rFonts w:hint="eastAsia"/>
                <w:b/>
                <w:szCs w:val="20"/>
              </w:rPr>
              <w:t xml:space="preserve">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proofErr w:type="gramStart"/>
      <w:r>
        <w:rPr>
          <w:lang w:eastAsia="en-US"/>
        </w:rPr>
        <w:t>Regarding HARQ-ACK codebook design, there</w:t>
      </w:r>
      <w:proofErr w:type="gramEnd"/>
      <w:r>
        <w:rPr>
          <w:lang w:eastAsia="en-US"/>
        </w:rPr>
        <w:t xml:space="preserve"> is no issue for Type 1 HARQ-ACK codebook due to the semi-static </w:t>
      </w:r>
      <w:r>
        <w:rPr>
          <w:lang w:eastAsia="en-US"/>
        </w:rPr>
        <w:lastRenderedPageBreak/>
        <w:t xml:space="preserve">codebook size. However, for Type 2 HARQ-ACK codebook, since each non-fallback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w:t>
      </w:r>
      <w:proofErr w:type="gramStart"/>
      <w:r>
        <w:rPr>
          <w:lang w:eastAsia="en-US"/>
        </w:rPr>
        <w:t>in order to</w:t>
      </w:r>
      <w:proofErr w:type="gramEnd"/>
      <w:r>
        <w:rPr>
          <w:lang w:eastAsia="en-US"/>
        </w:rPr>
        <w:t xml:space="preserve">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CA7BBF"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CA7BBF"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CA7BBF"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CA7BBF"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CA7BBF"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CA7BBF"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CA7BBF"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CA7BBF"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CA7BBF"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CA7BBF"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CA7BBF"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CA7BBF"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CA7BBF"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CA7BBF"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CA7BBF"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CA7BBF"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w:t>
      </w:r>
      <w:r>
        <w:rPr>
          <w:rFonts w:eastAsia="Gulim" w:hint="eastAsia"/>
          <w:bCs/>
        </w:rPr>
        <w:lastRenderedPageBreak/>
        <w:t xml:space="preserve">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lastRenderedPageBreak/>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w:t>
      </w:r>
      <w:r>
        <w:rPr>
          <w:rFonts w:eastAsia="Gulim" w:hint="eastAsia"/>
          <w:bCs/>
        </w:rPr>
        <w:lastRenderedPageBreak/>
        <w:t xml:space="preserve">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w:t>
            </w:r>
            <w:r w:rsidRPr="00625AFA">
              <w:rPr>
                <w:szCs w:val="20"/>
              </w:rPr>
              <w:lastRenderedPageBreak/>
              <w:t xml:space="preserve">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lastRenderedPageBreak/>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618"/>
        <w:gridCol w:w="5850"/>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lastRenderedPageBreak/>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lastRenderedPageBreak/>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lastRenderedPageBreak/>
        <w:t xml:space="preserve">UE configured with Inter-band CA with </w:t>
      </w:r>
      <w:proofErr w:type="spellStart"/>
      <w:r w:rsidRPr="002E66EB">
        <w:rPr>
          <w:rFonts w:eastAsia="SimSun"/>
          <w:szCs w:val="20"/>
        </w:rPr>
        <w:t>PCell</w:t>
      </w:r>
      <w:proofErr w:type="spellEnd"/>
      <w:r w:rsidRPr="002E66EB">
        <w:rPr>
          <w:rFonts w:eastAsia="SimSun"/>
          <w:szCs w:val="20"/>
        </w:rPr>
        <w:t xml:space="preserve"> and an </w:t>
      </w:r>
      <w:proofErr w:type="spellStart"/>
      <w:r w:rsidRPr="002E66EB">
        <w:rPr>
          <w:rFonts w:eastAsia="SimSun"/>
          <w:szCs w:val="20"/>
        </w:rPr>
        <w:t>SCell</w:t>
      </w:r>
      <w:proofErr w:type="spellEnd"/>
      <w:r w:rsidRPr="002E66EB">
        <w:rPr>
          <w:rFonts w:eastAsia="SimSun"/>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proofErr w:type="spellStart"/>
      <w:r w:rsidRPr="002E66EB">
        <w:rPr>
          <w:rFonts w:eastAsia="SimSun"/>
          <w:szCs w:val="20"/>
        </w:rPr>
        <w:t>PCell</w:t>
      </w:r>
      <w:proofErr w:type="spellEnd"/>
      <w:r w:rsidRPr="002E66EB">
        <w:rPr>
          <w:rFonts w:eastAsia="SimSun"/>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1: Different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2: Same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Inter-band CA case with </w:t>
      </w:r>
      <w:proofErr w:type="spellStart"/>
      <w:r w:rsidRPr="002E66EB">
        <w:rPr>
          <w:rFonts w:eastAsia="SimSun"/>
          <w:szCs w:val="20"/>
        </w:rPr>
        <w:t>PCell</w:t>
      </w:r>
      <w:proofErr w:type="spellEnd"/>
      <w:r w:rsidRPr="002E66EB">
        <w:rPr>
          <w:rFonts w:eastAsia="SimSun"/>
          <w:szCs w:val="20"/>
        </w:rPr>
        <w:t xml:space="preserve"> and more than one </w:t>
      </w:r>
      <w:proofErr w:type="spellStart"/>
      <w:r w:rsidRPr="002E66EB">
        <w:rPr>
          <w:rFonts w:eastAsia="SimSun"/>
          <w:szCs w:val="20"/>
        </w:rPr>
        <w:t>SCell</w:t>
      </w:r>
      <w:proofErr w:type="spellEnd"/>
      <w:r w:rsidRPr="002E66EB">
        <w:rPr>
          <w:rFonts w:eastAsia="SimSun"/>
          <w:szCs w:val="20"/>
        </w:rPr>
        <w:t xml:space="preserve"> (at least the </w:t>
      </w:r>
      <w:proofErr w:type="spellStart"/>
      <w:r w:rsidRPr="002E66EB">
        <w:rPr>
          <w:rFonts w:eastAsia="SimSun"/>
          <w:szCs w:val="20"/>
        </w:rPr>
        <w:t>SCells</w:t>
      </w:r>
      <w:proofErr w:type="spellEnd"/>
      <w:r w:rsidRPr="002E66EB">
        <w:rPr>
          <w:rFonts w:eastAsia="SimSun"/>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A59DD" w14:textId="77777777" w:rsidR="0063130D" w:rsidRDefault="0063130D">
      <w:pPr>
        <w:spacing w:after="0"/>
      </w:pPr>
      <w:r>
        <w:separator/>
      </w:r>
    </w:p>
  </w:endnote>
  <w:endnote w:type="continuationSeparator" w:id="0">
    <w:p w14:paraId="0F465942" w14:textId="77777777" w:rsidR="0063130D" w:rsidRDefault="00631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CD5C95" w:rsidRDefault="00CD5C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CD5C95" w:rsidRDefault="00CD5C95">
    <w:pPr>
      <w:pStyle w:val="Footer"/>
    </w:pPr>
  </w:p>
  <w:p w14:paraId="01C5906F" w14:textId="77777777" w:rsidR="00CD5C95" w:rsidRDefault="00CD5C95"/>
  <w:p w14:paraId="1342B277" w14:textId="77777777" w:rsidR="00CD5C95" w:rsidRDefault="00CD5C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4B2B7AC9" w:rsidR="00CD5C95" w:rsidRDefault="00CD5C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738D2">
      <w:rPr>
        <w:rStyle w:val="PageNumber"/>
        <w:noProof/>
      </w:rPr>
      <w:t>6</w:t>
    </w:r>
    <w:r>
      <w:rPr>
        <w:rStyle w:val="PageNumber"/>
      </w:rPr>
      <w:fldChar w:fldCharType="end"/>
    </w:r>
  </w:p>
  <w:p w14:paraId="3CCD0B2C" w14:textId="77777777" w:rsidR="00CD5C95" w:rsidRDefault="00CD5C95">
    <w:pPr>
      <w:pStyle w:val="Footer"/>
    </w:pPr>
  </w:p>
  <w:p w14:paraId="21325B5C" w14:textId="77777777" w:rsidR="00CD5C95" w:rsidRDefault="00CD5C95"/>
  <w:p w14:paraId="23E7956A" w14:textId="77777777" w:rsidR="00CD5C95" w:rsidRDefault="00CD5C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BA310" w14:textId="77777777" w:rsidR="0063130D" w:rsidRDefault="0063130D">
      <w:pPr>
        <w:spacing w:after="0"/>
      </w:pPr>
      <w:r>
        <w:separator/>
      </w:r>
    </w:p>
  </w:footnote>
  <w:footnote w:type="continuationSeparator" w:id="0">
    <w:p w14:paraId="497C982B" w14:textId="77777777" w:rsidR="0063130D" w:rsidRDefault="006313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ＭＳ ゴシック"/>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ＭＳ 明朝"/>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429B4-2CE9-4772-AF0E-7F6F39DB35DE}">
  <ds:schemaRefs>
    <ds:schemaRef ds:uri="http://schemas.openxmlformats.org/officeDocument/2006/bibliography"/>
  </ds:schemaRefs>
</ds:datastoreItem>
</file>

<file path=customXml/itemProps5.xml><?xml version="1.0" encoding="utf-8"?>
<ds:datastoreItem xmlns:ds="http://schemas.openxmlformats.org/officeDocument/2006/customXml" ds:itemID="{BAFFDE80-C2E3-4F2A-A3AB-86C11F87A7C9}">
  <ds:schemaRefs>
    <ds:schemaRef ds:uri="http://schemas.openxmlformats.org/officeDocument/2006/bibliography"/>
  </ds:schemaRefs>
</ds:datastoreItem>
</file>

<file path=customXml/itemProps6.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7481</Words>
  <Characters>42647</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Fred TAKEDA</cp:lastModifiedBy>
  <cp:revision>2</cp:revision>
  <cp:lastPrinted>2019-01-10T09:30:00Z</cp:lastPrinted>
  <dcterms:created xsi:type="dcterms:W3CDTF">2021-05-20T08:43:00Z</dcterms:created>
  <dcterms:modified xsi:type="dcterms:W3CDTF">2021-05-20T08:43:00Z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