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proofErr w:type="gramStart"/>
      <w:r w:rsidRPr="000C5E05">
        <w:rPr>
          <w:rFonts w:ascii="Times New Roman" w:hAnsi="Times New Roman" w:cs="Times New Roman"/>
          <w:i/>
          <w:sz w:val="20"/>
          <w:szCs w:val="20"/>
        </w:rPr>
        <w:t>Current status</w:t>
      </w:r>
      <w:proofErr w:type="gramEnd"/>
      <w:r w:rsidRPr="000C5E05">
        <w:rPr>
          <w:rFonts w:ascii="Times New Roman" w:hAnsi="Times New Roman" w:cs="Times New Roman"/>
          <w:i/>
          <w:sz w:val="20"/>
          <w:szCs w:val="20"/>
        </w:rPr>
        <w:t xml:space="preserve">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0C5E05"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sidRPr="000C5E05">
        <w:rPr>
          <w:rFonts w:ascii="Times New Roman" w:eastAsia="Times New Roman" w:hAnsi="Times New Roman" w:cs="Times New Roman"/>
          <w:sz w:val="20"/>
          <w:szCs w:val="20"/>
          <w:shd w:val="clear" w:color="auto" w:fill="FFFFFF"/>
        </w:rPr>
        <w:t xml:space="preserve">r </w:t>
      </w:r>
      <w:r w:rsidRPr="000C5E05">
        <w:rPr>
          <w:rFonts w:ascii="Times New Roman" w:eastAsia="Times New Roman" w:hAnsi="Times New Roman" w:cs="Times New Roman"/>
          <w:sz w:val="20"/>
          <w:szCs w:val="20"/>
          <w:shd w:val="clear" w:color="auto" w:fill="FFFFFF"/>
        </w:rPr>
        <w:t>CC</w:t>
      </w:r>
    </w:p>
    <w:p w14:paraId="27B2277F" w14:textId="3CA9CF4F" w:rsidR="00792F40" w:rsidRPr="000C5E05" w:rsidRDefault="00792F40"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5982E470" w14:textId="0D827542" w:rsidR="00A55550" w:rsidRPr="000C5E05" w:rsidRDefault="00A55550"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p>
    <w:p w14:paraId="106B9985" w14:textId="72167C1F" w:rsidR="003F04CE" w:rsidRPr="000C5E05" w:rsidRDefault="003F04CE"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w:t>
            </w:r>
            <w:proofErr w:type="gramStart"/>
            <w:r w:rsidRPr="000C5E05">
              <w:rPr>
                <w:rFonts w:ascii="Times New Roman" w:hAnsi="Times New Roman" w:cs="Times New Roman"/>
                <w:sz w:val="20"/>
                <w:szCs w:val="20"/>
              </w:rPr>
              <w:t>is  ‘</w:t>
            </w:r>
            <w:proofErr w:type="gramEnd"/>
            <w:r w:rsidRPr="000C5E05">
              <w:rPr>
                <w:rFonts w:ascii="Times New Roman" w:hAnsi="Times New Roman" w:cs="Times New Roman"/>
                <w:sz w:val="20"/>
                <w:szCs w:val="20"/>
              </w:rPr>
              <w:t>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w:t>
            </w:r>
            <w:proofErr w:type="gramStart"/>
            <w:r w:rsidRPr="000C5E05">
              <w:rPr>
                <w:rFonts w:ascii="Times New Roman" w:eastAsia="Times New Roman" w:hAnsi="Times New Roman" w:cs="Times New Roman"/>
                <w:sz w:val="20"/>
                <w:szCs w:val="20"/>
              </w:rPr>
              <w:t>also  no.</w:t>
            </w:r>
            <w:proofErr w:type="gramEnd"/>
            <w:r w:rsidRPr="000C5E05">
              <w:rPr>
                <w:rFonts w:ascii="Times New Roman" w:eastAsia="Times New Roman" w:hAnsi="Times New Roman" w:cs="Times New Roman"/>
                <w:sz w:val="20"/>
                <w:szCs w:val="20"/>
              </w:rPr>
              <w:t xml:space="preserve">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In CC#1, the QCL-TypeD RS for PDSCH is CSI-RS #A and </w:t>
            </w:r>
            <w:proofErr w:type="gramStart"/>
            <w:r w:rsidRPr="000C5E05">
              <w:rPr>
                <w:rFonts w:ascii="Times New Roman" w:eastAsia="PMingLiU" w:hAnsi="Times New Roman" w:cs="Times New Roman"/>
                <w:sz w:val="18"/>
                <w:szCs w:val="18"/>
                <w:lang w:eastAsia="zh-TW"/>
              </w:rPr>
              <w:t>In</w:t>
            </w:r>
            <w:proofErr w:type="gramEnd"/>
            <w:r w:rsidRPr="000C5E05">
              <w:rPr>
                <w:rFonts w:ascii="Times New Roman" w:eastAsia="PMingLiU" w:hAnsi="Times New Roman" w:cs="Times New Roman"/>
                <w:sz w:val="18"/>
                <w:szCs w:val="18"/>
                <w:lang w:eastAsia="zh-TW"/>
              </w:rPr>
              <w:t xml:space="preserve">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w:t>
            </w:r>
            <w:proofErr w:type="gramStart"/>
            <w:r w:rsidR="007C2380" w:rsidRPr="000C5E05">
              <w:rPr>
                <w:rFonts w:ascii="Times New Roman" w:eastAsia="PMingLiU" w:hAnsi="Times New Roman" w:cs="Times New Roman"/>
                <w:sz w:val="18"/>
                <w:szCs w:val="18"/>
                <w:lang w:eastAsia="zh-TW"/>
              </w:rPr>
              <w:t>to change</w:t>
            </w:r>
            <w:proofErr w:type="gramEnd"/>
            <w:r w:rsidR="007C2380" w:rsidRPr="000C5E05">
              <w:rPr>
                <w:rFonts w:ascii="Times New Roman" w:eastAsia="PMingLiU" w:hAnsi="Times New Roman" w:cs="Times New Roman"/>
                <w:sz w:val="18"/>
                <w:szCs w:val="18"/>
                <w:lang w:eastAsia="zh-TW"/>
              </w:rPr>
              <w:t xml:space="preserv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w:t>
            </w:r>
            <w:proofErr w:type="gramStart"/>
            <w:r w:rsidRPr="000C5E05">
              <w:rPr>
                <w:rFonts w:ascii="Times New Roman" w:hAnsi="Times New Roman" w:cs="Times New Roman"/>
                <w:color w:val="FF0000"/>
                <w:sz w:val="20"/>
                <w:szCs w:val="20"/>
              </w:rPr>
              <w:t>F</w:t>
            </w:r>
            <w:r w:rsidRPr="000C5E05">
              <w:rPr>
                <w:rFonts w:ascii="Times New Roman" w:hAnsi="Times New Roman" w:cs="Times New Roman"/>
                <w:sz w:val="20"/>
                <w:szCs w:val="20"/>
              </w:rPr>
              <w:t>or</w:t>
            </w:r>
            <w:proofErr w:type="gramEnd"/>
            <w:r w:rsidRPr="000C5E05">
              <w:rPr>
                <w:rFonts w:ascii="Times New Roman" w:hAnsi="Times New Roman" w:cs="Times New Roman"/>
                <w:sz w:val="20"/>
                <w:szCs w:val="20"/>
              </w:rPr>
              <w:t xml:space="preserve">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 xml:space="preserve">is </w:t>
            </w:r>
            <w:proofErr w:type="gramStart"/>
            <w:r w:rsidRPr="000C5E05">
              <w:rPr>
                <w:rFonts w:ascii="Times New Roman" w:hAnsi="Times New Roman" w:cs="Times New Roman"/>
                <w:strike/>
                <w:color w:val="FF0000"/>
                <w:sz w:val="20"/>
                <w:szCs w:val="20"/>
              </w:rPr>
              <w:t>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roofErr w:type="gramEnd"/>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w:t>
            </w:r>
            <w:proofErr w:type="gramStart"/>
            <w:r w:rsidRPr="000C5E05">
              <w:rPr>
                <w:rFonts w:ascii="Times New Roman" w:hAnsi="Times New Roman" w:cs="Times New Roman"/>
                <w:sz w:val="20"/>
                <w:szCs w:val="18"/>
              </w:rPr>
              <w:t>actually prefer</w:t>
            </w:r>
            <w:proofErr w:type="gramEnd"/>
            <w:r w:rsidRPr="000C5E05">
              <w:rPr>
                <w:rFonts w:ascii="Times New Roman" w:hAnsi="Times New Roman" w:cs="Times New Roman"/>
                <w:sz w:val="20"/>
                <w:szCs w:val="18"/>
              </w:rPr>
              <w:t xml:space="preserve">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 xml:space="preserve">A single RRC pool of TCI </w:t>
            </w:r>
            <w:proofErr w:type="gramStart"/>
            <w:r w:rsidR="00C60F2D" w:rsidRPr="000C5E05">
              <w:rPr>
                <w:rFonts w:ascii="Times New Roman" w:hAnsi="Times New Roman" w:cs="Times New Roman"/>
                <w:sz w:val="20"/>
                <w:szCs w:val="20"/>
              </w:rPr>
              <w:t>states</w:t>
            </w:r>
            <w:r w:rsidR="002A56F2" w:rsidRPr="000C5E05">
              <w:rPr>
                <w:rFonts w:ascii="Times New Roman" w:hAnsi="Times New Roman" w:cs="Times New Roman"/>
                <w:sz w:val="20"/>
                <w:szCs w:val="20"/>
              </w:rPr>
              <w:t>’</w:t>
            </w:r>
            <w:proofErr w:type="gramEnd"/>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 xml:space="preserve">Proposal 1.3: We can support it in principle. In order to make sure that indirect QCL works, we suggest </w:t>
            </w:r>
            <w:proofErr w:type="gramStart"/>
            <w:r w:rsidRPr="000C5E05">
              <w:rPr>
                <w:rFonts w:ascii="Times New Roman" w:hAnsi="Times New Roman" w:cs="Times New Roman"/>
                <w:sz w:val="20"/>
                <w:szCs w:val="18"/>
                <w:lang w:eastAsia="zh-CN"/>
              </w:rPr>
              <w:t>to add</w:t>
            </w:r>
            <w:proofErr w:type="gramEnd"/>
            <w:r w:rsidRPr="000C5E05">
              <w:rPr>
                <w:rFonts w:ascii="Times New Roman" w:hAnsi="Times New Roman" w:cs="Times New Roman"/>
                <w:sz w:val="20"/>
                <w:szCs w:val="18"/>
                <w:lang w:eastAsia="zh-CN"/>
              </w:rPr>
              <w:t xml:space="preserve">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My points are: (1) Both cases are allowed in R15/16. </w:t>
            </w:r>
            <w:proofErr w:type="gramStart"/>
            <w:r w:rsidRPr="000C5E05">
              <w:rPr>
                <w:rFonts w:ascii="Times New Roman" w:eastAsia="Malgun Gothic" w:hAnsi="Times New Roman" w:cs="Times New Roman"/>
                <w:sz w:val="20"/>
                <w:szCs w:val="18"/>
              </w:rPr>
              <w:t>So</w:t>
            </w:r>
            <w:proofErr w:type="gramEnd"/>
            <w:r w:rsidRPr="000C5E05">
              <w:rPr>
                <w:rFonts w:ascii="Times New Roman" w:eastAsia="Malgun Gothic" w:hAnsi="Times New Roman" w:cs="Times New Roman"/>
                <w:sz w:val="20"/>
                <w:szCs w:val="18"/>
              </w:rPr>
              <w:t xml:space="preserve">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proofErr w:type="gramStart"/>
            <w:r w:rsidRPr="000C5E05">
              <w:rPr>
                <w:rFonts w:ascii="Times New Roman" w:eastAsia="Malgun Gothic" w:hAnsi="Times New Roman" w:cs="Times New Roman"/>
                <w:sz w:val="20"/>
                <w:szCs w:val="18"/>
              </w:rPr>
              <w:t>So</w:t>
            </w:r>
            <w:proofErr w:type="gramEnd"/>
            <w:r w:rsidRPr="000C5E05">
              <w:rPr>
                <w:rFonts w:ascii="Times New Roman" w:eastAsia="Malgun Gothic" w:hAnsi="Times New Roman" w:cs="Times New Roman"/>
                <w:sz w:val="20"/>
                <w:szCs w:val="18"/>
              </w:rPr>
              <w:t xml:space="preserve">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proofErr w:type="gramStart"/>
            <w:r w:rsidRPr="000C5E05">
              <w:rPr>
                <w:rFonts w:ascii="Times New Roman" w:eastAsia="Malgun Gothic" w:hAnsi="Times New Roman" w:cs="Times New Roman"/>
                <w:sz w:val="20"/>
                <w:szCs w:val="18"/>
              </w:rPr>
              <w:t>So</w:t>
            </w:r>
            <w:proofErr w:type="gramEnd"/>
            <w:r w:rsidRPr="000C5E05">
              <w:rPr>
                <w:rFonts w:ascii="Times New Roman" w:eastAsia="Malgun Gothic" w:hAnsi="Times New Roman" w:cs="Times New Roman"/>
                <w:sz w:val="20"/>
                <w:szCs w:val="18"/>
              </w:rPr>
              <w:t xml:space="preserve">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 xml:space="preserve">is </w:t>
            </w:r>
            <w:proofErr w:type="gramStart"/>
            <w:r w:rsidRPr="000C5E05">
              <w:rPr>
                <w:rFonts w:ascii="Times New Roman" w:hAnsi="Times New Roman" w:cs="Times New Roman"/>
                <w:strike/>
                <w:color w:val="FF0000"/>
                <w:sz w:val="20"/>
                <w:szCs w:val="20"/>
              </w:rPr>
              <w:t>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roofErr w:type="gramEnd"/>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 xml:space="preserve">[Mod: Added FFS on UE cap on the sub-bullet of the second bullet. This should address your point. Details on UE cap </w:t>
            </w:r>
            <w:proofErr w:type="gramStart"/>
            <w:r w:rsidRPr="000C5E05">
              <w:rPr>
                <w:rFonts w:ascii="Times New Roman" w:hAnsi="Times New Roman" w:cs="Times New Roman"/>
                <w:color w:val="FF0000"/>
                <w:sz w:val="18"/>
                <w:szCs w:val="20"/>
              </w:rPr>
              <w:t>are</w:t>
            </w:r>
            <w:proofErr w:type="gramEnd"/>
            <w:r w:rsidRPr="000C5E05">
              <w:rPr>
                <w:rFonts w:ascii="Times New Roman" w:hAnsi="Times New Roman" w:cs="Times New Roman"/>
                <w:color w:val="FF0000"/>
                <w:sz w:val="18"/>
                <w:szCs w:val="20"/>
              </w:rPr>
              <w:t xml:space="preserv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 xml:space="preserve">(From ROUND 1) In our view, it is not needed because none of proposal 1.4/1.5/1.6 propose to restrict TCI states that can be configured to a channel or reference signal.  Any TCI state in the configured pool can be configured to a channel or CSI-RS </w:t>
            </w:r>
            <w:proofErr w:type="gramStart"/>
            <w:r w:rsidRPr="000C5E05">
              <w:rPr>
                <w:rFonts w:ascii="Times New Roman" w:hAnsi="Times New Roman" w:cs="Times New Roman"/>
                <w:sz w:val="18"/>
              </w:rPr>
              <w:t>as long as</w:t>
            </w:r>
            <w:proofErr w:type="gramEnd"/>
            <w:r w:rsidRPr="000C5E05">
              <w:rPr>
                <w:rFonts w:ascii="Times New Roman" w:hAnsi="Times New Roman" w:cs="Times New Roman"/>
                <w:sz w:val="18"/>
              </w:rPr>
              <w:t xml:space="preserve">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proofErr w:type="gramStart"/>
      <w:r w:rsidRPr="000C5E05">
        <w:rPr>
          <w:rFonts w:ascii="Times New Roman" w:hAnsi="Times New Roman" w:cs="Times New Roman"/>
          <w:i/>
          <w:sz w:val="20"/>
          <w:szCs w:val="20"/>
        </w:rPr>
        <w:t>Current status</w:t>
      </w:r>
      <w:proofErr w:type="gramEnd"/>
      <w:r w:rsidRPr="000C5E05">
        <w:rPr>
          <w:rFonts w:ascii="Times New Roman" w:hAnsi="Times New Roman" w:cs="Times New Roman"/>
          <w:i/>
          <w:sz w:val="20"/>
          <w:szCs w:val="20"/>
        </w:rPr>
        <w:t xml:space="preserve">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 xml:space="preserve">For Proposal 2.2, we suggest the same change for CSI-RS for mobility/RRM, since “associated with” may have different interpretations. Also, we are fine to put CSI-RS for BM as </w:t>
            </w:r>
            <w:proofErr w:type="gramStart"/>
            <w:r w:rsidRPr="000C5E05">
              <w:rPr>
                <w:rFonts w:ascii="Times New Roman" w:hAnsi="Times New Roman" w:cs="Times New Roman"/>
                <w:sz w:val="16"/>
              </w:rPr>
              <w:t>FFS, since</w:t>
            </w:r>
            <w:proofErr w:type="gramEnd"/>
            <w:r w:rsidRPr="000C5E05">
              <w:rPr>
                <w:rFonts w:ascii="Times New Roman" w:hAnsi="Times New Roman" w:cs="Times New Roman"/>
                <w:sz w:val="16"/>
              </w:rPr>
              <w:t xml:space="preserv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2.1, as we mentioned many </w:t>
            </w:r>
            <w:proofErr w:type="gramStart"/>
            <w:r w:rsidRPr="000C5E05">
              <w:rPr>
                <w:rFonts w:ascii="Times New Roman" w:eastAsia="PMingLiU" w:hAnsi="Times New Roman" w:cs="Times New Roman"/>
                <w:sz w:val="18"/>
                <w:szCs w:val="18"/>
                <w:lang w:eastAsia="zh-TW"/>
              </w:rPr>
              <w:t>time</w:t>
            </w:r>
            <w:proofErr w:type="gramEnd"/>
            <w:r w:rsidRPr="000C5E05">
              <w:rPr>
                <w:rFonts w:ascii="Times New Roman" w:eastAsia="PMingLiU" w:hAnsi="Times New Roman" w:cs="Times New Roman"/>
                <w:sz w:val="18"/>
                <w:szCs w:val="18"/>
                <w:lang w:eastAsia="zh-TW"/>
              </w:rPr>
              <w:t xml:space="preserv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 xml:space="preserve">y the difference of </w:t>
            </w:r>
            <w:proofErr w:type="gramStart"/>
            <w:r w:rsidRPr="000C5E05">
              <w:rPr>
                <w:rFonts w:ascii="Times New Roman" w:eastAsia="PMingLiU" w:hAnsi="Times New Roman" w:cs="Times New Roman"/>
                <w:sz w:val="18"/>
                <w:szCs w:val="18"/>
                <w:lang w:eastAsia="zh-CN"/>
              </w:rPr>
              <w:t>“</w:t>
            </w:r>
            <w:r w:rsidR="00275634" w:rsidRPr="000C5E05">
              <w:rPr>
                <w:rFonts w:ascii="Times New Roman" w:eastAsia="PMingLiU" w:hAnsi="Times New Roman" w:cs="Times New Roman"/>
                <w:sz w:val="18"/>
                <w:szCs w:val="18"/>
                <w:lang w:eastAsia="zh-CN"/>
              </w:rPr>
              <w:t xml:space="preserve"> …</w:t>
            </w:r>
            <w:proofErr w:type="gramEnd"/>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w:t>
            </w:r>
            <w:proofErr w:type="gramStart"/>
            <w:r w:rsidR="00155550" w:rsidRPr="000C5E05">
              <w:rPr>
                <w:rFonts w:ascii="Times New Roman" w:eastAsia="PMingLiU" w:hAnsi="Times New Roman" w:cs="Times New Roman"/>
                <w:sz w:val="18"/>
                <w:szCs w:val="18"/>
                <w:lang w:eastAsia="zh-CN"/>
              </w:rPr>
              <w:t>“ and</w:t>
            </w:r>
            <w:proofErr w:type="gramEnd"/>
            <w:r w:rsidR="00155550" w:rsidRPr="000C5E05">
              <w:rPr>
                <w:rFonts w:ascii="Times New Roman" w:eastAsia="PMingLiU" w:hAnsi="Times New Roman" w:cs="Times New Roman"/>
                <w:sz w:val="18"/>
                <w:szCs w:val="18"/>
                <w:lang w:eastAsia="zh-CN"/>
              </w:rPr>
              <w:t xml:space="preserve">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xml:space="preserve">. </w:t>
            </w:r>
            <w:proofErr w:type="gramStart"/>
            <w:r w:rsidR="00D05342" w:rsidRPr="000C5E05">
              <w:rPr>
                <w:rFonts w:ascii="Times New Roman" w:eastAsia="PMingLiU" w:hAnsi="Times New Roman" w:cs="Times New Roman"/>
                <w:sz w:val="18"/>
                <w:szCs w:val="18"/>
                <w:lang w:eastAsia="zh-CN"/>
              </w:rPr>
              <w:t>So</w:t>
            </w:r>
            <w:proofErr w:type="gramEnd"/>
            <w:r w:rsidR="00D05342" w:rsidRPr="000C5E05">
              <w:rPr>
                <w:rFonts w:ascii="Times New Roman" w:eastAsia="PMingLiU" w:hAnsi="Times New Roman" w:cs="Times New Roman"/>
                <w:sz w:val="18"/>
                <w:szCs w:val="18"/>
                <w:lang w:eastAsia="zh-CN"/>
              </w:rPr>
              <w:t xml:space="preserve">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 xml:space="preserve">[Mod: If I understand correctly (this wording came from the inputs in the previous rounds), an RS can be configured for the SC but QCLed with a non-serving SSB. Or it can be simply an RS configured for </w:t>
            </w:r>
            <w:proofErr w:type="gramStart"/>
            <w:r w:rsidRPr="000C5E05">
              <w:rPr>
                <w:rFonts w:ascii="Times New Roman" w:hAnsi="Times New Roman" w:cs="Times New Roman"/>
                <w:color w:val="000000" w:themeColor="text1"/>
                <w:sz w:val="18"/>
                <w:szCs w:val="18"/>
                <w:lang w:eastAsia="zh-CN"/>
              </w:rPr>
              <w:t>a</w:t>
            </w:r>
            <w:proofErr w:type="gramEnd"/>
            <w:r w:rsidRPr="000C5E05">
              <w:rPr>
                <w:rFonts w:ascii="Times New Roman" w:hAnsi="Times New Roman" w:cs="Times New Roman"/>
                <w:color w:val="000000" w:themeColor="text1"/>
                <w:sz w:val="18"/>
                <w:szCs w:val="18"/>
                <w:lang w:eastAsia="zh-CN"/>
              </w:rPr>
              <w:t xml:space="preserve">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proofErr w:type="gramStart"/>
            <w:r w:rsidRPr="000C5E05">
              <w:rPr>
                <w:rFonts w:ascii="Times New Roman" w:eastAsia="Malgun Gothic" w:hAnsi="Times New Roman" w:cs="Times New Roman"/>
                <w:sz w:val="18"/>
                <w:szCs w:val="18"/>
                <w:lang w:val="en-GB"/>
              </w:rPr>
              <w:t>So</w:t>
            </w:r>
            <w:proofErr w:type="gramEnd"/>
            <w:r w:rsidRPr="000C5E05">
              <w:rPr>
                <w:rFonts w:ascii="Times New Roman" w:eastAsia="Malgun Gothic" w:hAnsi="Times New Roman" w:cs="Times New Roman"/>
                <w:sz w:val="18"/>
                <w:szCs w:val="18"/>
                <w:lang w:val="en-GB"/>
              </w:rPr>
              <w:t xml:space="preserve">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[Mod: The Note is now removed per inputs from </w:t>
            </w:r>
            <w:proofErr w:type="gramStart"/>
            <w:r w:rsidRPr="000C5E05">
              <w:rPr>
                <w:rFonts w:ascii="Times New Roman" w:eastAsia="Malgun Gothic" w:hAnsi="Times New Roman" w:cs="Times New Roman"/>
                <w:sz w:val="18"/>
                <w:szCs w:val="18"/>
              </w:rPr>
              <w:t>a number of</w:t>
            </w:r>
            <w:proofErr w:type="gramEnd"/>
            <w:r w:rsidRPr="000C5E05">
              <w:rPr>
                <w:rFonts w:ascii="Times New Roman" w:eastAsia="Malgun Gothic" w:hAnsi="Times New Roman" w:cs="Times New Roman"/>
                <w:sz w:val="18"/>
                <w:szCs w:val="18"/>
              </w:rPr>
              <w:t xml:space="preserve">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w:t>
            </w:r>
            <w:proofErr w:type="gramStart"/>
            <w:r w:rsidRPr="000C5E05">
              <w:rPr>
                <w:rFonts w:ascii="Times New Roman" w:hAnsi="Times New Roman" w:cs="Times New Roman"/>
                <w:sz w:val="18"/>
                <w:szCs w:val="18"/>
                <w:lang w:eastAsia="zh-CN"/>
              </w:rPr>
              <w:t>Support, since</w:t>
            </w:r>
            <w:proofErr w:type="gramEnd"/>
            <w:r w:rsidRPr="000C5E05">
              <w:rPr>
                <w:rFonts w:ascii="Times New Roman" w:hAnsi="Times New Roman" w:cs="Times New Roman"/>
                <w:sz w:val="18"/>
                <w:szCs w:val="18"/>
                <w:lang w:eastAsia="zh-CN"/>
              </w:rPr>
              <w:t xml:space="preserv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The note is related to RAN2’s decision on L1/L2-centric intercell mobility. Clarification from RAN2 is required. We suggest </w:t>
            </w:r>
            <w:proofErr w:type="gramStart"/>
            <w:r w:rsidRPr="000C5E05">
              <w:rPr>
                <w:rFonts w:ascii="Times New Roman" w:eastAsia="Malgun Gothic" w:hAnsi="Times New Roman" w:cs="Times New Roman"/>
                <w:sz w:val="18"/>
                <w:szCs w:val="18"/>
              </w:rPr>
              <w:t>to put</w:t>
            </w:r>
            <w:proofErr w:type="gramEnd"/>
            <w:r w:rsidRPr="000C5E05">
              <w:rPr>
                <w:rFonts w:ascii="Times New Roman" w:eastAsia="Malgun Gothic" w:hAnsi="Times New Roman" w:cs="Times New Roman"/>
                <w:sz w:val="18"/>
                <w:szCs w:val="18"/>
              </w:rPr>
              <w:t xml:space="preserve">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5098B002" w14:textId="4285D5B2" w:rsidR="005C5DC1" w:rsidRPr="000C5E05" w:rsidRDefault="005C5DC1"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0C5E05">
        <w:rPr>
          <w:rFonts w:ascii="Times New Roman" w:hAnsi="Times New Roman" w:cs="Times New Roman"/>
          <w:sz w:val="20"/>
          <w:szCs w:val="20"/>
        </w:rPr>
        <w:t>For TCI state activation and indication, following cases are included (via NW implementation):</w:t>
      </w:r>
    </w:p>
    <w:p w14:paraId="0CA50EED"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At least one activated TCI state is associated with joint TCI and at least another activated TCI state is associated with separate DL/UL TCI</w:t>
      </w:r>
      <w:r w:rsidRPr="000C5E05">
        <w:rPr>
          <w:rFonts w:ascii="Times New Roman" w:eastAsia="Times New Roman" w:hAnsi="Times New Roman" w:cs="Times New Roman"/>
        </w:rPr>
        <w:t xml:space="preserve"> </w:t>
      </w:r>
    </w:p>
    <w:p w14:paraId="333A578A" w14:textId="1FE580AB"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TCI field in DCI formats 1_1/1_2 used for beam indication can indicate a TCI state(s) associated with either joint TCI or separate DL/UL TCI. </w:t>
      </w:r>
    </w:p>
    <w:p w14:paraId="603D20DF" w14:textId="77777777" w:rsidR="005C5DC1" w:rsidRPr="000C5E05" w:rsidRDefault="005C5DC1" w:rsidP="00C22397">
      <w:pPr>
        <w:numPr>
          <w:ilvl w:val="2"/>
          <w:numId w:val="29"/>
        </w:numPr>
        <w:snapToGrid w:val="0"/>
        <w:jc w:val="both"/>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rPr>
        <w:t>Activation of TCI states where at least one activated TCI state is associated with joint TCI and at least another activated TCI state is associated with separate DL /UL TCI is an optional UE capability</w:t>
      </w:r>
    </w:p>
    <w:p w14:paraId="2422FFC1"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All the activated TCI states are associated with joint TCI</w:t>
      </w:r>
      <w:r w:rsidRPr="000C5E05">
        <w:rPr>
          <w:rFonts w:ascii="Times New Roman" w:eastAsia="Times New Roman" w:hAnsi="Times New Roman" w:cs="Times New Roman"/>
        </w:rPr>
        <w:t xml:space="preserve"> </w:t>
      </w:r>
    </w:p>
    <w:p w14:paraId="6DBA4270" w14:textId="0540BED4"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TCI field in DCI formats 1_1/1_2 used for beam indication can indicate only a TCI state associated with joint TCI</w:t>
      </w:r>
    </w:p>
    <w:p w14:paraId="1D93ACCA" w14:textId="77777777" w:rsidR="005C5DC1" w:rsidRPr="000C5E05" w:rsidRDefault="005C5DC1" w:rsidP="00C22397">
      <w:pPr>
        <w:numPr>
          <w:ilvl w:val="0"/>
          <w:numId w:val="30"/>
        </w:numPr>
        <w:snapToGrid w:val="0"/>
        <w:ind w:left="1440"/>
        <w:jc w:val="both"/>
        <w:rPr>
          <w:rFonts w:ascii="Times New Roman" w:hAnsi="Times New Roman" w:cs="Times New Roman"/>
          <w:sz w:val="20"/>
          <w:szCs w:val="20"/>
        </w:rPr>
      </w:pPr>
      <w:r w:rsidRPr="000C5E05">
        <w:rPr>
          <w:rFonts w:ascii="Times New Roman" w:hAnsi="Times New Roman" w:cs="Times New Roman"/>
          <w:sz w:val="20"/>
          <w:szCs w:val="20"/>
        </w:rPr>
        <w:t>All the activated TCI states are associated with separate DL /UL TCI</w:t>
      </w:r>
    </w:p>
    <w:p w14:paraId="45587CA7" w14:textId="5A6F91FF" w:rsidR="005C5DC1" w:rsidRPr="000C5E05" w:rsidRDefault="005C5DC1" w:rsidP="00C22397">
      <w:pPr>
        <w:numPr>
          <w:ilvl w:val="1"/>
          <w:numId w:val="30"/>
        </w:numPr>
        <w:snapToGrid w:val="0"/>
        <w:ind w:left="2160"/>
        <w:jc w:val="both"/>
        <w:rPr>
          <w:rFonts w:ascii="Times New Roman" w:hAnsi="Times New Roman" w:cs="Times New Roman"/>
          <w:sz w:val="20"/>
          <w:szCs w:val="20"/>
        </w:rPr>
      </w:pPr>
      <w:r w:rsidRPr="000C5E05">
        <w:rPr>
          <w:rFonts w:ascii="Times New Roman" w:hAnsi="Times New Roman" w:cs="Times New Roman"/>
          <w:sz w:val="20"/>
          <w:szCs w:val="20"/>
        </w:rPr>
        <w:t>The TCI field in DCI formats 1_1/1_2 used for beam indication can only indicate TCI state(s) associated with separate DL /UL TCI</w:t>
      </w:r>
    </w:p>
    <w:p w14:paraId="2F6A988E" w14:textId="77777777" w:rsidR="005C5DC1" w:rsidRPr="000C5E05"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szCs w:val="20"/>
        </w:rPr>
      </w:pPr>
      <w:r w:rsidRPr="000C5E05">
        <w:rPr>
          <w:rFonts w:ascii="Times New Roman" w:hAnsi="Times New Roman" w:cs="Times New Roman"/>
        </w:rPr>
        <w:t>Detailed MAC-CE-based design for the above functionality is up to RAN2</w:t>
      </w:r>
    </w:p>
    <w:p w14:paraId="276B4CD7" w14:textId="77777777" w:rsidR="005C5DC1" w:rsidRPr="000C5E05"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rPr>
      </w:pPr>
      <w:r w:rsidRPr="000C5E05">
        <w:rPr>
          <w:rFonts w:ascii="Times New Roman" w:hAnsi="Times New Roman" w:cs="Times New Roman"/>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 xml:space="preserve">OptB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7D451CA8"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r w:rsidR="00F54C19" w:rsidRPr="000C5E05">
              <w:rPr>
                <w:rFonts w:ascii="Times New Roman" w:eastAsia="DengXian" w:hAnsi="Times New Roman" w:cs="Times New Roman"/>
                <w:sz w:val="18"/>
                <w:szCs w:val="18"/>
                <w:lang w:eastAsia="zh-CN"/>
              </w:rPr>
              <w:t xml:space="preserve">Qualcomm,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ZTE</w:t>
            </w:r>
          </w:p>
          <w:p w14:paraId="6A7F0BD2" w14:textId="7CA19555"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Concern: </w:t>
            </w:r>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6021BF06" w:rsidR="0064290F" w:rsidRPr="00B1595F" w:rsidRDefault="00B1595F"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Another </w:t>
            </w:r>
            <w:proofErr w:type="gramStart"/>
            <w:r>
              <w:rPr>
                <w:rFonts w:ascii="Times New Roman" w:eastAsia="PMingLiU" w:hAnsi="Times New Roman" w:cs="Times New Roman"/>
                <w:sz w:val="18"/>
                <w:szCs w:val="18"/>
                <w:lang w:eastAsia="zh-TW"/>
              </w:rPr>
              <w:t>observations</w:t>
            </w:r>
            <w:proofErr w:type="gramEnd"/>
            <w:r>
              <w:rPr>
                <w:rFonts w:ascii="Times New Roman" w:eastAsia="PMingLiU" w:hAnsi="Times New Roman" w:cs="Times New Roman"/>
                <w:sz w:val="18"/>
                <w:szCs w:val="18"/>
                <w:lang w:eastAsia="zh-TW"/>
              </w:rPr>
              <w:t xml:space="preserve"> is that the configuration examples described above are more indicative for the RAN2 implementation and not binding to such particular configuration, so it is more for the detailed MAC-CE design to take this into consideration. We could support such direction. </w:t>
            </w:r>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OptB.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PMingLiU" w:hAnsi="Times New Roman" w:cs="Times New Roman"/>
                <w:sz w:val="18"/>
                <w:szCs w:val="18"/>
                <w:lang w:eastAsia="zh-TW"/>
              </w:rPr>
              <w:t>HetNet</w:t>
            </w:r>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41CC779D" w14:textId="56C31B88" w:rsidR="00C94300" w:rsidRPr="000C5E05"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4. In addition, on modified OptB, we are not sure whether it is a good idea to mix companies’ views on “support” and “</w:t>
            </w:r>
            <w:proofErr w:type="gramStart"/>
            <w:r>
              <w:rPr>
                <w:rFonts w:ascii="Times New Roman" w:eastAsia="PMingLiU" w:hAnsi="Times New Roman" w:cs="Times New Roman"/>
                <w:sz w:val="18"/>
                <w:szCs w:val="18"/>
                <w:lang w:eastAsia="zh-TW"/>
              </w:rPr>
              <w:t>ok”…</w:t>
            </w:r>
            <w:proofErr w:type="gramEnd"/>
            <w:r>
              <w:rPr>
                <w:rFonts w:ascii="Times New Roman" w:eastAsia="PMingLiU" w:hAnsi="Times New Roman" w:cs="Times New Roman"/>
                <w:sz w:val="18"/>
                <w:szCs w:val="18"/>
                <w:lang w:eastAsia="zh-TW"/>
              </w:rPr>
              <w:t xml:space="preserve"> </w:t>
            </w:r>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w:t>
            </w:r>
            <w:proofErr w:type="gramStart"/>
            <w:r w:rsidRPr="00A606C2">
              <w:rPr>
                <w:rFonts w:ascii="Times New Roman" w:eastAsia="PMingLiU" w:hAnsi="Times New Roman" w:cs="Times New Roman"/>
                <w:sz w:val="18"/>
                <w:szCs w:val="18"/>
                <w:lang w:eastAsia="zh-TW"/>
              </w:rPr>
              <w:t>Similar to</w:t>
            </w:r>
            <w:proofErr w:type="gramEnd"/>
            <w:r w:rsidRPr="00A606C2">
              <w:rPr>
                <w:rFonts w:ascii="Times New Roman" w:eastAsia="PMingLiU" w:hAnsi="Times New Roman" w:cs="Times New Roman"/>
                <w:sz w:val="18"/>
                <w:szCs w:val="18"/>
                <w:lang w:eastAsia="zh-TW"/>
              </w:rPr>
              <w:t xml:space="preserve">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proofErr w:type="gramStart"/>
            <w:r w:rsidRPr="00A606C2">
              <w:rPr>
                <w:rFonts w:ascii="Times New Roman" w:eastAsia="PMingLiU" w:hAnsi="Times New Roman" w:cs="Times New Roman"/>
                <w:sz w:val="18"/>
                <w:szCs w:val="18"/>
                <w:lang w:eastAsia="zh-TW"/>
              </w:rPr>
              <w:t>So</w:t>
            </w:r>
            <w:proofErr w:type="gramEnd"/>
            <w:r w:rsidRPr="00A606C2">
              <w:rPr>
                <w:rFonts w:ascii="Times New Roman" w:eastAsia="PMingLiU" w:hAnsi="Times New Roman" w:cs="Times New Roman"/>
                <w:sz w:val="18"/>
                <w:szCs w:val="18"/>
                <w:lang w:eastAsia="zh-TW"/>
              </w:rPr>
              <w:t xml:space="preserve">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proofErr w:type="gramStart"/>
            <w:r w:rsidRPr="00A606C2">
              <w:rPr>
                <w:rFonts w:ascii="Times New Roman" w:eastAsia="PMingLiU" w:hAnsi="Times New Roman" w:cs="Times New Roman"/>
                <w:sz w:val="18"/>
                <w:szCs w:val="18"/>
                <w:lang w:eastAsia="zh-TW"/>
              </w:rPr>
              <w:t>Also</w:t>
            </w:r>
            <w:proofErr w:type="gramEnd"/>
            <w:r w:rsidRPr="00A606C2">
              <w:rPr>
                <w:rFonts w:ascii="Times New Roman" w:eastAsia="PMingLiU" w:hAnsi="Times New Roman" w:cs="Times New Roman"/>
                <w:sz w:val="18"/>
                <w:szCs w:val="18"/>
                <w:lang w:eastAsia="zh-TW"/>
              </w:rPr>
              <w:t xml:space="preserve">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t xml:space="preserve">Simultaneous </w:t>
            </w:r>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lastRenderedPageBreak/>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C279A58" w:rsidR="00A606C2" w:rsidRDefault="00A606C2" w:rsidP="00C94300">
            <w:pPr>
              <w:snapToGrid w:val="0"/>
              <w:jc w:val="both"/>
              <w:rPr>
                <w:rFonts w:ascii="Times New Roman" w:eastAsia="PMingLiU" w:hAnsi="Times New Roman" w:cs="Times New Roman"/>
                <w:sz w:val="18"/>
                <w:szCs w:val="18"/>
                <w:lang w:eastAsia="zh-TW"/>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F64C78"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{Rel.16 P-MPR based (TCI or SSBRI/CRI-specific)} + Virtual PHR or a modified version</w:t>
      </w:r>
      <w:r w:rsidRPr="00F64C78">
        <w:rPr>
          <w:rFonts w:ascii="Times New Roman" w:hAnsi="Times New Roman" w:cs="Times New Roman" w:hint="eastAsia"/>
          <w:sz w:val="20"/>
        </w:rPr>
        <w:t xml:space="preserve"> </w:t>
      </w:r>
    </w:p>
    <w:p w14:paraId="43986CE9"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The reporting reuses the event-driven mechanisms from the Rel-16 P-MPR reporting</w:t>
      </w:r>
    </w:p>
    <w:p w14:paraId="40A9EA57"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FFS: Definition of virtual PHR and how it is used</w:t>
      </w:r>
    </w:p>
    <w:p w14:paraId="518FE54B" w14:textId="77777777" w:rsidR="00707ACD" w:rsidRPr="00F64C78"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 xml:space="preserve">Opt2A. </w:t>
      </w:r>
      <w:r w:rsidRPr="00F64C78">
        <w:rPr>
          <w:rFonts w:ascii="Times New Roman" w:hAnsi="Times New Roman" w:cs="Times New Roman"/>
          <w:color w:val="FF0000"/>
          <w:sz w:val="20"/>
        </w:rPr>
        <w:t xml:space="preserve">Reporting at least </w:t>
      </w:r>
      <w:r w:rsidRPr="00F64C78">
        <w:rPr>
          <w:rFonts w:ascii="Times New Roman" w:hAnsi="Times New Roman" w:cs="Times New Roman"/>
          <w:sz w:val="20"/>
        </w:rPr>
        <w:t xml:space="preserve">{SSBRI(s)/CRI(s)} (beam/panel level) </w:t>
      </w:r>
      <w:r w:rsidRPr="00F64C78">
        <w:rPr>
          <w:rFonts w:ascii="Times New Roman" w:hAnsi="Times New Roman" w:cs="Times New Roman"/>
          <w:color w:val="FF0000"/>
          <w:sz w:val="20"/>
        </w:rPr>
        <w:t>to indicate gNB beam(s) that are preferred for UL transmission in NW-initiated CSI-report on PUCCH/PUSCH</w:t>
      </w:r>
    </w:p>
    <w:p w14:paraId="185C5859" w14:textId="77777777" w:rsidR="00707ACD" w:rsidRPr="00F64C78" w:rsidRDefault="00707ACD" w:rsidP="00707ACD">
      <w:pPr>
        <w:numPr>
          <w:ilvl w:val="1"/>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Down-select one option from the followings by RAN1#106-e:</w:t>
      </w:r>
      <w:r w:rsidRPr="00F64C78">
        <w:rPr>
          <w:rFonts w:ascii="Times New Roman" w:hAnsi="Times New Roman" w:cs="Times New Roman" w:hint="eastAsia"/>
          <w:color w:val="FF0000"/>
          <w:sz w:val="20"/>
        </w:rPr>
        <w:t xml:space="preserve"> </w:t>
      </w:r>
    </w:p>
    <w:p w14:paraId="29B6099A"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 xml:space="preserve">FFS: how the offsetting L1-RSRP is calculated </w:t>
      </w:r>
      <w:proofErr w:type="gramStart"/>
      <w:r w:rsidRPr="00F64C78">
        <w:rPr>
          <w:rFonts w:ascii="Times New Roman" w:hAnsi="Times New Roman" w:cs="Times New Roman"/>
          <w:color w:val="FF0000"/>
          <w:sz w:val="20"/>
        </w:rPr>
        <w:t>with regard to</w:t>
      </w:r>
      <w:proofErr w:type="gramEnd"/>
      <w:r w:rsidRPr="00F64C78">
        <w:rPr>
          <w:rFonts w:ascii="Times New Roman" w:hAnsi="Times New Roman" w:cs="Times New Roman"/>
          <w:color w:val="FF0000"/>
          <w:sz w:val="20"/>
        </w:rPr>
        <w:t xml:space="preserve"> MPE effect</w:t>
      </w:r>
    </w:p>
    <w:p w14:paraId="261DD008"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Alt2: In a single reporting instance, reporting SSBRI(s)/CRI(s) to indicate gNB beams that is preferred for UL transmission</w:t>
      </w:r>
      <w:r>
        <w:rPr>
          <w:rFonts w:ascii="Times New Roman" w:hAnsi="Times New Roman" w:cs="Times New Roman"/>
          <w:color w:val="FF0000"/>
          <w:sz w:val="20"/>
        </w:rPr>
        <w:t>, DL reception (only), or both </w:t>
      </w:r>
      <w:r w:rsidRPr="00F64C78">
        <w:rPr>
          <w:rFonts w:ascii="Times New Roman" w:hAnsi="Times New Roman" w:cs="Times New Roman"/>
          <w:color w:val="FF0000"/>
          <w:sz w:val="20"/>
        </w:rPr>
        <w:t xml:space="preserve">+ L1-RSRP associated with the SSBRI(s)/CRI(s) + virtual PHR or a modified version </w:t>
      </w:r>
    </w:p>
    <w:p w14:paraId="60C291BB"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35D9012"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virtual PHR or a modified version, reuse the same definition in Opt1A</w:t>
      </w:r>
    </w:p>
    <w:p w14:paraId="576CD3E9"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to inform NW whether a virtual PHR or a modified version is reported or not</w:t>
      </w:r>
    </w:p>
    <w:p w14:paraId="050A7587"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Alt3: In a single reporting instance, reporting SSBRI(s)/CRI(s) to indicate gNB beams that is preferred for UL transmission, DL reception (only), or both + L1-RSRP associated with the SSBRI(s)/CRI(s)</w:t>
      </w:r>
    </w:p>
    <w:p w14:paraId="7D4B7463"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to inform NW whether a reported SSBRI/CRI is preferred for UL transmission or preferred for DL reception (only)</w:t>
      </w:r>
    </w:p>
    <w:p w14:paraId="52BCEA95" w14:textId="77777777" w:rsidR="00707ACD" w:rsidRPr="00F64C78" w:rsidRDefault="00707ACD" w:rsidP="00707ACD">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BBAA5" w14:textId="77777777" w:rsidR="001D7593" w:rsidRDefault="001D7593">
      <w:r>
        <w:separator/>
      </w:r>
    </w:p>
  </w:endnote>
  <w:endnote w:type="continuationSeparator" w:id="0">
    <w:p w14:paraId="31224E29" w14:textId="77777777" w:rsidR="001D7593" w:rsidRDefault="001D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5DD2E" w14:textId="77777777" w:rsidR="001D7593" w:rsidRDefault="001D7593">
      <w:r>
        <w:rPr>
          <w:color w:val="000000"/>
        </w:rPr>
        <w:separator/>
      </w:r>
    </w:p>
  </w:footnote>
  <w:footnote w:type="continuationSeparator" w:id="0">
    <w:p w14:paraId="7042DE56" w14:textId="77777777" w:rsidR="001D7593" w:rsidRDefault="001D7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7"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0"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
  </w:num>
  <w:num w:numId="4">
    <w:abstractNumId w:val="12"/>
  </w:num>
  <w:num w:numId="5">
    <w:abstractNumId w:val="21"/>
  </w:num>
  <w:num w:numId="6">
    <w:abstractNumId w:val="28"/>
  </w:num>
  <w:num w:numId="7">
    <w:abstractNumId w:val="6"/>
  </w:num>
  <w:num w:numId="8">
    <w:abstractNumId w:val="18"/>
  </w:num>
  <w:num w:numId="9">
    <w:abstractNumId w:val="22"/>
  </w:num>
  <w:num w:numId="10">
    <w:abstractNumId w:val="8"/>
  </w:num>
  <w:num w:numId="11">
    <w:abstractNumId w:val="15"/>
  </w:num>
  <w:num w:numId="12">
    <w:abstractNumId w:val="24"/>
  </w:num>
  <w:num w:numId="13">
    <w:abstractNumId w:val="22"/>
  </w:num>
  <w:num w:numId="14">
    <w:abstractNumId w:val="11"/>
  </w:num>
  <w:num w:numId="15">
    <w:abstractNumId w:val="4"/>
  </w:num>
  <w:num w:numId="16">
    <w:abstractNumId w:val="4"/>
  </w:num>
  <w:num w:numId="17">
    <w:abstractNumId w:val="13"/>
  </w:num>
  <w:num w:numId="18">
    <w:abstractNumId w:val="1"/>
  </w:num>
  <w:num w:numId="19">
    <w:abstractNumId w:val="14"/>
  </w:num>
  <w:num w:numId="20">
    <w:abstractNumId w:val="27"/>
  </w:num>
  <w:num w:numId="21">
    <w:abstractNumId w:val="19"/>
  </w:num>
  <w:num w:numId="22">
    <w:abstractNumId w:val="20"/>
  </w:num>
  <w:num w:numId="23">
    <w:abstractNumId w:val="16"/>
  </w:num>
  <w:num w:numId="24">
    <w:abstractNumId w:val="24"/>
  </w:num>
  <w:num w:numId="25">
    <w:abstractNumId w:val="23"/>
  </w:num>
  <w:num w:numId="26">
    <w:abstractNumId w:val="17"/>
  </w:num>
  <w:num w:numId="27">
    <w:abstractNumId w:val="3"/>
  </w:num>
  <w:num w:numId="28">
    <w:abstractNumId w:val="29"/>
  </w:num>
  <w:num w:numId="29">
    <w:abstractNumId w:val="9"/>
  </w:num>
  <w:num w:numId="30">
    <w:abstractNumId w:val="26"/>
  </w:num>
  <w:num w:numId="31">
    <w:abstractNumId w:val="7"/>
  </w:num>
  <w:num w:numId="32">
    <w:abstractNumId w:val="0"/>
  </w:num>
  <w:num w:numId="33">
    <w:abstractNumId w:val="9"/>
    <w:lvlOverride w:ilvl="0"/>
    <w:lvlOverride w:ilvl="1"/>
    <w:lvlOverride w:ilvl="2"/>
    <w:lvlOverride w:ilvl="3"/>
    <w:lvlOverride w:ilvl="4"/>
    <w:lvlOverride w:ilvl="5"/>
    <w:lvlOverride w:ilvl="6"/>
    <w:lvlOverride w:ilvl="7"/>
    <w:lvlOverride w:ilvl="8"/>
  </w:num>
  <w:num w:numId="34">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3A25"/>
    <w:rsid w:val="00C344DD"/>
    <w:rsid w:val="00C34692"/>
    <w:rsid w:val="00C34F48"/>
    <w:rsid w:val="00C36F0F"/>
    <w:rsid w:val="00C37B64"/>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C5CC7B3A-6805-4D63-835D-E70B20832FB3}">
  <ds:schemaRefs>
    <ds:schemaRef ds:uri="http://schemas.openxmlformats.org/officeDocument/2006/bibliography"/>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3ECE583D-5E86-42B3-8D4A-A74F6F9AB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7465</Words>
  <Characters>42557</Characters>
  <Application>Microsoft Office Word</Application>
  <DocSecurity>0</DocSecurity>
  <Lines>354</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15</cp:revision>
  <dcterms:created xsi:type="dcterms:W3CDTF">2021-05-25T22:44:00Z</dcterms:created>
  <dcterms:modified xsi:type="dcterms:W3CDTF">2021-05-26T01:13:00Z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