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0C5E05"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sidRPr="000C5E05">
        <w:rPr>
          <w:rFonts w:ascii="Times New Roman" w:eastAsia="Times New Roman" w:hAnsi="Times New Roman" w:cs="Times New Roman"/>
          <w:sz w:val="20"/>
          <w:szCs w:val="20"/>
          <w:shd w:val="clear" w:color="auto" w:fill="FFFFFF"/>
        </w:rPr>
        <w:t xml:space="preserve">r </w:t>
      </w:r>
      <w:r w:rsidRPr="000C5E05">
        <w:rPr>
          <w:rFonts w:ascii="Times New Roman" w:eastAsia="Times New Roman" w:hAnsi="Times New Roman" w:cs="Times New Roman"/>
          <w:sz w:val="20"/>
          <w:szCs w:val="20"/>
          <w:shd w:val="clear" w:color="auto" w:fill="FFFFFF"/>
        </w:rPr>
        <w:t>CC</w:t>
      </w:r>
    </w:p>
    <w:p w14:paraId="27B2277F" w14:textId="3CA9CF4F" w:rsidR="00792F40" w:rsidRPr="000C5E05" w:rsidRDefault="00792F40"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5982E470" w14:textId="0D827542" w:rsidR="00A55550" w:rsidRPr="000C5E05" w:rsidRDefault="00A55550"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p>
    <w:p w14:paraId="106B9985" w14:textId="72167C1F" w:rsidR="003F04CE" w:rsidRPr="000C5E05" w:rsidRDefault="003F04CE"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PMingLiU"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ListParagraph"/>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PMingLiU"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ListParagraph"/>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PMingLiU"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PMingLiU" w:hAnsi="Times New Roman" w:cs="Times New Roman"/>
                <w:sz w:val="18"/>
                <w:szCs w:val="18"/>
                <w:lang w:eastAsia="zh-TW"/>
              </w:rPr>
              <w:t xml:space="preserve"> to the proponents: </w:t>
            </w:r>
            <w:r w:rsidR="008958EF" w:rsidRPr="000C5E05">
              <w:rPr>
                <w:rFonts w:ascii="Times New Roman" w:eastAsia="PMingLiU" w:hAnsi="Times New Roman" w:cs="Times New Roman"/>
                <w:sz w:val="18"/>
                <w:szCs w:val="18"/>
                <w:lang w:eastAsia="zh-TW"/>
              </w:rPr>
              <w:t>take the</w:t>
            </w:r>
            <w:r w:rsidRPr="000C5E05">
              <w:rPr>
                <w:rFonts w:ascii="Times New Roman" w:eastAsia="PMingLiU" w:hAnsi="Times New Roman" w:cs="Times New Roman"/>
                <w:sz w:val="18"/>
                <w:szCs w:val="18"/>
                <w:lang w:eastAsia="zh-TW"/>
              </w:rPr>
              <w:t xml:space="preserve"> following example</w:t>
            </w:r>
            <w:r w:rsidR="008958EF" w:rsidRPr="000C5E05">
              <w:rPr>
                <w:rFonts w:ascii="Times New Roman" w:eastAsia="PMingLiU" w:hAnsi="Times New Roman" w:cs="Times New Roman"/>
                <w:sz w:val="18"/>
                <w:szCs w:val="18"/>
                <w:lang w:eastAsia="zh-TW"/>
              </w:rPr>
              <w:t>s</w:t>
            </w:r>
            <w:r w:rsidRPr="000C5E05">
              <w:rPr>
                <w:rFonts w:ascii="Times New Roman" w:eastAsia="PMingLiU" w:hAnsi="Times New Roman" w:cs="Times New Roman"/>
                <w:sz w:val="18"/>
                <w:szCs w:val="18"/>
                <w:lang w:eastAsia="zh-TW"/>
              </w:rPr>
              <w:t>:</w:t>
            </w:r>
          </w:p>
          <w:p w14:paraId="477667C1" w14:textId="283EEBFA"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PMingLiU"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ListParagraph"/>
              <w:numPr>
                <w:ilvl w:val="0"/>
                <w:numId w:val="21"/>
              </w:numPr>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PMingLiU"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 proposal 1.4: </w:t>
            </w:r>
            <w:r w:rsidR="007C2380" w:rsidRPr="000C5E05">
              <w:rPr>
                <w:rFonts w:ascii="Times New Roman" w:eastAsia="PMingLiU"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PMingLiU"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PMingLiU"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PMingLiU"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PMingLiU"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TW"/>
              </w:rPr>
              <w:lastRenderedPageBreak/>
              <w:t>Proposal 1.4</w:t>
            </w:r>
            <w:r w:rsidRPr="000C5E05">
              <w:rPr>
                <w:rFonts w:ascii="Times New Roman" w:eastAsia="PMingLiU" w:hAnsi="Times New Roman" w:cs="Times New Roman"/>
                <w:sz w:val="18"/>
                <w:szCs w:val="18"/>
                <w:lang w:eastAsia="zh-CN"/>
              </w:rPr>
              <w:t xml:space="preserve">: We suggest </w:t>
            </w:r>
            <w:r w:rsidR="00A53EA8" w:rsidRPr="000C5E05">
              <w:rPr>
                <w:rFonts w:ascii="Times New Roman" w:eastAsia="PMingLiU" w:hAnsi="Times New Roman" w:cs="Times New Roman"/>
                <w:sz w:val="18"/>
                <w:szCs w:val="18"/>
                <w:lang w:eastAsia="zh-CN"/>
              </w:rPr>
              <w:t>clean-up the proposal as follows</w:t>
            </w:r>
            <w:r w:rsidRPr="000C5E05">
              <w:rPr>
                <w:rFonts w:ascii="Times New Roman" w:eastAsia="PMingLiU" w:hAnsi="Times New Roman" w:cs="Times New Roman"/>
                <w:sz w:val="18"/>
                <w:szCs w:val="18"/>
                <w:lang w:eastAsia="zh-CN"/>
              </w:rPr>
              <w:t>.</w:t>
            </w:r>
            <w:r w:rsidR="00A53EA8" w:rsidRPr="000C5E05">
              <w:rPr>
                <w:rFonts w:ascii="Times New Roman" w:eastAsia="PMingLiU"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PMingLiU"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ListParagraph"/>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ListParagraph"/>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ListParagraph"/>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ListParagraph"/>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PMingLiU"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PMingLiU"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ListParagraph"/>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PMingLiU" w:hAnsi="Times New Roman" w:cs="Times New Roman"/>
                <w:sz w:val="20"/>
                <w:szCs w:val="18"/>
                <w:lang w:eastAsia="zh-TW"/>
              </w:rPr>
            </w:pPr>
            <w:r w:rsidRPr="000C5E05">
              <w:rPr>
                <w:rFonts w:ascii="Times New Roman" w:eastAsia="PMingLiU"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ListParagraph"/>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ListParagraph"/>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ListParagraph"/>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PMingLiU"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PMingLiU"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PMingLiU"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PMingLiU" w:hAnsi="Times New Roman" w:cs="Times New Roman"/>
                <w:b/>
                <w:sz w:val="18"/>
                <w:szCs w:val="18"/>
                <w:lang w:eastAsia="zh-CN"/>
              </w:rPr>
            </w:pPr>
            <w:r w:rsidRPr="000C5E05">
              <w:rPr>
                <w:rFonts w:ascii="Times New Roman" w:eastAsia="PMingLiU" w:hAnsi="Times New Roman" w:cs="Times New Roman"/>
                <w:b/>
                <w:color w:val="3333FF"/>
                <w:sz w:val="18"/>
                <w:szCs w:val="18"/>
                <w:lang w:eastAsia="zh-CN"/>
              </w:rPr>
              <w:t>The Note will not be added to proposal 1.6.</w:t>
            </w:r>
            <w:r w:rsidR="001D4B56" w:rsidRPr="000C5E05">
              <w:rPr>
                <w:rFonts w:ascii="Times New Roman" w:eastAsia="PMingLiU" w:hAnsi="Times New Roman" w:cs="Times New Roman"/>
                <w:b/>
                <w:color w:val="3333FF"/>
                <w:sz w:val="18"/>
                <w:szCs w:val="18"/>
                <w:lang w:eastAsia="zh-CN"/>
              </w:rPr>
              <w:t xml:space="preserve"> </w:t>
            </w:r>
            <w:r w:rsidR="001D4B56" w:rsidRPr="000C5E05">
              <w:rPr>
                <w:rFonts w:ascii="Times New Roman" w:eastAsia="PMingLiU" w:hAnsi="Times New Roman" w:cs="Times New Roman"/>
                <w:b/>
                <w:color w:val="FF0000"/>
                <w:szCs w:val="18"/>
                <w:lang w:eastAsia="zh-CN"/>
              </w:rPr>
              <w:t>No more discussion is needed.</w:t>
            </w:r>
            <w:r w:rsidRPr="000C5E05">
              <w:rPr>
                <w:rFonts w:ascii="Times New Roman" w:eastAsia="PMingLiU"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722BA7">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722BA7">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722BA7">
            <w:pPr>
              <w:snapToGrid w:val="0"/>
              <w:jc w:val="both"/>
              <w:rPr>
                <w:rFonts w:ascii="Times New Roman" w:eastAsia="PMingLiU" w:hAnsi="Times New Roman" w:cs="Times New Roman"/>
                <w:sz w:val="18"/>
                <w:szCs w:val="18"/>
                <w:lang w:eastAsia="zh-CN"/>
              </w:rPr>
            </w:pPr>
          </w:p>
          <w:p w14:paraId="43C4A12E" w14:textId="77777777" w:rsidR="00946106" w:rsidRPr="00196188" w:rsidRDefault="00946106" w:rsidP="00722BA7">
            <w:pPr>
              <w:snapToGrid w:val="0"/>
              <w:jc w:val="both"/>
              <w:rPr>
                <w:rFonts w:ascii="Times New Roman" w:eastAsia="PMingLiU" w:hAnsi="Times New Roman" w:cs="Times New Roman"/>
                <w:sz w:val="18"/>
                <w:szCs w:val="18"/>
                <w:lang w:eastAsia="zh-CN"/>
              </w:rPr>
            </w:pPr>
            <w:r w:rsidRPr="00196188">
              <w:rPr>
                <w:rFonts w:ascii="Times New Roman" w:eastAsia="PMingLiU" w:hAnsi="Times New Roman" w:cs="Times New Roman"/>
                <w:sz w:val="18"/>
                <w:szCs w:val="18"/>
                <w:lang w:eastAsia="zh-CN"/>
              </w:rPr>
              <w:t>We are not sure about the impacts of such note</w:t>
            </w:r>
            <w:r>
              <w:rPr>
                <w:rFonts w:ascii="Times New Roman" w:eastAsia="PMingLiU" w:hAnsi="Times New Roman" w:cs="Times New Roman"/>
                <w:sz w:val="18"/>
                <w:szCs w:val="18"/>
                <w:lang w:eastAsia="zh-CN"/>
              </w:rPr>
              <w:t xml:space="preserve">. For example, </w:t>
            </w:r>
            <w:r w:rsidRPr="00196188">
              <w:rPr>
                <w:rFonts w:ascii="Times New Roman" w:eastAsia="PMingLiU"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PMingLiU" w:hAnsi="Times New Roman" w:cs="Times New Roman"/>
                <w:sz w:val="18"/>
                <w:szCs w:val="18"/>
                <w:lang w:eastAsia="zh-CN"/>
              </w:rPr>
              <w:t>To sum up, w</w:t>
            </w:r>
            <w:r w:rsidRPr="00196188">
              <w:rPr>
                <w:rFonts w:ascii="Times New Roman" w:eastAsia="PMingLiU"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Caption"/>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PMingLiU"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PMingLiU"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PMingLiU" w:hAnsi="Times New Roman" w:cs="Times New Roman"/>
                <w:sz w:val="18"/>
                <w:szCs w:val="18"/>
                <w:highlight w:val="yellow"/>
                <w:lang w:eastAsia="zh-TW"/>
              </w:rPr>
              <w:t>non-serving cell</w:t>
            </w:r>
            <w:r w:rsidRPr="000C5E05">
              <w:rPr>
                <w:rFonts w:ascii="Times New Roman" w:eastAsia="PMingLiU"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PMingLiU" w:hAnsi="Times New Roman" w:cs="Times New Roman"/>
                <w:sz w:val="18"/>
                <w:szCs w:val="18"/>
                <w:lang w:eastAsia="zh-TW"/>
              </w:rPr>
            </w:pPr>
            <w:r w:rsidRPr="000C5E05">
              <w:rPr>
                <w:rFonts w:ascii="Times New Roman" w:eastAsia="PMingLiU" w:hAnsi="Times New Roman" w:cs="Times New Roman"/>
                <w:sz w:val="18"/>
                <w:szCs w:val="18"/>
                <w:lang w:eastAsia="zh-TW"/>
              </w:rPr>
              <w:t>[Mod: see latest version per QC’s 2</w:t>
            </w:r>
            <w:r w:rsidRPr="000C5E05">
              <w:rPr>
                <w:rFonts w:ascii="Times New Roman" w:eastAsia="PMingLiU" w:hAnsi="Times New Roman" w:cs="Times New Roman"/>
                <w:sz w:val="18"/>
                <w:szCs w:val="18"/>
                <w:vertAlign w:val="superscript"/>
                <w:lang w:eastAsia="zh-TW"/>
              </w:rPr>
              <w:t>nd</w:t>
            </w:r>
            <w:r w:rsidRPr="000C5E05">
              <w:rPr>
                <w:rFonts w:ascii="Times New Roman" w:eastAsia="PMingLiU"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As for proposal 2.2, we want to clar</w:t>
            </w:r>
            <w:r w:rsidR="00E52041" w:rsidRPr="000C5E05">
              <w:rPr>
                <w:rFonts w:ascii="Times New Roman" w:eastAsia="PMingLiU" w:hAnsi="Times New Roman" w:cs="Times New Roman"/>
                <w:sz w:val="18"/>
                <w:szCs w:val="18"/>
                <w:lang w:eastAsia="zh-CN"/>
              </w:rPr>
              <w:t>if</w:t>
            </w:r>
            <w:r w:rsidRPr="000C5E05">
              <w:rPr>
                <w:rFonts w:ascii="Times New Roman" w:eastAsia="PMingLiU" w:hAnsi="Times New Roman" w:cs="Times New Roman"/>
                <w:sz w:val="18"/>
                <w:szCs w:val="18"/>
                <w:lang w:eastAsia="zh-CN"/>
              </w:rPr>
              <w:t>y the difference of “</w:t>
            </w:r>
            <w:r w:rsidR="00275634" w:rsidRPr="000C5E05">
              <w:rPr>
                <w:rFonts w:ascii="Times New Roman" w:eastAsia="PMingLiU" w:hAnsi="Times New Roman" w:cs="Times New Roman"/>
                <w:sz w:val="18"/>
                <w:szCs w:val="18"/>
                <w:lang w:eastAsia="zh-CN"/>
              </w:rPr>
              <w:t xml:space="preserve"> …for </w:t>
            </w:r>
            <w:r w:rsidRPr="000C5E05">
              <w:rPr>
                <w:rFonts w:ascii="Times New Roman" w:eastAsia="PMingLiU" w:hAnsi="Times New Roman" w:cs="Times New Roman"/>
                <w:sz w:val="18"/>
                <w:szCs w:val="18"/>
                <w:lang w:eastAsia="zh-CN"/>
              </w:rPr>
              <w:t>L1/L2-centric inter-cell mobility” and “</w:t>
            </w:r>
            <w:r w:rsidR="00275634" w:rsidRPr="000C5E05">
              <w:rPr>
                <w:rFonts w:ascii="Times New Roman" w:eastAsia="PMingLiU" w:hAnsi="Times New Roman" w:cs="Times New Roman"/>
                <w:sz w:val="18"/>
                <w:szCs w:val="18"/>
                <w:lang w:eastAsia="zh-CN"/>
              </w:rPr>
              <w:t xml:space="preserve">…for </w:t>
            </w:r>
            <w:r w:rsidRPr="000C5E05">
              <w:rPr>
                <w:rFonts w:ascii="Times New Roman" w:eastAsia="PMingLiU" w:hAnsi="Times New Roman" w:cs="Times New Roman"/>
                <w:sz w:val="18"/>
                <w:szCs w:val="18"/>
                <w:lang w:eastAsia="zh-CN"/>
              </w:rPr>
              <w:t>inter-cell mTRP”</w:t>
            </w:r>
            <w:r w:rsidR="00E52041" w:rsidRPr="000C5E05">
              <w:rPr>
                <w:rFonts w:ascii="Times New Roman" w:eastAsia="PMingLiU" w:hAnsi="Times New Roman" w:cs="Times New Roman"/>
                <w:sz w:val="18"/>
                <w:szCs w:val="18"/>
                <w:lang w:eastAsia="zh-CN"/>
              </w:rPr>
              <w:t xml:space="preserve"> in the main bullet. </w:t>
            </w:r>
            <w:r w:rsidR="00275634" w:rsidRPr="000C5E05">
              <w:rPr>
                <w:rFonts w:ascii="Times New Roman" w:eastAsia="PMingLiU" w:hAnsi="Times New Roman" w:cs="Times New Roman"/>
                <w:sz w:val="18"/>
                <w:szCs w:val="18"/>
                <w:lang w:eastAsia="zh-CN"/>
              </w:rPr>
              <w:t>In my understanding, “ …for L1/L2-centric inter-cell mobility” means the measurement/report</w:t>
            </w:r>
            <w:r w:rsidR="000B1810" w:rsidRPr="000C5E05">
              <w:rPr>
                <w:rFonts w:ascii="Times New Roman" w:eastAsia="PMingLiU" w:hAnsi="Times New Roman" w:cs="Times New Roman"/>
                <w:sz w:val="18"/>
                <w:szCs w:val="18"/>
                <w:lang w:eastAsia="zh-CN"/>
              </w:rPr>
              <w:t>ing</w:t>
            </w:r>
            <w:r w:rsidR="00275634" w:rsidRPr="000C5E05">
              <w:rPr>
                <w:rFonts w:ascii="Times New Roman" w:eastAsia="PMingLiU" w:hAnsi="Times New Roman" w:cs="Times New Roman"/>
                <w:sz w:val="18"/>
                <w:szCs w:val="18"/>
                <w:lang w:eastAsia="zh-CN"/>
              </w:rPr>
              <w:t xml:space="preserve"> is used for select a non-serving cell</w:t>
            </w:r>
            <w:r w:rsidR="000B1810" w:rsidRPr="000C5E05">
              <w:rPr>
                <w:rFonts w:ascii="Times New Roman" w:eastAsia="PMingLiU"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PMingLiU"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PMingLiU"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PMingLiU" w:hAnsi="Times New Roman" w:cs="Times New Roman"/>
                <w:sz w:val="18"/>
                <w:szCs w:val="18"/>
                <w:lang w:eastAsia="zh-CN"/>
              </w:rPr>
              <w:t xml:space="preserve"> of the non-serving cell</w:t>
            </w:r>
            <w:r w:rsidR="00A95010" w:rsidRPr="000C5E05">
              <w:rPr>
                <w:rFonts w:ascii="Times New Roman" w:eastAsia="PMingLiU"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[Mod: From RAN1 perspective, IMO there is no difference since what we</w:t>
            </w:r>
            <w:r w:rsidR="00D05342" w:rsidRPr="000C5E05">
              <w:rPr>
                <w:rFonts w:ascii="Times New Roman" w:eastAsia="PMingLiU" w:hAnsi="Times New Roman" w:cs="Times New Roman"/>
                <w:sz w:val="18"/>
                <w:szCs w:val="18"/>
                <w:lang w:eastAsia="zh-CN"/>
              </w:rPr>
              <w:t xml:space="preserve"> will specif</w:t>
            </w:r>
            <w:r w:rsidRPr="000C5E05">
              <w:rPr>
                <w:rFonts w:ascii="Times New Roman" w:eastAsia="PMingLiU" w:hAnsi="Times New Roman" w:cs="Times New Roman"/>
                <w:sz w:val="18"/>
                <w:szCs w:val="18"/>
                <w:lang w:eastAsia="zh-CN"/>
              </w:rPr>
              <w:t>y simple enables DPS-like operation</w:t>
            </w:r>
            <w:r w:rsidR="00D05342" w:rsidRPr="000C5E05">
              <w:rPr>
                <w:rFonts w:ascii="Times New Roman" w:eastAsia="PMingLiU" w:hAnsi="Times New Roman" w:cs="Times New Roman"/>
                <w:sz w:val="18"/>
                <w:szCs w:val="18"/>
                <w:lang w:eastAsia="zh-CN"/>
              </w:rPr>
              <w:t xml:space="preserve"> – both reporting/measurement and beam indication</w:t>
            </w:r>
            <w:r w:rsidRPr="000C5E05">
              <w:rPr>
                <w:rFonts w:ascii="Times New Roman" w:eastAsia="PMingLiU" w:hAnsi="Times New Roman" w:cs="Times New Roman"/>
                <w:sz w:val="18"/>
                <w:szCs w:val="18"/>
                <w:lang w:eastAsia="zh-CN"/>
              </w:rPr>
              <w:t>. Whether SC is changed or not is a RAN2 issue</w:t>
            </w:r>
            <w:r w:rsidR="00D05342" w:rsidRPr="000C5E05">
              <w:rPr>
                <w:rFonts w:ascii="Times New Roman" w:eastAsia="PMingLiU" w:hAnsi="Times New Roman" w:cs="Times New Roman"/>
                <w:sz w:val="18"/>
                <w:szCs w:val="18"/>
                <w:lang w:eastAsia="zh-CN"/>
              </w:rPr>
              <w:t>. So from RAN1 perspective, no difference between L12XCM and XC-mTRP – other than the assumed TCI framework.</w:t>
            </w:r>
            <w:r w:rsidRPr="000C5E05">
              <w:rPr>
                <w:rFonts w:ascii="Times New Roman" w:eastAsia="PMingLiU"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PMingLiU"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PMingLiU" w:hAnsi="Times New Roman" w:cs="Times New Roman"/>
                <w:sz w:val="18"/>
                <w:szCs w:val="18"/>
                <w:lang w:eastAsia="zh-CN"/>
              </w:rPr>
            </w:pPr>
            <w:r w:rsidRPr="000C5E05">
              <w:rPr>
                <w:rFonts w:ascii="Times New Roman" w:eastAsia="PMingLiU" w:hAnsi="Times New Roman" w:cs="Times New Roman"/>
                <w:sz w:val="18"/>
                <w:szCs w:val="18"/>
                <w:lang w:eastAsia="zh-CN"/>
              </w:rPr>
              <w:t xml:space="preserve"> </w:t>
            </w:r>
            <w:r w:rsidR="000B1810" w:rsidRPr="000C5E05">
              <w:rPr>
                <w:rFonts w:ascii="Times New Roman" w:eastAsia="PMingLiU"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ListParagraph"/>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ListParagraph"/>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ListParagraph"/>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ListParagraph"/>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ListParagraph"/>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5098B002" w14:textId="4285D5B2" w:rsidR="005C5DC1" w:rsidRPr="000C5E05" w:rsidRDefault="005C5DC1"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0C5E05">
        <w:rPr>
          <w:rFonts w:ascii="Times New Roman" w:hAnsi="Times New Roman" w:cs="Times New Roman"/>
          <w:sz w:val="20"/>
          <w:szCs w:val="20"/>
        </w:rPr>
        <w:t>For TCI state activation and indication, following cases are included (via NW implementation):</w:t>
      </w:r>
    </w:p>
    <w:p w14:paraId="0CA50EED"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At least one activated TCI state is associated with joint TCI and at least another activated TCI state is associated with separate DL/UL TCI</w:t>
      </w:r>
      <w:r w:rsidRPr="000C5E05">
        <w:rPr>
          <w:rFonts w:ascii="Times New Roman" w:eastAsia="Times New Roman" w:hAnsi="Times New Roman" w:cs="Times New Roman"/>
        </w:rPr>
        <w:t xml:space="preserve"> </w:t>
      </w:r>
    </w:p>
    <w:p w14:paraId="333A578A" w14:textId="1FE580AB"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TCI field in DCI formats 1_1/1_2 used for beam indication can indicate a TCI state(s) associated with either joint TCI or separate DL/UL TCI. </w:t>
      </w:r>
    </w:p>
    <w:p w14:paraId="603D20DF" w14:textId="77777777" w:rsidR="005C5DC1" w:rsidRPr="000C5E05" w:rsidRDefault="005C5DC1" w:rsidP="00C22397">
      <w:pPr>
        <w:numPr>
          <w:ilvl w:val="2"/>
          <w:numId w:val="29"/>
        </w:numPr>
        <w:snapToGrid w:val="0"/>
        <w:jc w:val="both"/>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rPr>
        <w:t>Activation of TCI states where at least one activated TCI state is associated with joint TCI and at least another activated TCI state is associated with separate DL /UL TCI is an optional UE capability</w:t>
      </w:r>
    </w:p>
    <w:p w14:paraId="2422FFC1"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All the activated TCI states are associated with joint TCI</w:t>
      </w:r>
      <w:r w:rsidRPr="000C5E05">
        <w:rPr>
          <w:rFonts w:ascii="Times New Roman" w:eastAsia="Times New Roman" w:hAnsi="Times New Roman" w:cs="Times New Roman"/>
        </w:rPr>
        <w:t xml:space="preserve"> </w:t>
      </w:r>
    </w:p>
    <w:p w14:paraId="6DBA4270" w14:textId="0540BED4"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TCI field in DCI formats 1_1/1_2 used for beam indication can indicate only a TCI state associated with joint TCI</w:t>
      </w:r>
    </w:p>
    <w:p w14:paraId="1D93ACCA" w14:textId="77777777" w:rsidR="005C5DC1" w:rsidRPr="000C5E05" w:rsidRDefault="005C5DC1" w:rsidP="00C22397">
      <w:pPr>
        <w:numPr>
          <w:ilvl w:val="0"/>
          <w:numId w:val="30"/>
        </w:numPr>
        <w:snapToGrid w:val="0"/>
        <w:ind w:left="1440"/>
        <w:jc w:val="both"/>
        <w:rPr>
          <w:rFonts w:ascii="Times New Roman" w:hAnsi="Times New Roman" w:cs="Times New Roman"/>
          <w:sz w:val="20"/>
          <w:szCs w:val="20"/>
        </w:rPr>
      </w:pPr>
      <w:r w:rsidRPr="000C5E05">
        <w:rPr>
          <w:rFonts w:ascii="Times New Roman" w:hAnsi="Times New Roman" w:cs="Times New Roman"/>
          <w:sz w:val="20"/>
          <w:szCs w:val="20"/>
        </w:rPr>
        <w:t>All the activated TCI states are associated with separate DL /UL TCI</w:t>
      </w:r>
    </w:p>
    <w:p w14:paraId="45587CA7" w14:textId="5A6F91FF" w:rsidR="005C5DC1" w:rsidRPr="000C5E05" w:rsidRDefault="005C5DC1" w:rsidP="00C22397">
      <w:pPr>
        <w:numPr>
          <w:ilvl w:val="1"/>
          <w:numId w:val="30"/>
        </w:numPr>
        <w:snapToGrid w:val="0"/>
        <w:ind w:left="2160"/>
        <w:jc w:val="both"/>
        <w:rPr>
          <w:rFonts w:ascii="Times New Roman" w:hAnsi="Times New Roman" w:cs="Times New Roman"/>
          <w:sz w:val="20"/>
          <w:szCs w:val="20"/>
        </w:rPr>
      </w:pPr>
      <w:r w:rsidRPr="000C5E05">
        <w:rPr>
          <w:rFonts w:ascii="Times New Roman" w:hAnsi="Times New Roman" w:cs="Times New Roman"/>
          <w:sz w:val="20"/>
          <w:szCs w:val="20"/>
        </w:rPr>
        <w:t>The TCI field in DCI formats 1_1/1_2 used for beam indication can only indicate TCI state(s) associated with separate DL /UL TCI</w:t>
      </w:r>
    </w:p>
    <w:p w14:paraId="2F6A988E"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20"/>
          <w:szCs w:val="20"/>
        </w:rPr>
      </w:pPr>
      <w:r w:rsidRPr="000C5E05">
        <w:rPr>
          <w:rFonts w:ascii="Times New Roman" w:hAnsi="Times New Roman" w:cs="Times New Roman"/>
        </w:rPr>
        <w:t>Detailed MAC-CE-based design for the above functionality is up to RAN2</w:t>
      </w:r>
    </w:p>
    <w:p w14:paraId="276B4CD7" w14:textId="77777777" w:rsidR="005C5DC1" w:rsidRPr="000C5E05"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rPr>
      </w:pPr>
      <w:r w:rsidRPr="000C5E05">
        <w:rPr>
          <w:rFonts w:ascii="Times New Roman" w:hAnsi="Times New Roman" w:cs="Times New Roman"/>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Caption"/>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B9401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 xml:space="preserve">OptB (without UE-capability on mixed activation): </w:t>
            </w:r>
          </w:p>
          <w:p w14:paraId="2E77B580" w14:textId="5ED605A2" w:rsidR="0064290F" w:rsidRPr="000C5E05" w:rsidRDefault="0064290F" w:rsidP="00C22397">
            <w:pPr>
              <w:pStyle w:val="ListParagraph"/>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7D451CA8"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r w:rsidR="00F54C19" w:rsidRPr="000C5E05">
              <w:rPr>
                <w:rFonts w:ascii="Times New Roman" w:eastAsia="DengXian" w:hAnsi="Times New Roman" w:cs="Times New Roman"/>
                <w:sz w:val="18"/>
                <w:szCs w:val="18"/>
                <w:lang w:eastAsia="zh-CN"/>
              </w:rPr>
              <w:t xml:space="preserve">Qualcomm,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7CA19555" w:rsidR="0064290F" w:rsidRPr="000C5E05" w:rsidRDefault="0064290F" w:rsidP="00C22397">
            <w:pPr>
              <w:pStyle w:val="ListParagraph"/>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B94014">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B94014">
            <w:pPr>
              <w:snapToGrid w:val="0"/>
              <w:rPr>
                <w:rFonts w:ascii="Times New Roman" w:hAnsi="Times New Roman" w:cs="Times New Roman"/>
                <w:sz w:val="18"/>
                <w:szCs w:val="18"/>
              </w:rPr>
            </w:pPr>
          </w:p>
        </w:tc>
      </w:tr>
      <w:tr w:rsidR="0064290F" w:rsidRPr="000C5E05" w14:paraId="20FA588B"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6021BF06" w:rsidR="0064290F" w:rsidRPr="00B1595F" w:rsidRDefault="00B1595F"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tc>
      </w:tr>
      <w:tr w:rsidR="005822D0" w:rsidRPr="000C5E05" w14:paraId="055CB96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can also support the Modified OptB. </w:t>
            </w:r>
          </w:p>
        </w:tc>
      </w:tr>
      <w:tr w:rsidR="00C94300" w:rsidRPr="000C5E05" w14:paraId="5C15A504"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PMingLiU" w:hAnsi="Times New Roman" w:cs="Times New Roman"/>
                <w:sz w:val="18"/>
                <w:szCs w:val="18"/>
                <w:lang w:eastAsia="zh-TW"/>
              </w:rPr>
            </w:pPr>
          </w:p>
          <w:p w14:paraId="1BC522C9"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PMingLiU" w:hAnsi="Times New Roman" w:cs="Times New Roman"/>
                <w:sz w:val="18"/>
                <w:szCs w:val="18"/>
                <w:lang w:eastAsia="zh-TW"/>
              </w:rPr>
              <w:t>HetNet</w:t>
            </w:r>
            <w:r>
              <w:rPr>
                <w:rFonts w:ascii="Times New Roman" w:eastAsia="PMingLiU" w:hAnsi="Times New Roman" w:cs="Times New Roman"/>
                <w:sz w:val="18"/>
                <w:szCs w:val="18"/>
                <w:lang w:eastAsia="zh-TW"/>
              </w:rPr>
              <w:t>, D</w:t>
            </w:r>
            <w:r w:rsidRPr="004C0610">
              <w:rPr>
                <w:rFonts w:ascii="Times New Roman" w:eastAsia="PMingLiU" w:hAnsi="Times New Roman" w:cs="Times New Roman"/>
                <w:sz w:val="18"/>
                <w:szCs w:val="18"/>
                <w:lang w:eastAsia="zh-TW"/>
              </w:rPr>
              <w:t>L and U</w:t>
            </w:r>
            <w:r>
              <w:rPr>
                <w:rFonts w:ascii="Times New Roman" w:eastAsia="PMingLiU" w:hAnsi="Times New Roman" w:cs="Times New Roman"/>
                <w:sz w:val="18"/>
                <w:szCs w:val="18"/>
                <w:lang w:eastAsia="zh-TW"/>
              </w:rPr>
              <w:t xml:space="preserve">L from different TRPs, and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41CC779D" w14:textId="56C31B88" w:rsidR="00C94300" w:rsidRPr="000C5E05" w:rsidRDefault="00C94300" w:rsidP="00C9430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4. In addition, on modified OptB, we are not sure whether it is a good idea to mix companies’ views on “support” and “ok”…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{Rel.16 P-MPR based (TCI or SSBRI/CRI-specific)} + Virtual PHR or a modified version</w:t>
      </w:r>
      <w:r w:rsidRPr="00F64C78">
        <w:rPr>
          <w:rFonts w:ascii="Times New Roman" w:hAnsi="Times New Roman" w:cs="Times New Roman" w:hint="eastAsia"/>
          <w:sz w:val="20"/>
        </w:rPr>
        <w:t xml:space="preserve"> </w:t>
      </w:r>
    </w:p>
    <w:p w14:paraId="43986CE9"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reporting reuses the event-driven mechanisms from the Rel-16 P-MPR reporting</w:t>
      </w:r>
    </w:p>
    <w:p w14:paraId="40A9EA57"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FFS: Definition of virtual PHR and how it is used</w:t>
      </w:r>
    </w:p>
    <w:p w14:paraId="518FE54B"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 xml:space="preserve">Opt2A. </w:t>
      </w:r>
      <w:r w:rsidRPr="00F64C78">
        <w:rPr>
          <w:rFonts w:ascii="Times New Roman" w:hAnsi="Times New Roman" w:cs="Times New Roman"/>
          <w:color w:val="FF0000"/>
          <w:sz w:val="20"/>
        </w:rPr>
        <w:t xml:space="preserve">Reporting at least </w:t>
      </w:r>
      <w:r w:rsidRPr="00F64C78">
        <w:rPr>
          <w:rFonts w:ascii="Times New Roman" w:hAnsi="Times New Roman" w:cs="Times New Roman"/>
          <w:sz w:val="20"/>
        </w:rPr>
        <w:t xml:space="preserve">{SSBRI(s)/CRI(s)} (beam/panel level) </w:t>
      </w:r>
      <w:r w:rsidRPr="00F64C78">
        <w:rPr>
          <w:rFonts w:ascii="Times New Roman" w:hAnsi="Times New Roman" w:cs="Times New Roman"/>
          <w:color w:val="FF0000"/>
          <w:sz w:val="20"/>
        </w:rPr>
        <w:t>to indicate gNB beam(s) that are preferred for UL transmission in NW-initiated CSI-report on PUCCH/PUSCH</w:t>
      </w:r>
    </w:p>
    <w:p w14:paraId="185C5859" w14:textId="77777777" w:rsidR="00707ACD" w:rsidRPr="00F64C78" w:rsidRDefault="00707ACD" w:rsidP="00707ACD">
      <w:pPr>
        <w:numPr>
          <w:ilvl w:val="1"/>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Down-select one option from the followings by RAN1#106-e:</w:t>
      </w:r>
      <w:r w:rsidRPr="00F64C78">
        <w:rPr>
          <w:rFonts w:ascii="Times New Roman" w:hAnsi="Times New Roman" w:cs="Times New Roman" w:hint="eastAsia"/>
          <w:color w:val="FF0000"/>
          <w:sz w:val="20"/>
        </w:rPr>
        <w:t xml:space="preserve"> </w:t>
      </w:r>
    </w:p>
    <w:p w14:paraId="29B6099A"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the offsetting L1-RSRP is calculated with regard to MPE effect</w:t>
      </w:r>
    </w:p>
    <w:p w14:paraId="261DD008"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lastRenderedPageBreak/>
        <w:t>Alt2: In a single reporting instance, reporting SSBRI(s)/CRI(s) to indicate gNB beams that is preferred for UL transmission</w:t>
      </w:r>
      <w:r>
        <w:rPr>
          <w:rFonts w:ascii="Times New Roman" w:hAnsi="Times New Roman" w:cs="Times New Roman"/>
          <w:color w:val="FF0000"/>
          <w:sz w:val="20"/>
        </w:rPr>
        <w:t>, DL reception (only), or both </w:t>
      </w:r>
      <w:r w:rsidRPr="00F64C78">
        <w:rPr>
          <w:rFonts w:ascii="Times New Roman" w:hAnsi="Times New Roman" w:cs="Times New Roman"/>
          <w:color w:val="FF0000"/>
          <w:sz w:val="20"/>
        </w:rPr>
        <w:t xml:space="preserve">+ L1-RSRP associated with the SSBRI(s)/CRI(s) + virtual PHR or a modified version </w:t>
      </w:r>
    </w:p>
    <w:p w14:paraId="60C291BB"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35D9012"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virtual PHR or a modified version, reuse the same definition in Opt1A</w:t>
      </w:r>
    </w:p>
    <w:p w14:paraId="576CD3E9"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virtual PHR or a modified version is reported or not</w:t>
      </w:r>
    </w:p>
    <w:p w14:paraId="050A7587"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Alt3: In a single reporting instance, reporting SSBRI(s)/CRI(s) to indicate gNB beams that is preferred for UL transmission, DL reception (only), or both + L1-RSRP associated with the SSBRI(s)/CRI(s)</w:t>
      </w:r>
    </w:p>
    <w:p w14:paraId="7D4B7463"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reported SSBRI/CRI is preferred for UL transmission or preferred for DL reception (only)</w:t>
      </w:r>
    </w:p>
    <w:p w14:paraId="52BCEA95" w14:textId="77777777" w:rsidR="00707ACD" w:rsidRPr="00F64C78" w:rsidRDefault="00707ACD" w:rsidP="00707ACD">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B9401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B94014">
            <w:pPr>
              <w:snapToGrid w:val="0"/>
              <w:rPr>
                <w:rFonts w:ascii="Times New Roman" w:eastAsia="DengXian" w:hAnsi="Times New Roman" w:cs="Times New Roman"/>
                <w:sz w:val="18"/>
                <w:szCs w:val="18"/>
                <w:lang w:eastAsia="zh-CN"/>
              </w:rPr>
            </w:pPr>
          </w:p>
          <w:p w14:paraId="31CDC696" w14:textId="11DC6703" w:rsidR="00707ACD" w:rsidRPr="000C5E05" w:rsidRDefault="00707ACD" w:rsidP="00B94014">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B94014">
            <w:pPr>
              <w:snapToGrid w:val="0"/>
              <w:rPr>
                <w:rFonts w:ascii="Times New Roman" w:hAnsi="Times New Roman" w:cs="Times New Roman"/>
                <w:sz w:val="18"/>
                <w:szCs w:val="18"/>
              </w:rPr>
            </w:pPr>
          </w:p>
        </w:tc>
      </w:tr>
      <w:tr w:rsidR="009367A5" w:rsidRPr="000C5E05" w14:paraId="0FD2D4F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bookmarkStart w:id="3" w:name="_GoBack" w:colFirst="0" w:colLast="1"/>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PMingLiU" w:hAnsi="Times New Roman" w:cs="Times New Roman"/>
                <w:sz w:val="18"/>
                <w:szCs w:val="18"/>
                <w:lang w:eastAsia="zh-TW"/>
              </w:rPr>
            </w:pPr>
          </w:p>
          <w:p w14:paraId="28003A5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PMingLiU" w:hAnsi="Times New Roman" w:cs="Times New Roman"/>
                <w:sz w:val="18"/>
                <w:szCs w:val="18"/>
                <w:lang w:eastAsia="zh-TW"/>
              </w:rPr>
            </w:pPr>
          </w:p>
          <w:p w14:paraId="4F46981F" w14:textId="77777777" w:rsidR="009367A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PMingLiU"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bookmarkEnd w:id="3"/>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Heading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7D4E5" w14:textId="77777777" w:rsidR="00554655" w:rsidRDefault="00554655">
      <w:r>
        <w:separator/>
      </w:r>
    </w:p>
  </w:endnote>
  <w:endnote w:type="continuationSeparator" w:id="0">
    <w:p w14:paraId="3494FDA8" w14:textId="77777777" w:rsidR="00554655" w:rsidRDefault="0055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47584" w14:textId="77777777" w:rsidR="00554655" w:rsidRDefault="00554655">
      <w:r>
        <w:rPr>
          <w:color w:val="000000"/>
        </w:rPr>
        <w:separator/>
      </w:r>
    </w:p>
  </w:footnote>
  <w:footnote w:type="continuationSeparator" w:id="0">
    <w:p w14:paraId="5003543E" w14:textId="77777777" w:rsidR="00554655" w:rsidRDefault="00554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6"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9"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
  </w:num>
  <w:num w:numId="4">
    <w:abstractNumId w:val="11"/>
  </w:num>
  <w:num w:numId="5">
    <w:abstractNumId w:val="20"/>
  </w:num>
  <w:num w:numId="6">
    <w:abstractNumId w:val="27"/>
  </w:num>
  <w:num w:numId="7">
    <w:abstractNumId w:val="6"/>
  </w:num>
  <w:num w:numId="8">
    <w:abstractNumId w:val="17"/>
  </w:num>
  <w:num w:numId="9">
    <w:abstractNumId w:val="21"/>
  </w:num>
  <w:num w:numId="10">
    <w:abstractNumId w:val="8"/>
  </w:num>
  <w:num w:numId="11">
    <w:abstractNumId w:val="14"/>
  </w:num>
  <w:num w:numId="12">
    <w:abstractNumId w:val="23"/>
  </w:num>
  <w:num w:numId="13">
    <w:abstractNumId w:val="21"/>
  </w:num>
  <w:num w:numId="14">
    <w:abstractNumId w:val="10"/>
  </w:num>
  <w:num w:numId="15">
    <w:abstractNumId w:val="4"/>
  </w:num>
  <w:num w:numId="16">
    <w:abstractNumId w:val="4"/>
  </w:num>
  <w:num w:numId="17">
    <w:abstractNumId w:val="12"/>
  </w:num>
  <w:num w:numId="18">
    <w:abstractNumId w:val="1"/>
  </w:num>
  <w:num w:numId="19">
    <w:abstractNumId w:val="13"/>
  </w:num>
  <w:num w:numId="20">
    <w:abstractNumId w:val="26"/>
  </w:num>
  <w:num w:numId="21">
    <w:abstractNumId w:val="18"/>
  </w:num>
  <w:num w:numId="22">
    <w:abstractNumId w:val="19"/>
  </w:num>
  <w:num w:numId="23">
    <w:abstractNumId w:val="15"/>
  </w:num>
  <w:num w:numId="24">
    <w:abstractNumId w:val="23"/>
  </w:num>
  <w:num w:numId="25">
    <w:abstractNumId w:val="22"/>
  </w:num>
  <w:num w:numId="26">
    <w:abstractNumId w:val="16"/>
  </w:num>
  <w:num w:numId="27">
    <w:abstractNumId w:val="3"/>
  </w:num>
  <w:num w:numId="28">
    <w:abstractNumId w:val="28"/>
  </w:num>
  <w:num w:numId="29">
    <w:abstractNumId w:val="9"/>
  </w:num>
  <w:num w:numId="30">
    <w:abstractNumId w:val="25"/>
  </w:num>
  <w:num w:numId="31">
    <w:abstractNumId w:val="7"/>
  </w:num>
  <w:num w:numId="3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15C3"/>
    <w:rsid w:val="00A618E3"/>
    <w:rsid w:val="00A61A9E"/>
    <w:rsid w:val="00A6270D"/>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C5CC7B3A-6805-4D63-835D-E70B2083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7052</Words>
  <Characters>40197</Characters>
  <Application>Microsoft Office Word</Application>
  <DocSecurity>0</DocSecurity>
  <Lines>334</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Xi Zhang</cp:lastModifiedBy>
  <cp:revision>9</cp:revision>
  <dcterms:created xsi:type="dcterms:W3CDTF">2021-05-25T22:44:00Z</dcterms:created>
  <dcterms:modified xsi:type="dcterms:W3CDTF">2021-05-26T00:14:00Z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