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EC7C4AA" w:rsidR="001E41F3" w:rsidRPr="00DA1F30" w:rsidRDefault="001E41F3">
      <w:pPr>
        <w:pStyle w:val="CRCoverPage"/>
        <w:tabs>
          <w:tab w:val="right" w:pos="9639"/>
        </w:tabs>
        <w:spacing w:after="0"/>
        <w:rPr>
          <w:b/>
          <w:i/>
          <w:iCs/>
          <w:noProof/>
          <w:sz w:val="28"/>
          <w:lang w:val="en-SE"/>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752748">
        <w:rPr>
          <w:b/>
          <w:noProof/>
          <w:sz w:val="24"/>
        </w:rPr>
        <w:t>5</w:t>
      </w:r>
      <w:r w:rsidR="0001000B">
        <w:rPr>
          <w:b/>
          <w:noProof/>
          <w:sz w:val="24"/>
        </w:rPr>
        <w:t>-</w:t>
      </w:r>
      <w:r w:rsidR="00576E67">
        <w:rPr>
          <w:b/>
          <w:noProof/>
          <w:sz w:val="24"/>
        </w:rPr>
        <w:t>e</w:t>
      </w:r>
      <w:r>
        <w:rPr>
          <w:b/>
          <w:i/>
          <w:noProof/>
          <w:sz w:val="28"/>
        </w:rPr>
        <w:tab/>
      </w:r>
      <w:r w:rsidR="00716761">
        <w:rPr>
          <w:b/>
          <w:i/>
          <w:noProof/>
          <w:sz w:val="28"/>
        </w:rPr>
        <w:t xml:space="preserve"> </w:t>
      </w:r>
      <w:r w:rsidR="00DA1F30">
        <w:rPr>
          <w:b/>
          <w:i/>
          <w:noProof/>
          <w:sz w:val="28"/>
        </w:rPr>
        <w:t>R1</w:t>
      </w:r>
      <w:r w:rsidR="00DA1F30" w:rsidRPr="00DA1F30">
        <w:rPr>
          <w:b/>
          <w:i/>
          <w:iCs/>
          <w:noProof/>
          <w:sz w:val="28"/>
        </w:rPr>
        <w:t>-2106293</w:t>
      </w:r>
    </w:p>
    <w:p w14:paraId="186967B6" w14:textId="3E9173D7" w:rsidR="001E41F3" w:rsidRDefault="00271C33" w:rsidP="0032108A">
      <w:pPr>
        <w:pStyle w:val="CRCoverPage"/>
        <w:tabs>
          <w:tab w:val="right" w:pos="9639"/>
        </w:tabs>
        <w:spacing w:after="0"/>
        <w:rPr>
          <w:b/>
          <w:noProof/>
          <w:sz w:val="24"/>
        </w:rPr>
      </w:pPr>
      <w:r w:rsidRPr="00271C33">
        <w:rPr>
          <w:b/>
          <w:noProof/>
          <w:sz w:val="24"/>
        </w:rPr>
        <w:t xml:space="preserve">e-Meeting, </w:t>
      </w:r>
      <w:r w:rsidR="00752748">
        <w:rPr>
          <w:b/>
          <w:noProof/>
          <w:sz w:val="24"/>
        </w:rPr>
        <w:t>May</w:t>
      </w:r>
      <w:r w:rsidRPr="00271C33">
        <w:rPr>
          <w:b/>
          <w:noProof/>
          <w:sz w:val="24"/>
        </w:rPr>
        <w:t xml:space="preserve"> 1</w:t>
      </w:r>
      <w:r w:rsidR="00752748">
        <w:rPr>
          <w:b/>
          <w:noProof/>
          <w:sz w:val="24"/>
        </w:rPr>
        <w:t>0</w:t>
      </w:r>
      <w:r w:rsidRPr="00271C33">
        <w:rPr>
          <w:b/>
          <w:noProof/>
          <w:sz w:val="24"/>
        </w:rPr>
        <w:t>th – 2</w:t>
      </w:r>
      <w:r w:rsidR="00752748">
        <w:rPr>
          <w:b/>
          <w:noProof/>
          <w:sz w:val="24"/>
        </w:rPr>
        <w:t>7</w:t>
      </w:r>
      <w:r w:rsidRPr="00271C3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3B5676A5"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69FEF6D2" w:rsidR="001E41F3" w:rsidRPr="00410371" w:rsidRDefault="0032108A" w:rsidP="0032108A">
            <w:pPr>
              <w:pStyle w:val="CRCoverPage"/>
              <w:spacing w:after="0"/>
              <w:jc w:val="center"/>
              <w:rPr>
                <w:b/>
                <w:noProof/>
                <w:sz w:val="28"/>
              </w:rPr>
            </w:pPr>
            <w:r w:rsidRPr="0032108A">
              <w:rPr>
                <w:b/>
                <w:noProof/>
                <w:sz w:val="28"/>
              </w:rPr>
              <w:t>38.21</w:t>
            </w:r>
            <w:r w:rsidR="00FB2DC3">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D249B6" w:rsidR="001E41F3" w:rsidRPr="00410371" w:rsidRDefault="0075382E" w:rsidP="0026182C">
            <w:pPr>
              <w:pStyle w:val="CRCoverPage"/>
              <w:spacing w:after="0"/>
              <w:jc w:val="center"/>
              <w:rPr>
                <w:noProof/>
              </w:rPr>
            </w:pPr>
            <w:r>
              <w:rPr>
                <w:b/>
                <w:noProof/>
                <w:sz w:val="28"/>
              </w:rPr>
              <w:t>0</w:t>
            </w:r>
            <w:r w:rsidRPr="0075382E">
              <w:rPr>
                <w:b/>
                <w:noProof/>
                <w:sz w:val="28"/>
              </w:rPr>
              <w:t>198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B6023AC" w:rsidR="001E41F3" w:rsidRPr="00410371" w:rsidRDefault="001E41F3" w:rsidP="00E13F3D">
            <w:pPr>
              <w:pStyle w:val="CRCoverPage"/>
              <w:spacing w:after="0"/>
              <w:jc w:val="center"/>
              <w:rPr>
                <w:b/>
                <w:noProof/>
              </w:rPr>
            </w:pP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E1BD6A2" w:rsidR="001E41F3" w:rsidRDefault="00554DFF" w:rsidP="003A45C4">
            <w:pPr>
              <w:pStyle w:val="CRCoverPage"/>
              <w:spacing w:after="0"/>
              <w:rPr>
                <w:noProof/>
              </w:rPr>
            </w:pPr>
            <w:r w:rsidRPr="00554DFF">
              <w:t>CR on</w:t>
            </w:r>
            <w:r w:rsidR="00F12DC1">
              <w:t xml:space="preserve"> </w:t>
            </w:r>
            <w:r w:rsidR="00F12DC1" w:rsidRPr="00F12DC1">
              <w:t>DL PRS periodicity and muting repetition factor</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0E392EF" w:rsidR="001E41F3" w:rsidRDefault="004E57F4" w:rsidP="00C057D3">
            <w:pPr>
              <w:pStyle w:val="CRCoverPage"/>
              <w:spacing w:after="0"/>
              <w:rPr>
                <w:noProof/>
              </w:rPr>
            </w:pPr>
            <w:r>
              <w:t>Moderator (</w:t>
            </w:r>
            <w:r w:rsidR="001C67C5">
              <w:t>Ericsson</w:t>
            </w:r>
            <w:r>
              <w:t xml:space="preserve">), </w:t>
            </w:r>
            <w:r w:rsidR="00C90147">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2A0E6378" w:rsidR="001E41F3" w:rsidRDefault="0032108A">
            <w:pPr>
              <w:pStyle w:val="CRCoverPage"/>
              <w:spacing w:after="0"/>
              <w:ind w:left="100"/>
              <w:rPr>
                <w:noProof/>
              </w:rPr>
            </w:pPr>
            <w:r>
              <w:t>202</w:t>
            </w:r>
            <w:r w:rsidR="00D60C43">
              <w:t>1</w:t>
            </w:r>
            <w:r>
              <w:t>-</w:t>
            </w:r>
            <w:r w:rsidR="00D60C43">
              <w:t>0</w:t>
            </w:r>
            <w:r w:rsidR="00C90147">
              <w:t>5</w:t>
            </w:r>
            <w:r>
              <w:t>-</w:t>
            </w:r>
            <w:r w:rsidR="00C90147">
              <w:t>26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58C05F71" w:rsidR="00513D46" w:rsidRPr="00AE2116" w:rsidRDefault="00F86FFB" w:rsidP="008D2C04">
            <w:pPr>
              <w:pStyle w:val="CRCoverPage"/>
              <w:spacing w:after="0"/>
              <w:rPr>
                <w:noProof/>
              </w:rPr>
            </w:pPr>
            <w:r>
              <w:rPr>
                <w:noProof/>
                <w:sz w:val="16"/>
                <w:szCs w:val="16"/>
              </w:rPr>
              <w:t xml:space="preserve">For the configuration of the PRS, </w:t>
            </w:r>
            <w:r w:rsidR="00251404" w:rsidRPr="00251404">
              <w:rPr>
                <w:noProof/>
                <w:sz w:val="16"/>
                <w:szCs w:val="16"/>
              </w:rPr>
              <w:t>the product of DL PRS resource periodicity, the higher layer parameter dl-prs-MutingBitRepetitionFactor and the lengthsize of the bitmap of dl-PRS-MutingOption1</w:t>
            </w:r>
            <w:r w:rsidR="00C826C3">
              <w:rPr>
                <w:noProof/>
                <w:sz w:val="16"/>
                <w:szCs w:val="16"/>
              </w:rPr>
              <w:t xml:space="preserve"> cannot </w:t>
            </w:r>
            <w:r w:rsidR="00251404" w:rsidRPr="00251404">
              <w:rPr>
                <w:noProof/>
                <w:sz w:val="16"/>
                <w:szCs w:val="16"/>
              </w:rPr>
              <w:t xml:space="preserve"> exceeds 2^μ×10240</w:t>
            </w:r>
            <w:r w:rsidR="006012FF">
              <w:rPr>
                <w:noProof/>
                <w:sz w:val="16"/>
                <w:szCs w:val="16"/>
              </w:rPr>
              <w:t xml:space="preserve"> (</w:t>
            </w:r>
            <w:r w:rsidR="00251404" w:rsidRPr="00251404">
              <w:rPr>
                <w:noProof/>
                <w:sz w:val="16"/>
                <w:szCs w:val="16"/>
              </w:rPr>
              <w:t>where μ=0,1,2,3 for dl-PRS-SubcarrierSpacing=15, 30, 60 and 120 kHz respectively</w:t>
            </w:r>
            <w:r w:rsidR="006012FF">
              <w:rPr>
                <w:noProof/>
                <w:sz w:val="16"/>
                <w:szCs w:val="16"/>
              </w:rPr>
              <w:t>)</w:t>
            </w:r>
            <w:r w:rsidR="00251404" w:rsidRPr="00251404">
              <w:rPr>
                <w:noProof/>
                <w:sz w:val="16"/>
                <w:szCs w:val="16"/>
              </w:rPr>
              <w:t>.</w:t>
            </w:r>
            <w:r w:rsidR="006012FF">
              <w:rPr>
                <w:noProof/>
                <w:sz w:val="16"/>
                <w:szCs w:val="16"/>
              </w:rPr>
              <w:t xml:space="preserve"> The current specification does not include this limitation. </w:t>
            </w:r>
            <w:r w:rsidR="00FC7DDE">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6757D39C" w:rsidR="0022161A" w:rsidRPr="006012FF"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the UE</w:t>
            </w:r>
            <w:r w:rsidR="006012FF" w:rsidRPr="00B5530C">
              <w:rPr>
                <w:noProof/>
                <w:sz w:val="16"/>
                <w:szCs w:val="16"/>
              </w:rPr>
              <w:t xml:space="preserve"> </w:t>
            </w:r>
            <w:r w:rsidR="006012FF">
              <w:rPr>
                <w:noProof/>
                <w:sz w:val="16"/>
                <w:szCs w:val="16"/>
              </w:rPr>
              <w:t xml:space="preserve">does not expect </w:t>
            </w:r>
            <w:r w:rsidR="00B5530C" w:rsidRPr="00B5530C">
              <w:rPr>
                <w:noProof/>
                <w:sz w:val="16"/>
                <w:szCs w:val="16"/>
              </w:rPr>
              <w:t xml:space="preserve">that the product of DL PRS resource periodicity </w:t>
            </w:r>
            <m:oMath>
              <m:sSubSup>
                <m:sSubSupPr>
                  <m:ctrlPr>
                    <w:rPr>
                      <w:rFonts w:ascii="Cambria Math" w:hAnsi="Cambria Math"/>
                      <w:noProof/>
                      <w:sz w:val="16"/>
                      <w:szCs w:val="16"/>
                    </w:rPr>
                  </m:ctrlPr>
                </m:sSubSupPr>
                <m:e>
                  <m:r>
                    <w:rPr>
                      <w:rFonts w:ascii="Cambria Math" w:hAnsi="Cambria Math"/>
                      <w:noProof/>
                      <w:sz w:val="16"/>
                      <w:szCs w:val="16"/>
                    </w:rPr>
                    <m:t>T</m:t>
                  </m:r>
                </m:e>
                <m:sub>
                  <m:r>
                    <m:rPr>
                      <m:nor/>
                    </m:rPr>
                    <w:rPr>
                      <w:noProof/>
                      <w:sz w:val="16"/>
                      <w:szCs w:val="16"/>
                    </w:rPr>
                    <m:t>per</m:t>
                  </m:r>
                </m:sub>
                <m:sup>
                  <m:r>
                    <m:rPr>
                      <m:nor/>
                    </m:rPr>
                    <w:rPr>
                      <w:noProof/>
                      <w:sz w:val="16"/>
                      <w:szCs w:val="16"/>
                    </w:rPr>
                    <m:t>PRS</m:t>
                  </m:r>
                </m:sup>
              </m:sSubSup>
            </m:oMath>
            <w:r w:rsidR="00B5530C" w:rsidRPr="00B5530C">
              <w:rPr>
                <w:noProof/>
                <w:sz w:val="16"/>
                <w:szCs w:val="16"/>
              </w:rPr>
              <w:t xml:space="preserve">, the higher layer parameter dl-prs-MutingBitRepetitionFactor and the size of the bitmap of dl-PRS-MutingOption1 exceeds </w:t>
            </w:r>
            <m:oMath>
              <m:sSup>
                <m:sSupPr>
                  <m:ctrlPr>
                    <w:rPr>
                      <w:rFonts w:ascii="Cambria Math" w:hAnsi="Cambria Math"/>
                      <w:noProof/>
                      <w:sz w:val="16"/>
                      <w:szCs w:val="16"/>
                    </w:rPr>
                  </m:ctrlPr>
                </m:sSupPr>
                <m:e>
                  <m:r>
                    <m:rPr>
                      <m:sty m:val="p"/>
                    </m:rPr>
                    <w:rPr>
                      <w:rFonts w:ascii="Cambria Math" w:hAnsi="Cambria Math"/>
                      <w:noProof/>
                      <w:sz w:val="16"/>
                      <w:szCs w:val="16"/>
                    </w:rPr>
                    <m:t>2</m:t>
                  </m:r>
                </m:e>
                <m:sup>
                  <m:r>
                    <w:rPr>
                      <w:rFonts w:ascii="Cambria Math" w:hAnsi="Cambria Math"/>
                      <w:noProof/>
                      <w:sz w:val="16"/>
                      <w:szCs w:val="16"/>
                    </w:rPr>
                    <m:t>μ</m:t>
                  </m:r>
                </m:sup>
              </m:sSup>
              <m:r>
                <m:rPr>
                  <m:sty m:val="p"/>
                </m:rPr>
                <w:rPr>
                  <w:rFonts w:ascii="Cambria Math" w:hAnsi="Cambria Math"/>
                  <w:noProof/>
                  <w:sz w:val="16"/>
                  <w:szCs w:val="16"/>
                </w:rPr>
                <m:t>×10240</m:t>
              </m:r>
            </m:oMath>
            <w:r w:rsidR="00B5530C" w:rsidRPr="00B5530C">
              <w:rPr>
                <w:noProof/>
                <w:sz w:val="16"/>
                <w:szCs w:val="16"/>
              </w:rPr>
              <w:t xml:space="preserve">, where </w:t>
            </w:r>
            <m:oMath>
              <m:r>
                <w:rPr>
                  <w:rFonts w:ascii="Cambria Math" w:hAnsi="Cambria Math"/>
                  <w:noProof/>
                  <w:sz w:val="16"/>
                  <w:szCs w:val="16"/>
                </w:rPr>
                <m:t>μ</m:t>
              </m:r>
              <m:r>
                <m:rPr>
                  <m:sty m:val="p"/>
                </m:rPr>
                <w:rPr>
                  <w:rFonts w:ascii="Cambria Math" w:hAnsi="Cambria Math"/>
                  <w:noProof/>
                  <w:sz w:val="16"/>
                  <w:szCs w:val="16"/>
                </w:rPr>
                <m:t xml:space="preserve">=0, 1, 2, 3 </m:t>
              </m:r>
            </m:oMath>
            <w:r w:rsidR="00B5530C" w:rsidRPr="00B5530C">
              <w:rPr>
                <w:noProof/>
                <w:sz w:val="16"/>
                <w:szCs w:val="16"/>
              </w:rPr>
              <w:t>for dl-PRS-SubcarrierSpacing=15, 30, 60 and 120 kHz respectively</w:t>
            </w:r>
            <w:r w:rsidR="00B5530C" w:rsidRPr="00B5530C">
              <w:rPr>
                <w:rFonts w:hint="eastAsia"/>
                <w:noProof/>
                <w:sz w:val="16"/>
                <w:szCs w:val="16"/>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2341D49E" w:rsidR="001D15DC" w:rsidRDefault="00B5530C" w:rsidP="00D942BD">
            <w:pPr>
              <w:pStyle w:val="CRCoverPage"/>
              <w:spacing w:after="0"/>
              <w:rPr>
                <w:noProof/>
                <w:sz w:val="16"/>
                <w:szCs w:val="16"/>
              </w:rPr>
            </w:pPr>
            <w:r>
              <w:rPr>
                <w:noProof/>
                <w:sz w:val="16"/>
                <w:szCs w:val="16"/>
              </w:rPr>
              <w:t>Condition for proper configuration of the periodicity and muting parameter</w:t>
            </w:r>
            <w:r w:rsidR="00CF0007">
              <w:rPr>
                <w:noProof/>
                <w:sz w:val="16"/>
                <w:szCs w:val="16"/>
              </w:rPr>
              <w:t xml:space="preserve"> for PRS are not well defined.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2E1749" w:rsidR="001E41F3" w:rsidRDefault="00AC3FD6" w:rsidP="00FC28C6">
            <w:pPr>
              <w:pStyle w:val="CRCoverPage"/>
              <w:spacing w:after="0"/>
              <w:rPr>
                <w:noProof/>
              </w:rPr>
            </w:pPr>
            <w:r>
              <w:rPr>
                <w:noProof/>
              </w:rPr>
              <w:t>5.1.6.5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bookmarkEnd w:id="2"/>
    <w:bookmarkEnd w:id="3"/>
    <w:bookmarkEnd w:id="4"/>
    <w:bookmarkEnd w:id="5"/>
    <w:bookmarkEnd w:id="6"/>
    <w:bookmarkEnd w:id="7"/>
    <w:p w14:paraId="7C275566" w14:textId="77777777" w:rsidR="00210E9B" w:rsidRDefault="00210E9B" w:rsidP="00210E9B">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0C042DA2" w14:textId="77777777" w:rsidR="00210E9B" w:rsidRDefault="00210E9B" w:rsidP="00210E9B">
      <w:pPr>
        <w:snapToGrid w:val="0"/>
        <w:spacing w:afterLines="50" w:after="120"/>
        <w:rPr>
          <w:color w:val="FF0000"/>
          <w:sz w:val="18"/>
          <w:szCs w:val="18"/>
        </w:rPr>
      </w:pPr>
      <w:r>
        <w:rPr>
          <w:color w:val="FF0000"/>
          <w:sz w:val="18"/>
          <w:szCs w:val="18"/>
        </w:rPr>
        <w:t>&lt;Unchanged parts are omitted&gt;</w:t>
      </w:r>
    </w:p>
    <w:p w14:paraId="175751D5" w14:textId="77777777" w:rsidR="00210E9B" w:rsidRDefault="00210E9B" w:rsidP="00210E9B">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0BEB11C7" w14:textId="77777777" w:rsidR="00210E9B" w:rsidRDefault="00210E9B" w:rsidP="00210E9B">
      <w:pPr>
        <w:ind w:left="568" w:hanging="284"/>
        <w:rPr>
          <w:rFonts w:eastAsia="Times New Roman"/>
        </w:rPr>
      </w:pPr>
      <w:r>
        <w:rPr>
          <w:rFonts w:eastAsia="Times New Roman"/>
          <w:i/>
        </w:rPr>
        <w:t>-</w:t>
      </w:r>
      <w:r>
        <w:rPr>
          <w:rFonts w:eastAsia="Times New Roman"/>
          <w:i/>
        </w:rPr>
        <w:tab/>
        <w:t>nr-DL-PRS-</w:t>
      </w:r>
      <w:proofErr w:type="spellStart"/>
      <w:r>
        <w:rPr>
          <w:rFonts w:eastAsia="Times New Roman"/>
          <w:i/>
        </w:rPr>
        <w:t>ResourceSetID</w:t>
      </w:r>
      <w:proofErr w:type="spellEnd"/>
      <w:r>
        <w:rPr>
          <w:rFonts w:eastAsia="Times New Roman"/>
          <w:i/>
        </w:rPr>
        <w:t xml:space="preserve"> </w:t>
      </w:r>
      <w:r>
        <w:rPr>
          <w:rFonts w:eastAsia="Times New Roman"/>
        </w:rPr>
        <w:t xml:space="preserve">defines the identity of the DL PRS resource set configuration. </w:t>
      </w:r>
    </w:p>
    <w:p w14:paraId="5415B803" w14:textId="2F097F3C" w:rsidR="00210E9B" w:rsidRDefault="00210E9B" w:rsidP="00210E9B">
      <w:pPr>
        <w:ind w:left="568" w:hanging="284"/>
        <w:rPr>
          <w:rFonts w:eastAsia="Times New Roman"/>
        </w:rPr>
      </w:pPr>
      <w:r>
        <w:rPr>
          <w:rFonts w:eastAsia="Times New Roman"/>
          <w:i/>
        </w:rPr>
        <w:t>-</w:t>
      </w:r>
      <w:r>
        <w:rPr>
          <w:rFonts w:eastAsia="Times New Roman"/>
          <w:i/>
        </w:rPr>
        <w:tab/>
      </w:r>
      <w:r>
        <w:rPr>
          <w:rFonts w:eastAsia="Times New Roman"/>
          <w:i/>
          <w:iCs/>
        </w:rPr>
        <w:t>dl-PRS-Periodicity-and-</w:t>
      </w:r>
      <w:proofErr w:type="spellStart"/>
      <w:r>
        <w:rPr>
          <w:rFonts w:eastAsia="Times New Roman"/>
          <w:i/>
          <w:iCs/>
        </w:rPr>
        <w:t>ResourceSetSlotOffset</w:t>
      </w:r>
      <w:proofErr w:type="spellEnd"/>
      <w:r>
        <w:rPr>
          <w:rFonts w:eastAsia="Times New Roman"/>
          <w:i/>
        </w:rPr>
        <w:t xml:space="preserve"> </w:t>
      </w:r>
      <w:r>
        <w:rPr>
          <w:rFonts w:eastAsia="Times New Roman"/>
        </w:rPr>
        <w:t xml:space="preserve">defines the DL PRS resource periodicity and takes values </w:t>
      </w:r>
      <m:oMath>
        <m:sSubSup>
          <m:sSubSupPr>
            <m:ctrlPr>
              <w:rPr>
                <w:rFonts w:ascii="Cambria Math" w:eastAsia="Times New Roman" w:hAnsi="Cambria Math"/>
                <w:i/>
                <w:iCs/>
              </w:rPr>
            </m:ctrlPr>
          </m:sSubSupPr>
          <m:e>
            <m:r>
              <w:rPr>
                <w:rFonts w:ascii="Cambria Math" w:eastAsia="Times New Roman" w:hAnsi="Cambria Math"/>
              </w:rPr>
              <m:t>T</m:t>
            </m:r>
          </m:e>
          <m:sub>
            <m:r>
              <m:rPr>
                <m:nor/>
              </m:rPr>
              <w:rPr>
                <w:rFonts w:ascii="Cambria Math" w:eastAsia="Times New Roman" w:hAnsi="Cambria Math"/>
              </w:rPr>
              <m:t>per</m:t>
            </m:r>
          </m:sub>
          <m:sup>
            <m:r>
              <m:rPr>
                <m:nor/>
              </m:rPr>
              <w:rPr>
                <w:rFonts w:ascii="Cambria Math" w:eastAsia="Times New Roman" w:hAnsi="Cambria Math"/>
              </w:rPr>
              <m:t>PRS</m:t>
            </m:r>
          </m:sup>
        </m:sSubSup>
        <m:r>
          <w:rPr>
            <w:rFonts w:ascii="Cambria Math" w:eastAsia="Times New Roman" w:hAnsi="Cambria Math"/>
          </w:rPr>
          <m:t>∈</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μ</m:t>
            </m:r>
          </m:sup>
        </m:sSup>
        <m:d>
          <m:dPr>
            <m:begChr m:val="{"/>
            <m:endChr m:val="}"/>
            <m:ctrlPr>
              <w:rPr>
                <w:rFonts w:ascii="Cambria Math" w:eastAsia="Times New Roman" w:hAnsi="Cambria Math"/>
                <w:i/>
                <w:iCs/>
              </w:rPr>
            </m:ctrlPr>
          </m:dPr>
          <m:e>
            <m:r>
              <w:rPr>
                <w:rFonts w:ascii="Cambria Math" w:eastAsia="Times New Roman" w:hAnsi="Cambria Math"/>
              </w:rPr>
              <m:t>4, 5, 8, 10, 16, 20, 32, 40, 64, 80, 160, 320, 640, 1280, 2560, 5120, 10240</m:t>
            </m:r>
          </m:e>
        </m:d>
        <m:r>
          <w:rPr>
            <w:rFonts w:ascii="Cambria Math" w:eastAsia="Times New Roman" w:hAnsi="Cambria Math"/>
          </w:rPr>
          <m:t xml:space="preserve"> </m:t>
        </m:r>
      </m:oMath>
      <w:r>
        <w:rPr>
          <w:rFonts w:eastAsia="Times New Roman"/>
        </w:rPr>
        <w:t xml:space="preserve">slots, where </w:t>
      </w:r>
      <m:oMath>
        <m:r>
          <w:rPr>
            <w:rFonts w:ascii="Cambria Math" w:eastAsia="Times New Roman" w:hAnsi="Cambria Math"/>
          </w:rPr>
          <m:t xml:space="preserve">μ=0, 1, 2, 3 </m:t>
        </m:r>
      </m:oMath>
      <w:r>
        <w:rPr>
          <w:rFonts w:eastAsia="Times New Roman"/>
          <w:color w:val="000000"/>
        </w:rPr>
        <w:t xml:space="preserve">for </w:t>
      </w:r>
      <w:r>
        <w:rPr>
          <w:rFonts w:eastAsia="Times New Roman"/>
          <w:i/>
          <w:iCs/>
          <w:snapToGrid w:val="0"/>
        </w:rPr>
        <w:t>dl-PRS-</w:t>
      </w:r>
      <w:proofErr w:type="spellStart"/>
      <w:r>
        <w:rPr>
          <w:rFonts w:eastAsia="Times New Roman"/>
          <w:i/>
          <w:iCs/>
          <w:snapToGrid w:val="0"/>
        </w:rPr>
        <w:t>SubcarrierSpacing</w:t>
      </w:r>
      <w:proofErr w:type="spellEnd"/>
      <w:r>
        <w:rPr>
          <w:rFonts w:eastAsia="Times New Roman"/>
          <w:color w:val="000000"/>
        </w:rPr>
        <w:t xml:space="preserve">=15, 30, 60 and 120 kHz respectively </w:t>
      </w:r>
      <w:r>
        <w:rPr>
          <w:rFonts w:eastAsia="Times New Roman"/>
        </w:rPr>
        <w:t>and the slot offset for DL PRS resource set with respect to SFN0 slot 0</w:t>
      </w:r>
      <w:r>
        <w:rPr>
          <w:rFonts w:eastAsia="Times New Roman"/>
          <w:color w:val="000000"/>
        </w:rPr>
        <w:t xml:space="preserve">. </w:t>
      </w:r>
      <w:r>
        <w:rPr>
          <w:rFonts w:eastAsia="Times New Roman"/>
        </w:rPr>
        <w:t xml:space="preserve">All the DL PRS resources within one DL PRS resource set are configured with the same DL PRS resource periodicity. </w:t>
      </w:r>
      <w:ins w:id="8" w:author="Florent Munier" w:date="2021-05-27T02:23:00Z">
        <w:r>
          <w:t xml:space="preserve">The UE does not expect that the product of DL PRS resource periodicity </w:t>
        </w:r>
      </w:ins>
      <m:oMath>
        <m:sSubSup>
          <m:sSubSupPr>
            <m:ctrlPr>
              <w:ins w:id="9" w:author="Florent Munier" w:date="2021-05-27T02:23:00Z">
                <w:rPr>
                  <w:rFonts w:ascii="Cambria Math" w:hAnsi="Cambria Math"/>
                  <w:i/>
                  <w:iCs/>
                  <w:lang w:val="en-US"/>
                </w:rPr>
              </w:ins>
            </m:ctrlPr>
          </m:sSubSupPr>
          <m:e>
            <m:r>
              <w:ins w:id="10" w:author="Florent Munier" w:date="2021-05-27T02:23:00Z">
                <w:rPr>
                  <w:rFonts w:ascii="Cambria Math" w:hAnsi="Cambria Math"/>
                  <w:lang w:val="en-US"/>
                </w:rPr>
                <m:t>T</m:t>
              </w:ins>
            </m:r>
          </m:e>
          <m:sub>
            <m:r>
              <w:ins w:id="11" w:author="Florent Munier" w:date="2021-05-27T02:23:00Z">
                <m:rPr>
                  <m:nor/>
                </m:rPr>
                <w:rPr>
                  <w:rFonts w:ascii="Cambria Math" w:hAnsi="Cambria Math"/>
                  <w:lang w:val="en-US"/>
                </w:rPr>
                <m:t>per</m:t>
              </w:ins>
            </m:r>
          </m:sub>
          <m:sup>
            <m:r>
              <w:ins w:id="12" w:author="Florent Munier" w:date="2021-05-27T02:23:00Z">
                <m:rPr>
                  <m:nor/>
                </m:rPr>
                <w:rPr>
                  <w:rFonts w:ascii="Cambria Math" w:hAnsi="Cambria Math"/>
                  <w:lang w:val="en-US"/>
                </w:rPr>
                <m:t>PRS</m:t>
              </w:ins>
            </m:r>
          </m:sup>
        </m:sSubSup>
      </m:oMath>
      <w:ins w:id="13" w:author="Florent Munier" w:date="2021-05-27T02:23:00Z">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w:ins>
      <m:oMath>
        <m:sSup>
          <m:sSupPr>
            <m:ctrlPr>
              <w:ins w:id="14" w:author="Florent Munier" w:date="2021-05-27T02:23:00Z">
                <w:rPr>
                  <w:rFonts w:ascii="Cambria Math" w:hAnsi="Cambria Math"/>
                  <w:i/>
                  <w:iCs/>
                  <w:lang w:val="en-US"/>
                </w:rPr>
              </w:ins>
            </m:ctrlPr>
          </m:sSupPr>
          <m:e>
            <m:r>
              <w:ins w:id="15" w:author="Florent Munier" w:date="2021-05-27T02:23:00Z">
                <w:rPr>
                  <w:rFonts w:ascii="Cambria Math" w:hAnsi="Cambria Math"/>
                  <w:lang w:val="en-US"/>
                </w:rPr>
                <m:t>2</m:t>
              </w:ins>
            </m:r>
          </m:e>
          <m:sup>
            <m:r>
              <w:ins w:id="16" w:author="Florent Munier" w:date="2021-05-27T02:23:00Z">
                <w:rPr>
                  <w:rFonts w:ascii="Cambria Math" w:hAnsi="Cambria Math"/>
                  <w:lang w:val="en-US"/>
                </w:rPr>
                <m:t>μ</m:t>
              </w:ins>
            </m:r>
          </m:sup>
        </m:sSup>
        <m:r>
          <w:ins w:id="17" w:author="Florent Munier" w:date="2021-05-27T02:23:00Z">
            <w:rPr>
              <w:rFonts w:ascii="Cambria Math" w:hAnsi="Cambria Math"/>
              <w:lang w:val="en-US"/>
            </w:rPr>
            <m:t>×</m:t>
          </w:ins>
        </m:r>
        <m:r>
          <w:ins w:id="18" w:author="Florent Munier" w:date="2021-05-27T02:23:00Z">
            <w:rPr>
              <w:rFonts w:ascii="Cambria Math" w:hAnsi="Cambria Math"/>
            </w:rPr>
            <m:t>10240</m:t>
          </w:ins>
        </m:r>
      </m:oMath>
      <w:ins w:id="19" w:author="Florent Munier" w:date="2021-05-27T02:23:00Z">
        <w:r>
          <w:t xml:space="preserve">, where </w:t>
        </w:r>
      </w:ins>
      <m:oMath>
        <m:r>
          <w:ins w:id="20" w:author="Florent Munier" w:date="2021-05-27T02:23:00Z">
            <w:rPr>
              <w:rFonts w:ascii="Cambria Math" w:hAnsi="Cambria Math"/>
            </w:rPr>
            <m:t xml:space="preserve">μ=0, 1, 2, 3 </m:t>
          </w:ins>
        </m:r>
      </m:oMath>
      <w:ins w:id="21" w:author="Florent Munier" w:date="2021-05-27T02:23:00Z">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eastAsia="SimSun" w:hAnsi="SimSun" w:cs="SimSun" w:hint="eastAsia"/>
            <w:color w:val="000000"/>
          </w:rPr>
          <w:t>.</w:t>
        </w:r>
      </w:ins>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BFDE9" w14:textId="77777777" w:rsidR="00314A1A" w:rsidRDefault="00314A1A">
      <w:r>
        <w:separator/>
      </w:r>
    </w:p>
  </w:endnote>
  <w:endnote w:type="continuationSeparator" w:id="0">
    <w:p w14:paraId="3BB43991" w14:textId="77777777" w:rsidR="00314A1A" w:rsidRDefault="0031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Ɛ"/>
    <w:panose1 w:val="00000500000000020000"/>
    <w:charset w:val="00"/>
    <w:family w:val="auto"/>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DBB74" w14:textId="77777777" w:rsidR="00314A1A" w:rsidRDefault="00314A1A">
      <w:r>
        <w:separator/>
      </w:r>
    </w:p>
  </w:footnote>
  <w:footnote w:type="continuationSeparator" w:id="0">
    <w:p w14:paraId="76F16316" w14:textId="77777777" w:rsidR="00314A1A" w:rsidRDefault="0031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F7D0D"/>
    <w:rsid w:val="00305409"/>
    <w:rsid w:val="003145E3"/>
    <w:rsid w:val="00314A1A"/>
    <w:rsid w:val="0032108A"/>
    <w:rsid w:val="003259D1"/>
    <w:rsid w:val="003331C3"/>
    <w:rsid w:val="00342490"/>
    <w:rsid w:val="003609EF"/>
    <w:rsid w:val="0036231A"/>
    <w:rsid w:val="0037137E"/>
    <w:rsid w:val="00374DD4"/>
    <w:rsid w:val="00375D36"/>
    <w:rsid w:val="003A45C4"/>
    <w:rsid w:val="003A461B"/>
    <w:rsid w:val="003B5D0F"/>
    <w:rsid w:val="003B7585"/>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12FF"/>
    <w:rsid w:val="00602E7A"/>
    <w:rsid w:val="00621188"/>
    <w:rsid w:val="006257ED"/>
    <w:rsid w:val="006324ED"/>
    <w:rsid w:val="0069403F"/>
    <w:rsid w:val="00695808"/>
    <w:rsid w:val="006B10D0"/>
    <w:rsid w:val="006B46FB"/>
    <w:rsid w:val="006E19F1"/>
    <w:rsid w:val="006E21FB"/>
    <w:rsid w:val="006F2FC3"/>
    <w:rsid w:val="006F70AF"/>
    <w:rsid w:val="00706403"/>
    <w:rsid w:val="00716761"/>
    <w:rsid w:val="0073394C"/>
    <w:rsid w:val="00752748"/>
    <w:rsid w:val="0075382E"/>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1F30"/>
    <w:rsid w:val="00DA685E"/>
    <w:rsid w:val="00DB3B8C"/>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6FFB"/>
    <w:rsid w:val="00F90AFB"/>
    <w:rsid w:val="00F9799A"/>
    <w:rsid w:val="00FA2DA6"/>
    <w:rsid w:val="00FB2DC3"/>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09192581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5NUHHDQN7SK2-1476151046-501856</_dlc_DocId>
    <_dlc_DocIdUrl xmlns="f166a696-7b5b-4ccd-9f0c-ffde0cceec81">
      <Url>https://ericsson.sharepoint.com/sites/star/_layouts/15/DocIdRedir.aspx?ID=5NUHHDQN7SK2-1476151046-501856</Url>
      <Description>5NUHHDQN7SK2-1476151046-501856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2.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4.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5.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6.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Florent Munier</cp:lastModifiedBy>
  <cp:revision>44</cp:revision>
  <dcterms:created xsi:type="dcterms:W3CDTF">2021-04-19T19:23:00Z</dcterms:created>
  <dcterms:modified xsi:type="dcterms:W3CDTF">2021-05-27T15:20:00Z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0309af29-22e1-408b-890d-876e3163bdd7</vt:lpwstr>
  </property>
</Properties>
</file>