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AB947" w14:textId="0775D4BA" w:rsidR="00CE1ACA" w:rsidRPr="00FD5E00" w:rsidRDefault="00CE1ACA" w:rsidP="00CE1ACA">
      <w:pPr>
        <w:tabs>
          <w:tab w:val="center" w:pos="4536"/>
          <w:tab w:val="right" w:pos="8280"/>
          <w:tab w:val="right" w:pos="9639"/>
        </w:tabs>
        <w:ind w:right="2"/>
        <w:rPr>
          <w:rFonts w:ascii="Arial" w:hAnsi="Arial" w:cs="Arial"/>
          <w:b/>
          <w:bCs/>
        </w:rPr>
      </w:pPr>
      <w:r w:rsidRPr="00FD5E00">
        <w:rPr>
          <w:rFonts w:ascii="Arial" w:hAnsi="Arial" w:cs="Arial"/>
          <w:b/>
          <w:bCs/>
        </w:rPr>
        <w:t>3GPP TSG RAN WG1 #10</w:t>
      </w:r>
      <w:r w:rsidR="002275FD">
        <w:rPr>
          <w:rFonts w:ascii="Arial" w:hAnsi="Arial" w:cs="Arial"/>
          <w:b/>
          <w:bCs/>
        </w:rPr>
        <w:t>5</w:t>
      </w:r>
      <w:r w:rsidRPr="00FD5E00">
        <w:rPr>
          <w:rFonts w:ascii="Arial" w:hAnsi="Arial" w:cs="Arial"/>
          <w:b/>
          <w:bCs/>
        </w:rPr>
        <w:t>-e</w:t>
      </w:r>
      <w:r w:rsidRPr="00FD5E00">
        <w:rPr>
          <w:rFonts w:ascii="Arial" w:hAnsi="Arial" w:cs="Arial"/>
          <w:b/>
          <w:bCs/>
        </w:rPr>
        <w:tab/>
      </w:r>
      <w:r w:rsidRPr="00FD5E00">
        <w:rPr>
          <w:rFonts w:ascii="Arial" w:hAnsi="Arial" w:cs="Arial"/>
          <w:b/>
          <w:bCs/>
        </w:rPr>
        <w:tab/>
      </w:r>
      <w:r w:rsidR="00024F9D" w:rsidRPr="00024F9D">
        <w:rPr>
          <w:rFonts w:ascii="Arial" w:hAnsi="Arial" w:cs="Arial"/>
          <w:b/>
          <w:bCs/>
        </w:rPr>
        <w:t>R1-210</w:t>
      </w:r>
      <w:r w:rsidR="00A05104" w:rsidRPr="00A05104">
        <w:rPr>
          <w:rFonts w:ascii="Arial" w:hAnsi="Arial" w:cs="Arial"/>
          <w:b/>
          <w:bCs/>
        </w:rPr>
        <w:t>5951</w:t>
      </w:r>
    </w:p>
    <w:p w14:paraId="4CA2B16F" w14:textId="77777777" w:rsidR="00CE1ACA" w:rsidRPr="00FD5E00" w:rsidRDefault="00CE1ACA" w:rsidP="00CE1ACA">
      <w:pPr>
        <w:tabs>
          <w:tab w:val="center" w:pos="4536"/>
          <w:tab w:val="right" w:pos="9072"/>
        </w:tabs>
        <w:rPr>
          <w:rFonts w:ascii="Arial" w:eastAsia="MS Mincho" w:hAnsi="Arial" w:cs="Arial"/>
          <w:b/>
          <w:bCs/>
          <w:lang w:eastAsia="ja-JP"/>
        </w:rPr>
      </w:pPr>
      <w:r w:rsidRPr="00FD5E00">
        <w:rPr>
          <w:rFonts w:ascii="Arial" w:eastAsia="MS Mincho" w:hAnsi="Arial" w:cs="Arial"/>
          <w:b/>
          <w:bCs/>
          <w:lang w:eastAsia="ja-JP"/>
        </w:rPr>
        <w:t xml:space="preserve">e-Meeting, </w:t>
      </w:r>
      <w:r>
        <w:rPr>
          <w:rFonts w:ascii="Arial" w:eastAsia="MS Mincho" w:hAnsi="Arial" w:cs="Arial"/>
          <w:b/>
          <w:bCs/>
          <w:lang w:eastAsia="ja-JP"/>
        </w:rPr>
        <w:t>May</w:t>
      </w:r>
      <w:r w:rsidRPr="00FD5E00">
        <w:rPr>
          <w:rFonts w:ascii="Arial" w:eastAsia="MS Mincho" w:hAnsi="Arial" w:cs="Arial"/>
          <w:b/>
          <w:bCs/>
          <w:lang w:eastAsia="ja-JP"/>
        </w:rPr>
        <w:t xml:space="preserve"> 1</w:t>
      </w:r>
      <w:r>
        <w:rPr>
          <w:rFonts w:ascii="Arial" w:eastAsia="MS Mincho" w:hAnsi="Arial" w:cs="Arial"/>
          <w:b/>
          <w:bCs/>
          <w:lang w:eastAsia="ja-JP"/>
        </w:rPr>
        <w:t>0</w:t>
      </w:r>
      <w:r w:rsidRPr="00FD5E00">
        <w:rPr>
          <w:rFonts w:ascii="Arial" w:eastAsia="MS Mincho" w:hAnsi="Arial" w:cs="Arial"/>
          <w:b/>
          <w:bCs/>
          <w:vertAlign w:val="superscript"/>
          <w:lang w:eastAsia="ja-JP"/>
        </w:rPr>
        <w:t>th</w:t>
      </w:r>
      <w:r w:rsidRPr="00FD5E00">
        <w:rPr>
          <w:rFonts w:ascii="Arial" w:eastAsia="MS Mincho" w:hAnsi="Arial" w:cs="Arial"/>
          <w:b/>
          <w:bCs/>
          <w:lang w:eastAsia="ja-JP"/>
        </w:rPr>
        <w:t xml:space="preserve"> – 2</w:t>
      </w:r>
      <w:r>
        <w:rPr>
          <w:rFonts w:ascii="Arial" w:eastAsia="MS Mincho" w:hAnsi="Arial" w:cs="Arial"/>
          <w:b/>
          <w:bCs/>
          <w:lang w:eastAsia="ja-JP"/>
        </w:rPr>
        <w:t>7</w:t>
      </w:r>
      <w:r w:rsidRPr="00FD5E00">
        <w:rPr>
          <w:rFonts w:ascii="Arial" w:eastAsia="MS Mincho" w:hAnsi="Arial" w:cs="Arial"/>
          <w:b/>
          <w:bCs/>
          <w:vertAlign w:val="superscript"/>
          <w:lang w:eastAsia="ja-JP"/>
        </w:rPr>
        <w:t>th</w:t>
      </w:r>
      <w:r w:rsidRPr="00FD5E00">
        <w:rPr>
          <w:rFonts w:ascii="Arial" w:eastAsia="MS Mincho" w:hAnsi="Arial" w:cs="Arial"/>
          <w:b/>
          <w:bCs/>
          <w:lang w:eastAsia="ja-JP"/>
        </w:rPr>
        <w:t>, 2021</w:t>
      </w:r>
      <w:bookmarkStart w:id="0" w:name="_GoBack"/>
      <w:bookmarkEnd w:id="0"/>
    </w:p>
    <w:p w14:paraId="187DC498" w14:textId="77777777" w:rsidR="00CE1ACA" w:rsidRPr="000114C4" w:rsidRDefault="00CE1ACA" w:rsidP="001658DC">
      <w:pPr>
        <w:pStyle w:val="a4"/>
        <w:pBdr>
          <w:bottom w:val="single" w:sz="6" w:space="11" w:color="auto"/>
        </w:pBdr>
        <w:tabs>
          <w:tab w:val="left" w:pos="1800"/>
        </w:tabs>
        <w:ind w:left="1800" w:hanging="1800"/>
        <w:rPr>
          <w:rFonts w:cs="Arial"/>
          <w:sz w:val="22"/>
          <w:szCs w:val="22"/>
        </w:rPr>
      </w:pPr>
    </w:p>
    <w:p w14:paraId="2BEBC9D2" w14:textId="775B6C1B" w:rsidR="00CE1ACA" w:rsidRPr="00E362AC" w:rsidRDefault="00CE1ACA" w:rsidP="00E362AC">
      <w:pPr>
        <w:tabs>
          <w:tab w:val="center" w:pos="4536"/>
          <w:tab w:val="right" w:pos="8280"/>
          <w:tab w:val="right" w:pos="9639"/>
        </w:tabs>
        <w:ind w:right="2"/>
        <w:rPr>
          <w:rFonts w:ascii="Arial" w:hAnsi="Arial" w:cs="Arial"/>
          <w:b/>
          <w:bCs/>
          <w:sz w:val="20"/>
        </w:rPr>
      </w:pPr>
      <w:r w:rsidRPr="00E362AC">
        <w:rPr>
          <w:rFonts w:ascii="Arial" w:hAnsi="Arial" w:cs="Arial"/>
          <w:b/>
          <w:bCs/>
          <w:sz w:val="20"/>
        </w:rPr>
        <w:t>Source:</w:t>
      </w:r>
      <w:r w:rsidR="00E362AC">
        <w:rPr>
          <w:rFonts w:ascii="Arial" w:hAnsi="Arial" w:cs="Arial"/>
          <w:b/>
          <w:bCs/>
          <w:sz w:val="20"/>
        </w:rPr>
        <w:t xml:space="preserve">       </w:t>
      </w:r>
      <w:r w:rsidRPr="00E362AC">
        <w:rPr>
          <w:rFonts w:ascii="Arial" w:hAnsi="Arial" w:cs="Arial"/>
          <w:b/>
          <w:bCs/>
          <w:sz w:val="20"/>
        </w:rPr>
        <w:t>vivo</w:t>
      </w:r>
      <w:r w:rsidR="00F65820">
        <w:rPr>
          <w:rFonts w:ascii="Arial" w:hAnsi="Arial" w:cs="Arial"/>
          <w:b/>
          <w:bCs/>
          <w:sz w:val="20"/>
        </w:rPr>
        <w:t>, ZTE</w:t>
      </w:r>
      <w:r w:rsidR="004241D8">
        <w:rPr>
          <w:rFonts w:ascii="Arial" w:hAnsi="Arial" w:cs="Arial"/>
          <w:b/>
          <w:bCs/>
          <w:sz w:val="20"/>
        </w:rPr>
        <w:t>, CMCC</w:t>
      </w:r>
      <w:r w:rsidR="002109DF">
        <w:rPr>
          <w:rFonts w:ascii="Arial" w:hAnsi="Arial" w:cs="Arial" w:hint="eastAsia"/>
          <w:b/>
          <w:bCs/>
          <w:sz w:val="20"/>
        </w:rPr>
        <w:t>,</w:t>
      </w:r>
      <w:r w:rsidR="002109DF">
        <w:rPr>
          <w:rFonts w:ascii="Arial" w:hAnsi="Arial" w:cs="Arial"/>
          <w:b/>
          <w:bCs/>
          <w:sz w:val="20"/>
        </w:rPr>
        <w:t xml:space="preserve"> Samsung</w:t>
      </w:r>
    </w:p>
    <w:p w14:paraId="0FAA4586" w14:textId="77777777" w:rsidR="00CE1ACA" w:rsidRPr="00E362AC" w:rsidRDefault="00CE1ACA" w:rsidP="00E362AC">
      <w:pPr>
        <w:tabs>
          <w:tab w:val="center" w:pos="4536"/>
          <w:tab w:val="right" w:pos="8280"/>
          <w:tab w:val="right" w:pos="9639"/>
        </w:tabs>
        <w:ind w:right="2"/>
        <w:rPr>
          <w:rFonts w:ascii="Arial" w:hAnsi="Arial" w:cs="Arial"/>
          <w:b/>
          <w:bCs/>
          <w:sz w:val="20"/>
        </w:rPr>
      </w:pPr>
      <w:r w:rsidRPr="00E362AC">
        <w:rPr>
          <w:rFonts w:ascii="Arial" w:hAnsi="Arial" w:cs="Arial"/>
          <w:b/>
          <w:bCs/>
          <w:sz w:val="20"/>
        </w:rPr>
        <w:t>Title:</w:t>
      </w:r>
      <w:r w:rsidRPr="00E362AC">
        <w:rPr>
          <w:rFonts w:ascii="Arial" w:hAnsi="Arial" w:cs="Arial"/>
          <w:b/>
          <w:bCs/>
          <w:sz w:val="20"/>
        </w:rPr>
        <w:tab/>
        <w:t>Support of 2 Tx codebook configuration to 4Tx capable UE in UL</w:t>
      </w:r>
    </w:p>
    <w:p w14:paraId="1239DD0E" w14:textId="77777777" w:rsidR="00CE1ACA" w:rsidRPr="00E362AC" w:rsidRDefault="00CE1ACA" w:rsidP="00E362AC">
      <w:pPr>
        <w:tabs>
          <w:tab w:val="center" w:pos="4536"/>
          <w:tab w:val="right" w:pos="8280"/>
          <w:tab w:val="right" w:pos="9639"/>
        </w:tabs>
        <w:ind w:right="2"/>
        <w:rPr>
          <w:rFonts w:ascii="Arial" w:hAnsi="Arial" w:cs="Arial"/>
          <w:b/>
          <w:bCs/>
          <w:sz w:val="20"/>
        </w:rPr>
      </w:pPr>
      <w:r w:rsidRPr="00E362AC">
        <w:rPr>
          <w:rFonts w:ascii="Arial" w:hAnsi="Arial" w:cs="Arial"/>
          <w:b/>
          <w:bCs/>
          <w:sz w:val="20"/>
        </w:rPr>
        <w:t>Agenda Item:</w:t>
      </w:r>
      <w:r w:rsidR="00E362AC" w:rsidRPr="00E362AC">
        <w:rPr>
          <w:rFonts w:ascii="Arial" w:hAnsi="Arial" w:cs="Arial"/>
          <w:b/>
          <w:bCs/>
          <w:sz w:val="20"/>
        </w:rPr>
        <w:t xml:space="preserve">  </w:t>
      </w:r>
      <w:r w:rsidRPr="00E362AC">
        <w:rPr>
          <w:rFonts w:ascii="Arial" w:hAnsi="Arial" w:cs="Arial"/>
          <w:b/>
          <w:bCs/>
          <w:sz w:val="20"/>
        </w:rPr>
        <w:t>8.16</w:t>
      </w:r>
    </w:p>
    <w:p w14:paraId="50E21E7A" w14:textId="77777777" w:rsidR="00CE1ACA" w:rsidRPr="00E362AC" w:rsidRDefault="00CE1ACA" w:rsidP="00E362AC">
      <w:pPr>
        <w:tabs>
          <w:tab w:val="center" w:pos="4536"/>
          <w:tab w:val="right" w:pos="8280"/>
          <w:tab w:val="right" w:pos="9639"/>
        </w:tabs>
        <w:ind w:right="2"/>
        <w:rPr>
          <w:rFonts w:ascii="Arial" w:hAnsi="Arial" w:cs="Arial"/>
          <w:b/>
          <w:bCs/>
          <w:sz w:val="20"/>
        </w:rPr>
      </w:pPr>
      <w:r w:rsidRPr="00E362AC">
        <w:rPr>
          <w:rFonts w:ascii="Arial" w:hAnsi="Arial" w:cs="Arial"/>
          <w:b/>
          <w:bCs/>
          <w:sz w:val="20"/>
        </w:rPr>
        <w:t>Document for:</w:t>
      </w:r>
      <w:r w:rsidR="00E362AC" w:rsidRPr="00E362AC">
        <w:rPr>
          <w:rFonts w:ascii="Arial" w:hAnsi="Arial" w:cs="Arial"/>
          <w:b/>
          <w:bCs/>
          <w:sz w:val="20"/>
        </w:rPr>
        <w:t xml:space="preserve"> </w:t>
      </w:r>
      <w:r w:rsidRPr="00E362AC">
        <w:rPr>
          <w:rFonts w:ascii="Arial" w:hAnsi="Arial" w:cs="Arial"/>
          <w:b/>
          <w:bCs/>
          <w:sz w:val="20"/>
        </w:rPr>
        <w:t>Discussion and Decision</w:t>
      </w:r>
    </w:p>
    <w:p w14:paraId="0DB81799" w14:textId="77777777" w:rsidR="001658DC" w:rsidRDefault="001658DC" w:rsidP="001658DC">
      <w:pPr>
        <w:pStyle w:val="title1"/>
        <w:spacing w:before="156" w:after="156"/>
      </w:pPr>
      <w:r>
        <w:rPr>
          <w:rFonts w:hint="eastAsia"/>
        </w:rPr>
        <w:t>Discussion</w:t>
      </w:r>
    </w:p>
    <w:p w14:paraId="6A6E03EC" w14:textId="77777777" w:rsidR="003F402A" w:rsidRDefault="00DE0406">
      <w:r>
        <w:t xml:space="preserve">Rel-15 NR </w:t>
      </w:r>
      <w:r w:rsidR="000677B6">
        <w:t>specified</w:t>
      </w:r>
      <w:r>
        <w:t xml:space="preserve"> 4Tx UL MIMO transmission while supporting various UE implementations. Depending on hardware implementation</w:t>
      </w:r>
      <w:r w:rsidR="00046C02">
        <w:t>,</w:t>
      </w:r>
      <w:r>
        <w:t xml:space="preserve"> UE Tx chains could be fully</w:t>
      </w:r>
      <w:r w:rsidR="00E41E6B">
        <w:t>-</w:t>
      </w:r>
      <w:r>
        <w:t>coherent, partially</w:t>
      </w:r>
      <w:r w:rsidR="00E41E6B">
        <w:t>-</w:t>
      </w:r>
      <w:r>
        <w:t>coherent or non-coherent and hence corresponding codebook subsets are specified. Rel-15 also supports coherent or non-coherent codebook subsets</w:t>
      </w:r>
      <w:r w:rsidR="001459DB">
        <w:t xml:space="preserve"> for 2Tx UL MIMO</w:t>
      </w:r>
      <w:r>
        <w:t xml:space="preserve"> corresponding to coherent or non-coherent Tx chains capability. </w:t>
      </w:r>
      <w:r w:rsidR="00407534">
        <w:t xml:space="preserve">If </w:t>
      </w:r>
      <w:proofErr w:type="gramStart"/>
      <w:r w:rsidR="00407534">
        <w:t>an</w:t>
      </w:r>
      <w:proofErr w:type="gramEnd"/>
      <w:r w:rsidR="00407534">
        <w:t xml:space="preserve"> UE is capable of coherent 4Tx chains supporting coherent codebook subset for 4Tx UL MIMO</w:t>
      </w:r>
      <w:r w:rsidR="00046C02">
        <w:t>,</w:t>
      </w:r>
      <w:r w:rsidR="00407534">
        <w:t xml:space="preserve"> it can be straight forward to assume that the same UE can support coherent codebook subset for 2Tx UL MIMO</w:t>
      </w:r>
      <w:r w:rsidR="00046C02">
        <w:t xml:space="preserve"> from 2 out of 4 antennas</w:t>
      </w:r>
      <w:r w:rsidR="00407534">
        <w:t xml:space="preserve">; similarly UE supporting non-coherent 4Tx codebook subset can support non-coherent 2Tx codebook subset. However, </w:t>
      </w:r>
      <w:r w:rsidR="00216B3F">
        <w:t xml:space="preserve">for </w:t>
      </w:r>
      <w:proofErr w:type="gramStart"/>
      <w:r w:rsidR="00216B3F">
        <w:t>an</w:t>
      </w:r>
      <w:proofErr w:type="gramEnd"/>
      <w:r w:rsidR="00216B3F">
        <w:t xml:space="preserve"> UE capable of partial-</w:t>
      </w:r>
      <w:r w:rsidR="00953073">
        <w:t>coherent 4 Tx chains, it could support either coherent 2Tx codebook subset with 2 coherent Tx chains or non-coherent 2Tx codebook subset with 2 non-coherent Tx chains.</w:t>
      </w:r>
      <w:r w:rsidR="00D05EF6">
        <w:t xml:space="preserve"> </w:t>
      </w:r>
    </w:p>
    <w:p w14:paraId="19996F8B" w14:textId="77777777" w:rsidR="00DE0406" w:rsidRDefault="00D05EF6">
      <w:r>
        <w:t>In 38.214, following is specified,</w:t>
      </w:r>
    </w:p>
    <w:p w14:paraId="2E58F62C" w14:textId="77777777" w:rsidR="00D05EF6" w:rsidRDefault="00D05EF6" w:rsidP="00EF29D3">
      <w:pPr>
        <w:ind w:leftChars="100" w:left="210"/>
      </w:pPr>
      <w:r>
        <w:t>“</w:t>
      </w:r>
      <w:r w:rsidRPr="00EF29D3">
        <w:rPr>
          <w:color w:val="000000"/>
        </w:rPr>
        <w:t>A UE reporting its UE capability of '</w:t>
      </w:r>
      <w:proofErr w:type="spellStart"/>
      <w:r w:rsidRPr="00EF29D3">
        <w:t>partialAndNonCoherent</w:t>
      </w:r>
      <w:proofErr w:type="spellEnd"/>
      <w:r w:rsidRPr="00EF29D3">
        <w:rPr>
          <w:color w:val="000000"/>
        </w:rPr>
        <w:t xml:space="preserve">' transmission shall not expect to be configured by either </w:t>
      </w:r>
      <w:proofErr w:type="spellStart"/>
      <w:r w:rsidRPr="00EF29D3">
        <w:rPr>
          <w:i/>
        </w:rPr>
        <w:t>codebookSubset</w:t>
      </w:r>
      <w:proofErr w:type="spellEnd"/>
      <w:r w:rsidRPr="00EF29D3">
        <w:rPr>
          <w:color w:val="000000"/>
        </w:rPr>
        <w:t xml:space="preserve"> or </w:t>
      </w:r>
      <w:r w:rsidRPr="00EF29D3">
        <w:rPr>
          <w:i/>
          <w:color w:val="000000"/>
        </w:rPr>
        <w:t>codebookSubsetForDCI-Format0-2</w:t>
      </w:r>
      <w:r w:rsidRPr="00EF29D3">
        <w:rPr>
          <w:color w:val="000000"/>
        </w:rPr>
        <w:t xml:space="preserve"> with '</w:t>
      </w:r>
      <w:proofErr w:type="spellStart"/>
      <w:r w:rsidRPr="00EF29D3">
        <w:rPr>
          <w:rFonts w:eastAsia="Malgun Gothic"/>
        </w:rPr>
        <w:t>fullyAndPartialAndNonCoherent</w:t>
      </w:r>
      <w:proofErr w:type="spellEnd"/>
      <w:r w:rsidRPr="00EF29D3">
        <w:rPr>
          <w:rFonts w:eastAsia="Malgun Gothic"/>
          <w:i/>
        </w:rPr>
        <w:t>'</w:t>
      </w:r>
      <w:r w:rsidRPr="00EF29D3">
        <w:rPr>
          <w:color w:val="000000"/>
        </w:rPr>
        <w:t>.</w:t>
      </w:r>
      <w:r>
        <w:t>”</w:t>
      </w:r>
    </w:p>
    <w:p w14:paraId="25E8C52F" w14:textId="77777777" w:rsidR="0027228F" w:rsidRDefault="00D05EF6">
      <w:r>
        <w:t>T</w:t>
      </w:r>
      <w:r>
        <w:rPr>
          <w:rFonts w:hint="eastAsia"/>
        </w:rPr>
        <w:t xml:space="preserve">he </w:t>
      </w:r>
      <w:r>
        <w:t xml:space="preserve">intention of the above statement is to prevent </w:t>
      </w:r>
      <w:proofErr w:type="spellStart"/>
      <w:r>
        <w:t>gNB</w:t>
      </w:r>
      <w:proofErr w:type="spellEnd"/>
      <w:r>
        <w:t xml:space="preserve"> configuring </w:t>
      </w:r>
      <w:r w:rsidR="003C0CEB">
        <w:t xml:space="preserve">4Tx </w:t>
      </w:r>
      <w:r>
        <w:t>full</w:t>
      </w:r>
      <w:r w:rsidR="00EF5A0E">
        <w:t>-</w:t>
      </w:r>
      <w:r>
        <w:t>coherent cod</w:t>
      </w:r>
      <w:r w:rsidR="003C0CEB">
        <w:t xml:space="preserve">ebook subset to </w:t>
      </w:r>
      <w:proofErr w:type="gramStart"/>
      <w:r w:rsidR="003C0CEB">
        <w:t>an</w:t>
      </w:r>
      <w:proofErr w:type="gramEnd"/>
      <w:r w:rsidR="003C0CEB">
        <w:t xml:space="preserve"> UE capable of 4Tx partial</w:t>
      </w:r>
      <w:r w:rsidR="00EF5A0E">
        <w:t>-</w:t>
      </w:r>
      <w:r w:rsidR="003C0CEB">
        <w:t xml:space="preserve">coherent chains. It is not clear from the current spec whether 2Tx coherent codebook subset can be configured for </w:t>
      </w:r>
      <w:proofErr w:type="gramStart"/>
      <w:r w:rsidR="003C0CEB">
        <w:t>an</w:t>
      </w:r>
      <w:proofErr w:type="gramEnd"/>
      <w:r w:rsidR="003C0CEB">
        <w:t xml:space="preserve"> UE supporting 4Tx partial codebook subset.</w:t>
      </w:r>
    </w:p>
    <w:p w14:paraId="6DE175B0" w14:textId="77777777" w:rsidR="003C0CEB" w:rsidRDefault="003C0CEB">
      <w:r>
        <w:rPr>
          <w:rFonts w:hint="eastAsia"/>
        </w:rPr>
        <w:t xml:space="preserve">Furthermore, NR Rel-16 specified </w:t>
      </w:r>
      <w:r>
        <w:t xml:space="preserve">UL </w:t>
      </w:r>
      <w:r>
        <w:rPr>
          <w:rFonts w:hint="eastAsia"/>
        </w:rPr>
        <w:t xml:space="preserve">full power </w:t>
      </w:r>
      <w:r>
        <w:t>transmission</w:t>
      </w:r>
      <w:r>
        <w:rPr>
          <w:rFonts w:hint="eastAsia"/>
        </w:rPr>
        <w:t xml:space="preserve"> </w:t>
      </w:r>
      <w:r>
        <w:t xml:space="preserve">schemes with mode0, mode1 and mode2. UL full power transmission is mainly introduced for non-coherent and partial-coherent UEs. </w:t>
      </w:r>
      <w:r w:rsidR="008A0325">
        <w:t>4Tx partial-coherent UE supporting UL full power transmission mode0 can support 2Tx coherent or non-coherent and UL full power transmission mode0</w:t>
      </w:r>
      <w:r w:rsidR="00EF29D3">
        <w:t xml:space="preserve"> since power scaling s=1 is specified in 38.213</w:t>
      </w:r>
      <w:r w:rsidR="008A0325">
        <w:t xml:space="preserve">. Similarly, 4Tx partial-coherent UE supporting UL full power transmission mode2 can support 2Tx non-coherent UL full power mode2 with antenna virtualization or </w:t>
      </w:r>
      <w:r w:rsidR="007E0620">
        <w:t>full power TPMI indication. Following is specified in 38.214</w:t>
      </w:r>
    </w:p>
    <w:p w14:paraId="7D6CC410" w14:textId="77777777" w:rsidR="007E0620" w:rsidRPr="00D05EF6" w:rsidRDefault="007E0620" w:rsidP="00EF29D3">
      <w:pPr>
        <w:ind w:leftChars="100" w:left="210"/>
      </w:pPr>
      <w:r w:rsidRPr="00EF29D3">
        <w:t>“</w:t>
      </w:r>
      <w:r w:rsidRPr="00EF29D3">
        <w:rPr>
          <w:color w:val="000000" w:themeColor="text1"/>
        </w:rPr>
        <w:t>When higher layer parameter</w:t>
      </w:r>
      <w:r w:rsidRPr="00EF29D3">
        <w:rPr>
          <w:rStyle w:val="a8"/>
          <w:color w:val="000000" w:themeColor="text1"/>
        </w:rPr>
        <w:t xml:space="preserve"> ul-</w:t>
      </w:r>
      <w:proofErr w:type="spellStart"/>
      <w:r w:rsidRPr="00EF29D3">
        <w:rPr>
          <w:rStyle w:val="a8"/>
          <w:color w:val="000000" w:themeColor="text1"/>
        </w:rPr>
        <w:t>FullPowerTransmission</w:t>
      </w:r>
      <w:proofErr w:type="spellEnd"/>
      <w:r w:rsidRPr="00EF29D3">
        <w:rPr>
          <w:rStyle w:val="apple-converted-space"/>
          <w:color w:val="000000" w:themeColor="text1"/>
        </w:rPr>
        <w:t xml:space="preserve"> </w:t>
      </w:r>
      <w:r w:rsidRPr="00EF29D3">
        <w:rPr>
          <w:color w:val="000000" w:themeColor="text1"/>
        </w:rPr>
        <w:t>is set to '</w:t>
      </w:r>
      <w:r w:rsidRPr="00EF29D3">
        <w:rPr>
          <w:rStyle w:val="a8"/>
          <w:color w:val="000000" w:themeColor="text1"/>
        </w:rPr>
        <w:t>fullpowerMode2'</w:t>
      </w:r>
      <w:r w:rsidRPr="00EF29D3">
        <w:rPr>
          <w:rStyle w:val="apple-converted-space"/>
          <w:i/>
          <w:iCs/>
          <w:color w:val="000000" w:themeColor="text1"/>
        </w:rPr>
        <w:t xml:space="preserve"> </w:t>
      </w:r>
      <w:r w:rsidRPr="00EF29D3">
        <w:rPr>
          <w:color w:val="000000" w:themeColor="text1"/>
        </w:rPr>
        <w:t>and the higher layer parameter</w:t>
      </w:r>
      <w:r w:rsidRPr="00EF29D3">
        <w:rPr>
          <w:rStyle w:val="apple-converted-space"/>
          <w:color w:val="000000" w:themeColor="text1"/>
        </w:rPr>
        <w:t xml:space="preserve"> </w:t>
      </w:r>
      <w:proofErr w:type="spellStart"/>
      <w:r w:rsidRPr="00EF29D3">
        <w:rPr>
          <w:rStyle w:val="a8"/>
          <w:color w:val="000000" w:themeColor="text1"/>
        </w:rPr>
        <w:t>codebookSubset</w:t>
      </w:r>
      <w:proofErr w:type="spellEnd"/>
      <w:r w:rsidRPr="00EF29D3">
        <w:rPr>
          <w:rStyle w:val="apple-converted-space"/>
          <w:color w:val="000000" w:themeColor="text1"/>
        </w:rPr>
        <w:t xml:space="preserve"> </w:t>
      </w:r>
      <w:r w:rsidRPr="00EF29D3">
        <w:rPr>
          <w:color w:val="000000" w:themeColor="text1"/>
        </w:rPr>
        <w:t>or the higher layer parameter</w:t>
      </w:r>
      <w:r w:rsidRPr="00EF29D3">
        <w:rPr>
          <w:rStyle w:val="apple-converted-space"/>
          <w:color w:val="000000" w:themeColor="text1"/>
        </w:rPr>
        <w:t xml:space="preserve"> </w:t>
      </w:r>
      <w:r w:rsidRPr="00EF29D3">
        <w:rPr>
          <w:rStyle w:val="a8"/>
          <w:color w:val="000000" w:themeColor="text1"/>
        </w:rPr>
        <w:t>codebookSubsetForDCI-Format0-2</w:t>
      </w:r>
      <w:r w:rsidRPr="00EF29D3">
        <w:rPr>
          <w:rStyle w:val="apple-converted-space"/>
          <w:color w:val="000000" w:themeColor="text1"/>
        </w:rPr>
        <w:t xml:space="preserve"> is </w:t>
      </w:r>
      <w:r w:rsidRPr="00EF29D3">
        <w:rPr>
          <w:color w:val="000000" w:themeColor="text1"/>
        </w:rPr>
        <w:t>set to</w:t>
      </w:r>
      <w:r w:rsidRPr="00EF29D3">
        <w:rPr>
          <w:rStyle w:val="apple-converted-space"/>
          <w:color w:val="000000" w:themeColor="text1"/>
        </w:rPr>
        <w:t xml:space="preserve"> </w:t>
      </w:r>
      <w:r w:rsidRPr="00EF29D3">
        <w:rPr>
          <w:rStyle w:val="a8"/>
          <w:color w:val="000000" w:themeColor="text1"/>
        </w:rPr>
        <w:t>'</w:t>
      </w:r>
      <w:proofErr w:type="spellStart"/>
      <w:r w:rsidRPr="00EF29D3">
        <w:rPr>
          <w:color w:val="000000" w:themeColor="text1"/>
        </w:rPr>
        <w:t>partialAndNonCoherent</w:t>
      </w:r>
      <w:proofErr w:type="spellEnd"/>
      <w:r w:rsidRPr="00EF29D3">
        <w:rPr>
          <w:color w:val="000000" w:themeColor="text1"/>
        </w:rPr>
        <w:t>', and when the SRS-</w:t>
      </w:r>
      <w:proofErr w:type="spellStart"/>
      <w:r w:rsidRPr="00EF29D3">
        <w:rPr>
          <w:color w:val="000000" w:themeColor="text1"/>
        </w:rPr>
        <w:t>resourceSet</w:t>
      </w:r>
      <w:proofErr w:type="spellEnd"/>
      <w:r w:rsidRPr="00EF29D3">
        <w:rPr>
          <w:color w:val="000000" w:themeColor="text1"/>
        </w:rPr>
        <w:t xml:space="preserve"> with usage set to "codebook" includes at least one SRS resource with 4 ports and one SRS resource with 2 ports, the </w:t>
      </w:r>
      <w:proofErr w:type="spellStart"/>
      <w:r w:rsidRPr="00EF29D3">
        <w:rPr>
          <w:color w:val="000000" w:themeColor="text1"/>
        </w:rPr>
        <w:t>codebookSubset</w:t>
      </w:r>
      <w:proofErr w:type="spellEnd"/>
      <w:r w:rsidRPr="00EF29D3">
        <w:rPr>
          <w:color w:val="000000" w:themeColor="text1"/>
        </w:rPr>
        <w:t xml:space="preserve"> associated with the 2-port SRS resource is '</w:t>
      </w:r>
      <w:proofErr w:type="spellStart"/>
      <w:r w:rsidRPr="00EF29D3">
        <w:rPr>
          <w:color w:val="000000" w:themeColor="text1"/>
        </w:rPr>
        <w:t>nonCoherent</w:t>
      </w:r>
      <w:proofErr w:type="spellEnd"/>
      <w:r w:rsidRPr="00EF29D3">
        <w:rPr>
          <w:color w:val="000000" w:themeColor="text1"/>
        </w:rPr>
        <w:t>'.</w:t>
      </w:r>
      <w:r w:rsidRPr="00EF29D3">
        <w:t>”</w:t>
      </w:r>
    </w:p>
    <w:p w14:paraId="50AAA601" w14:textId="77777777" w:rsidR="001950C8" w:rsidRDefault="00EF29D3">
      <w:r>
        <w:t>A</w:t>
      </w:r>
      <w:r>
        <w:rPr>
          <w:rFonts w:hint="eastAsia"/>
        </w:rPr>
        <w:t>nd,</w:t>
      </w:r>
      <w:r>
        <w:t xml:space="preserve"> power scaling s=1 for full power TPMIs or scaled by</w:t>
      </w:r>
      <w:r w:rsidR="00F31597">
        <w:t xml:space="preserve"> the ratio of</w:t>
      </w:r>
      <w:r>
        <w:t xml:space="preserve"> number of non-zero PUSCH ports to number SRS ports </w:t>
      </w:r>
      <w:r w:rsidR="00B22318">
        <w:t xml:space="preserve">corresponding </w:t>
      </w:r>
      <w:r w:rsidR="00F11B53">
        <w:t>SRS resource</w:t>
      </w:r>
      <w:r>
        <w:t xml:space="preserve">. </w:t>
      </w:r>
    </w:p>
    <w:p w14:paraId="3DAF4882" w14:textId="77777777" w:rsidR="00396763" w:rsidRDefault="00F31597">
      <w:r>
        <w:t xml:space="preserve">In current spec, when 2-port SRS is configured for an UE supporting 4Tx in UL, no matter the </w:t>
      </w:r>
      <w:r>
        <w:lastRenderedPageBreak/>
        <w:t>codebook subset is coherent or non-coherent, the UE cannot deliver full power with mode1 since the power is scaled by the ratio of non-zero PUSCH ports</w:t>
      </w:r>
      <w:r w:rsidR="001950C8">
        <w:t xml:space="preserve"> number</w:t>
      </w:r>
      <w:r>
        <w:t xml:space="preserve"> to maximum number of SRS ports supported by the UE</w:t>
      </w:r>
      <w:r w:rsidR="001C4856" w:rsidRPr="00100FF1">
        <w:t xml:space="preserve"> </w:t>
      </w:r>
      <w:r w:rsidR="001C4856" w:rsidRPr="00100FF1">
        <w:rPr>
          <w:rFonts w:hint="eastAsia"/>
        </w:rPr>
        <w:t>in one SRS resource</w:t>
      </w:r>
      <w:r>
        <w:t>, for non-coherent rank=1 transmission the output power is scaled either by 1/4 or 2/4</w:t>
      </w:r>
      <w:r w:rsidR="00A168D8">
        <w:t xml:space="preserve"> depending on indicated TPMI</w:t>
      </w:r>
      <w:r>
        <w:t>.</w:t>
      </w:r>
    </w:p>
    <w:p w14:paraId="087D7C65" w14:textId="77777777" w:rsidR="00EF29D3" w:rsidRPr="003C0CEB" w:rsidRDefault="00EF29D3"/>
    <w:p w14:paraId="5119E803" w14:textId="77777777" w:rsidR="003750BE" w:rsidRPr="00CE1ACA" w:rsidRDefault="003750BE" w:rsidP="00CE1ACA">
      <w:pPr>
        <w:pStyle w:val="title1"/>
        <w:spacing w:before="156" w:after="156"/>
      </w:pPr>
      <w:r w:rsidRPr="00CE1ACA">
        <w:rPr>
          <w:rFonts w:hint="eastAsia"/>
        </w:rPr>
        <w:t>Motivation</w:t>
      </w:r>
      <w:r w:rsidR="00503C2E" w:rsidRPr="00CE1ACA">
        <w:t xml:space="preserve"> </w:t>
      </w:r>
      <w:r w:rsidR="00CE1ACA">
        <w:t>and</w:t>
      </w:r>
      <w:r w:rsidR="00503C2E" w:rsidRPr="00CE1ACA">
        <w:t xml:space="preserve"> proposal</w:t>
      </w:r>
      <w:r w:rsidR="00CE1ACA">
        <w:t>s</w:t>
      </w:r>
      <w:r w:rsidRPr="00CE1ACA">
        <w:t>:</w:t>
      </w:r>
    </w:p>
    <w:p w14:paraId="69E69334" w14:textId="77777777" w:rsidR="006B1047" w:rsidRDefault="00EF070C" w:rsidP="00FD66C9">
      <w:proofErr w:type="spellStart"/>
      <w:r>
        <w:rPr>
          <w:rFonts w:hint="eastAsia"/>
        </w:rPr>
        <w:t>gNB</w:t>
      </w:r>
      <w:proofErr w:type="spellEnd"/>
      <w:r>
        <w:rPr>
          <w:rFonts w:hint="eastAsia"/>
        </w:rPr>
        <w:t xml:space="preserve"> may configure 2-port SRS for </w:t>
      </w:r>
      <w:proofErr w:type="gramStart"/>
      <w:r>
        <w:rPr>
          <w:rFonts w:hint="eastAsia"/>
        </w:rPr>
        <w:t>an</w:t>
      </w:r>
      <w:proofErr w:type="gramEnd"/>
      <w:r>
        <w:rPr>
          <w:rFonts w:hint="eastAsia"/>
        </w:rPr>
        <w:t xml:space="preserve"> UE supporting </w:t>
      </w:r>
      <w:r w:rsidR="009B6B2E">
        <w:rPr>
          <w:rFonts w:hint="eastAsia"/>
        </w:rPr>
        <w:t>4Tx in UL for different reasons;</w:t>
      </w:r>
      <w:r>
        <w:rPr>
          <w:rFonts w:hint="eastAsia"/>
        </w:rPr>
        <w:t xml:space="preserve"> </w:t>
      </w:r>
      <w:r w:rsidR="009B6B2E">
        <w:t>it could be for</w:t>
      </w:r>
      <w:r>
        <w:rPr>
          <w:rFonts w:hint="eastAsia"/>
        </w:rPr>
        <w:t xml:space="preserve"> UE</w:t>
      </w:r>
      <w:r>
        <w:t xml:space="preserve"> power saving purpose</w:t>
      </w:r>
      <w:r w:rsidR="009B6B2E">
        <w:t>,</w:t>
      </w:r>
      <w:r>
        <w:t xml:space="preserve"> </w:t>
      </w:r>
      <w:proofErr w:type="spellStart"/>
      <w:r>
        <w:t>gNB</w:t>
      </w:r>
      <w:proofErr w:type="spellEnd"/>
      <w:r>
        <w:t xml:space="preserve"> may configure fewer number of SRS ports than max number of ports UE supported in different BWPs,</w:t>
      </w:r>
      <w:r w:rsidR="009B6B2E">
        <w:t xml:space="preserve"> </w:t>
      </w:r>
      <w:r w:rsidR="00DA1A71">
        <w:t>or it could be due to</w:t>
      </w:r>
      <w:r w:rsidR="009B6B2E">
        <w:t xml:space="preserve"> overall SRS overhead in the cell. </w:t>
      </w:r>
    </w:p>
    <w:p w14:paraId="4DAA231B" w14:textId="77777777" w:rsidR="00D06540" w:rsidRDefault="006B3EAA" w:rsidP="00FD66C9">
      <w:r>
        <w:t>F</w:t>
      </w:r>
      <w:r>
        <w:rPr>
          <w:rFonts w:hint="eastAsia"/>
        </w:rPr>
        <w:t xml:space="preserve">or </w:t>
      </w:r>
      <w:r>
        <w:t xml:space="preserve">4Tx partial-coherent UE not supporting Rel-16 UL full power transmission, </w:t>
      </w:r>
      <w:r w:rsidR="00421239">
        <w:t>if configured with 2-port SRS, maximum deliverable output power could be different with coherent codebook subset and non-coherent codebook subset. Let’s assume PC3 UE, 2Tx non-coherent codebook subset contains only antenna selection TPMIs, that means the maximum output power for rank=1 transmission is scaled by 1/4, if 2Tx coherent codebook subset can be configured then the maximum output power for rank=1 transmission</w:t>
      </w:r>
      <w:r w:rsidR="00421239" w:rsidRPr="00421239">
        <w:t xml:space="preserve"> </w:t>
      </w:r>
      <w:r w:rsidR="00421239">
        <w:t>with non-antenna selection TPMIs is scaled by 2/4 since there are 2 non-zero PUSCH ports, which means 3dB more power.</w:t>
      </w:r>
      <w:r w:rsidR="0018642F">
        <w:t xml:space="preserve"> </w:t>
      </w:r>
    </w:p>
    <w:p w14:paraId="1311AE42" w14:textId="77777777" w:rsidR="00C13091" w:rsidRDefault="00C13091" w:rsidP="00FD66C9">
      <w:r>
        <w:t>For example, as shown in figure 1 below, for 4Tx partial-coherent UE</w:t>
      </w:r>
      <w:r w:rsidR="00365239">
        <w:t xml:space="preserve"> (with 17dBm PAs)</w:t>
      </w:r>
      <w:r>
        <w:t>, by virtualizing 2 antennas it can operate as 2Tx coherent or non-coherent UE. If it is assumed 2Tx non-coherent UE after virtualization, due to power scaling mechanism, for rank=1 transmission the maximum outpu</w:t>
      </w:r>
      <w:r w:rsidR="00D06540">
        <w:t xml:space="preserve">t power is 1/4 of </w:t>
      </w:r>
      <w:proofErr w:type="spellStart"/>
      <w:r w:rsidR="00D06540">
        <w:t>Pc_max</w:t>
      </w:r>
      <w:proofErr w:type="spellEnd"/>
      <w:r w:rsidR="00D06540">
        <w:t xml:space="preserve">, i.e. 17dBm for PC3 UE and if assuming 2Tx coherent UE after virtualization, the non-antenna selection TPMIs can deliver 1/2 of </w:t>
      </w:r>
      <w:proofErr w:type="spellStart"/>
      <w:r w:rsidR="00D06540">
        <w:t>Pc_max</w:t>
      </w:r>
      <w:proofErr w:type="spellEnd"/>
      <w:r w:rsidR="00D06540">
        <w:t>, i.e. 20dBm for PC3 UE.</w:t>
      </w:r>
      <w:r>
        <w:t xml:space="preserve"> </w:t>
      </w:r>
      <w:r w:rsidR="00365239">
        <w:t>On the other hand, i</w:t>
      </w:r>
      <w:r w:rsidR="00D06540">
        <w:t xml:space="preserve">f such </w:t>
      </w:r>
      <w:proofErr w:type="gramStart"/>
      <w:r w:rsidR="00D06540">
        <w:t>an</w:t>
      </w:r>
      <w:proofErr w:type="gramEnd"/>
      <w:r w:rsidR="00D06540">
        <w:t xml:space="preserve"> UE chooses two coherent antenna pair without antenna virtualization for 2Tx </w:t>
      </w:r>
      <w:r w:rsidR="00365239">
        <w:t xml:space="preserve">operation, the non-antenna selection TPMIs can also deliver 1/2 of </w:t>
      </w:r>
      <w:proofErr w:type="spellStart"/>
      <w:r w:rsidR="00365239">
        <w:t>Pc_max</w:t>
      </w:r>
      <w:proofErr w:type="spellEnd"/>
      <w:r w:rsidR="00365239">
        <w:t>.</w:t>
      </w:r>
      <w:r w:rsidR="00D06540">
        <w:t xml:space="preserve"> </w:t>
      </w:r>
    </w:p>
    <w:p w14:paraId="2856DF96" w14:textId="77777777" w:rsidR="00C13091" w:rsidRDefault="00B25533" w:rsidP="00C13091">
      <w:pPr>
        <w:jc w:val="center"/>
      </w:pPr>
      <w:r>
        <w:rPr>
          <w:noProof/>
        </w:rPr>
        <w:drawing>
          <wp:inline distT="0" distB="0" distL="0" distR="0" wp14:anchorId="0DCA043B" wp14:editId="1A111444">
            <wp:extent cx="3840040" cy="2480734"/>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Tx-2Tx.png"/>
                    <pic:cNvPicPr/>
                  </pic:nvPicPr>
                  <pic:blipFill>
                    <a:blip r:embed="rId7">
                      <a:extLst>
                        <a:ext uri="{28A0092B-C50C-407E-A947-70E740481C1C}">
                          <a14:useLocalDpi xmlns:a14="http://schemas.microsoft.com/office/drawing/2010/main" val="0"/>
                        </a:ext>
                      </a:extLst>
                    </a:blip>
                    <a:stretch>
                      <a:fillRect/>
                    </a:stretch>
                  </pic:blipFill>
                  <pic:spPr>
                    <a:xfrm>
                      <a:off x="0" y="0"/>
                      <a:ext cx="3876886" cy="2504537"/>
                    </a:xfrm>
                    <a:prstGeom prst="rect">
                      <a:avLst/>
                    </a:prstGeom>
                  </pic:spPr>
                </pic:pic>
              </a:graphicData>
            </a:graphic>
          </wp:inline>
        </w:drawing>
      </w:r>
    </w:p>
    <w:p w14:paraId="27CC4D84" w14:textId="77777777" w:rsidR="00C13091" w:rsidRDefault="00C13091" w:rsidP="00C13091">
      <w:pPr>
        <w:jc w:val="center"/>
      </w:pPr>
      <w:r>
        <w:t>F</w:t>
      </w:r>
      <w:r>
        <w:rPr>
          <w:rFonts w:hint="eastAsia"/>
        </w:rPr>
        <w:t xml:space="preserve">igure </w:t>
      </w:r>
      <w:r>
        <w:t xml:space="preserve">1, </w:t>
      </w:r>
      <w:r w:rsidR="00365239">
        <w:t>4Tx partial-coherent UE operating as 2Tx UE</w:t>
      </w:r>
    </w:p>
    <w:p w14:paraId="63C69A7E" w14:textId="77777777" w:rsidR="00C13091" w:rsidRDefault="00C13091" w:rsidP="00FD66C9"/>
    <w:p w14:paraId="5521AFEF" w14:textId="77777777" w:rsidR="00C22718" w:rsidRDefault="0018642F" w:rsidP="00FD66C9">
      <w:r>
        <w:t>Hence, following proposal is made.</w:t>
      </w:r>
    </w:p>
    <w:p w14:paraId="08674DB4" w14:textId="77777777" w:rsidR="00533130" w:rsidRPr="00421239" w:rsidRDefault="00533130" w:rsidP="00FD66C9"/>
    <w:p w14:paraId="7E1C98C0" w14:textId="77777777" w:rsidR="00FD66C9" w:rsidRDefault="00FD66C9" w:rsidP="00FD66C9">
      <w:r>
        <w:rPr>
          <w:rFonts w:hint="eastAsia"/>
        </w:rPr>
        <w:t>Proposal</w:t>
      </w:r>
      <w:r w:rsidR="0018642F">
        <w:t xml:space="preserve"> 1</w:t>
      </w:r>
      <w:r>
        <w:rPr>
          <w:rFonts w:hint="eastAsia"/>
        </w:rPr>
        <w:t>:</w:t>
      </w:r>
    </w:p>
    <w:p w14:paraId="3C76A4EB" w14:textId="17B06B6B" w:rsidR="000432C4" w:rsidRDefault="000432C4" w:rsidP="00DA03D6">
      <w:pPr>
        <w:pStyle w:val="a3"/>
        <w:numPr>
          <w:ilvl w:val="0"/>
          <w:numId w:val="1"/>
        </w:numPr>
        <w:ind w:firstLineChars="0"/>
      </w:pPr>
      <w:r>
        <w:rPr>
          <w:rFonts w:hint="eastAsia"/>
        </w:rPr>
        <w:t>For</w:t>
      </w:r>
      <w:r>
        <w:t xml:space="preserve"> 4Tx partial-coherent capable UE, 2Tx coherent codebook subset is supported when the </w:t>
      </w:r>
      <w:r>
        <w:lastRenderedPageBreak/>
        <w:t>network configures 2-port SRS (for codebook)</w:t>
      </w:r>
      <w:r w:rsidR="00C62342">
        <w:t xml:space="preserve"> and SRS resource set includes 1 SRS resource or configured with same number of ports for all resources</w:t>
      </w:r>
      <w:r>
        <w:t>.</w:t>
      </w:r>
    </w:p>
    <w:p w14:paraId="0B23F554" w14:textId="77777777" w:rsidR="003B7EBC" w:rsidRDefault="003B7EBC" w:rsidP="003B7EBC"/>
    <w:p w14:paraId="7D873B41" w14:textId="2FC2938B" w:rsidR="003B7EBC" w:rsidRPr="00100FF1" w:rsidRDefault="00FF5938" w:rsidP="003B7EBC">
      <w:r>
        <w:t xml:space="preserve">For 4Tx UEs with architecture as shown in Figure 2, it is also possible to support full power transmission through antenna selection. </w:t>
      </w:r>
      <w:r w:rsidR="000432C4">
        <w:t>For example, f</w:t>
      </w:r>
      <w:r w:rsidR="003B7EBC" w:rsidRPr="00100FF1">
        <w:rPr>
          <w:rFonts w:hint="eastAsia"/>
        </w:rPr>
        <w:t xml:space="preserve">or </w:t>
      </w:r>
      <w:r w:rsidR="003B7EBC" w:rsidRPr="00100FF1">
        <w:t>4Tx partial-coherent</w:t>
      </w:r>
      <w:r w:rsidR="00331317" w:rsidRPr="00100FF1">
        <w:t xml:space="preserve"> or non-coherent</w:t>
      </w:r>
      <w:r w:rsidR="003B7EBC" w:rsidRPr="00100FF1">
        <w:t xml:space="preserve"> UE supporting </w:t>
      </w:r>
      <w:r>
        <w:t xml:space="preserve">only </w:t>
      </w:r>
      <w:r w:rsidR="003B7EBC" w:rsidRPr="00100FF1">
        <w:t xml:space="preserve">Rel-16 UL full power transmission mode1, </w:t>
      </w:r>
      <w:r w:rsidR="003C30DE" w:rsidRPr="00100FF1">
        <w:t xml:space="preserve">UE may </w:t>
      </w:r>
      <w:r w:rsidR="000677B6" w:rsidRPr="00100FF1">
        <w:t>select</w:t>
      </w:r>
      <w:r w:rsidR="003C30DE" w:rsidRPr="00100FF1">
        <w:t xml:space="preserve"> Tx chains </w:t>
      </w:r>
      <w:r w:rsidR="000677B6" w:rsidRPr="00100FF1">
        <w:t xml:space="preserve">to </w:t>
      </w:r>
      <w:r w:rsidR="003C4549" w:rsidRPr="00100FF1">
        <w:t>operate as 2Tx non-coherent UE</w:t>
      </w:r>
      <w:r w:rsidR="000677B6" w:rsidRPr="00100FF1">
        <w:t xml:space="preserve"> (as shown in figure 2)</w:t>
      </w:r>
      <w:r w:rsidR="003C4549" w:rsidRPr="00100FF1">
        <w:t>, to deliver full power with rank=1 and 2</w:t>
      </w:r>
      <w:r>
        <w:t>. P</w:t>
      </w:r>
      <w:r w:rsidR="003C4549" w:rsidRPr="00100FF1">
        <w:t xml:space="preserve">ower scaling </w:t>
      </w:r>
      <w:r>
        <w:rPr>
          <w:rFonts w:hint="eastAsia"/>
        </w:rPr>
        <w:t>can</w:t>
      </w:r>
      <w:r w:rsidR="003C4549" w:rsidRPr="00100FF1">
        <w:t xml:space="preserve"> be enhanced</w:t>
      </w:r>
      <w:r w:rsidR="000432C4">
        <w:t xml:space="preserve"> accordingly</w:t>
      </w:r>
      <w:r w:rsidR="003C4549" w:rsidRPr="00100FF1">
        <w:t>.</w:t>
      </w:r>
      <w:r w:rsidR="006703A1" w:rsidRPr="00100FF1">
        <w:t xml:space="preserve"> </w:t>
      </w:r>
    </w:p>
    <w:p w14:paraId="47F91F1B" w14:textId="77777777" w:rsidR="00C72108" w:rsidRDefault="00C72108" w:rsidP="00C72108">
      <w:pPr>
        <w:jc w:val="center"/>
      </w:pPr>
      <w:r>
        <w:rPr>
          <w:noProof/>
        </w:rPr>
        <w:drawing>
          <wp:inline distT="0" distB="0" distL="0" distR="0" wp14:anchorId="1C433D76" wp14:editId="5A9999A7">
            <wp:extent cx="3506740" cy="22690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t-2t mode1.png"/>
                    <pic:cNvPicPr/>
                  </pic:nvPicPr>
                  <pic:blipFill>
                    <a:blip r:embed="rId8">
                      <a:extLst>
                        <a:ext uri="{28A0092B-C50C-407E-A947-70E740481C1C}">
                          <a14:useLocalDpi xmlns:a14="http://schemas.microsoft.com/office/drawing/2010/main" val="0"/>
                        </a:ext>
                      </a:extLst>
                    </a:blip>
                    <a:stretch>
                      <a:fillRect/>
                    </a:stretch>
                  </pic:blipFill>
                  <pic:spPr>
                    <a:xfrm>
                      <a:off x="0" y="0"/>
                      <a:ext cx="3513442" cy="2273403"/>
                    </a:xfrm>
                    <a:prstGeom prst="rect">
                      <a:avLst/>
                    </a:prstGeom>
                  </pic:spPr>
                </pic:pic>
              </a:graphicData>
            </a:graphic>
          </wp:inline>
        </w:drawing>
      </w:r>
    </w:p>
    <w:p w14:paraId="3B2B1744" w14:textId="77777777" w:rsidR="00C72108" w:rsidRPr="00100FF1" w:rsidRDefault="00C72108" w:rsidP="00C72108">
      <w:pPr>
        <w:jc w:val="center"/>
      </w:pPr>
      <w:r w:rsidRPr="00100FF1">
        <w:t>F</w:t>
      </w:r>
      <w:r w:rsidRPr="00100FF1">
        <w:rPr>
          <w:rFonts w:hint="eastAsia"/>
        </w:rPr>
        <w:t xml:space="preserve">igure </w:t>
      </w:r>
      <w:r w:rsidRPr="00100FF1">
        <w:t xml:space="preserve">2, </w:t>
      </w:r>
      <w:r w:rsidR="000677B6" w:rsidRPr="00100FF1">
        <w:t>4Tx partial-coherent UE operating as 2Tx non-coherent UE</w:t>
      </w:r>
    </w:p>
    <w:p w14:paraId="7F2857FA" w14:textId="77777777" w:rsidR="003C4549" w:rsidRDefault="003C4549" w:rsidP="003B7EBC"/>
    <w:p w14:paraId="49C40E93" w14:textId="77777777" w:rsidR="003C4549" w:rsidRDefault="003C4549" w:rsidP="003B7EBC">
      <w:r>
        <w:t>Proposal 2:</w:t>
      </w:r>
    </w:p>
    <w:p w14:paraId="017007E1" w14:textId="56A31077" w:rsidR="003C4549" w:rsidRDefault="003C4549" w:rsidP="003C4549">
      <w:pPr>
        <w:pStyle w:val="a3"/>
        <w:numPr>
          <w:ilvl w:val="0"/>
          <w:numId w:val="1"/>
        </w:numPr>
        <w:ind w:firstLineChars="0"/>
      </w:pPr>
      <w:r>
        <w:t>For 4Tx partial-coherent</w:t>
      </w:r>
      <w:r w:rsidR="00331317">
        <w:t xml:space="preserve"> </w:t>
      </w:r>
      <w:r w:rsidR="00331317" w:rsidRPr="00100FF1">
        <w:t>or non-coherent</w:t>
      </w:r>
      <w:r>
        <w:t xml:space="preserve"> UE supporting UL full power transmission mode1, UL full power mode1 </w:t>
      </w:r>
      <w:r w:rsidR="00FF5938">
        <w:t xml:space="preserve">can be </w:t>
      </w:r>
      <w:r>
        <w:t>supported with 2-port SRS configured</w:t>
      </w:r>
      <w:r w:rsidR="000432C4">
        <w:t>.</w:t>
      </w:r>
    </w:p>
    <w:p w14:paraId="41EAFA7C" w14:textId="3789791A" w:rsidR="003C4549" w:rsidRDefault="00685BE9" w:rsidP="003C4549">
      <w:pPr>
        <w:pStyle w:val="a3"/>
        <w:numPr>
          <w:ilvl w:val="1"/>
          <w:numId w:val="1"/>
        </w:numPr>
        <w:ind w:firstLineChars="0"/>
      </w:pPr>
      <w:r>
        <w:t xml:space="preserve">New UE capability is introduced </w:t>
      </w:r>
    </w:p>
    <w:p w14:paraId="6E984648" w14:textId="77777777" w:rsidR="00EB3EB4" w:rsidRDefault="00EB3EB4" w:rsidP="00EB3EB4">
      <w:pPr>
        <w:pStyle w:val="title1"/>
        <w:spacing w:before="156" w:after="156"/>
      </w:pPr>
      <w:r>
        <w:t>C</w:t>
      </w:r>
      <w:r>
        <w:rPr>
          <w:rFonts w:hint="eastAsia"/>
        </w:rPr>
        <w:t>onclusion:</w:t>
      </w:r>
    </w:p>
    <w:p w14:paraId="62CD184A" w14:textId="77777777" w:rsidR="00AD63EC" w:rsidRDefault="00AD63EC" w:rsidP="008E0687">
      <w:r>
        <w:t>I</w:t>
      </w:r>
      <w:r>
        <w:rPr>
          <w:rFonts w:hint="eastAsia"/>
        </w:rPr>
        <w:t xml:space="preserve">n </w:t>
      </w:r>
      <w:r>
        <w:t xml:space="preserve">this contribution, we discussed the motivation and use case of configuring fewer number of SRS ports for </w:t>
      </w:r>
      <w:proofErr w:type="gramStart"/>
      <w:r>
        <w:t>an</w:t>
      </w:r>
      <w:proofErr w:type="gramEnd"/>
      <w:r>
        <w:t xml:space="preserve"> UE supporting larger number of Tx chains. For a 4Tx partial-coherent UE not supporting Rel-16 UL full power, 2 port SRS and 2Tx coherent codebook subset can be configured, hence following is proposed.</w:t>
      </w:r>
    </w:p>
    <w:p w14:paraId="7129AA84" w14:textId="77777777" w:rsidR="00AD63EC" w:rsidRDefault="00AD63EC" w:rsidP="00AD63EC">
      <w:r>
        <w:rPr>
          <w:rFonts w:hint="eastAsia"/>
        </w:rPr>
        <w:t>Proposal</w:t>
      </w:r>
      <w:r>
        <w:t xml:space="preserve"> 1</w:t>
      </w:r>
      <w:r>
        <w:rPr>
          <w:rFonts w:hint="eastAsia"/>
        </w:rPr>
        <w:t>:</w:t>
      </w:r>
    </w:p>
    <w:p w14:paraId="2AEB8F76" w14:textId="77777777" w:rsidR="00DA03D6" w:rsidRDefault="00DA03D6" w:rsidP="00DA03D6">
      <w:pPr>
        <w:pStyle w:val="a3"/>
        <w:numPr>
          <w:ilvl w:val="0"/>
          <w:numId w:val="1"/>
        </w:numPr>
        <w:ind w:firstLineChars="0"/>
      </w:pPr>
      <w:r>
        <w:rPr>
          <w:rFonts w:hint="eastAsia"/>
        </w:rPr>
        <w:t>For</w:t>
      </w:r>
      <w:r>
        <w:t xml:space="preserve"> 4Tx partial-coherent capable UE, 2Tx coherent codebook subset is supported when the network configures 2-port SRS (for codebook) and SRS resource set includes 1 SRS resource or configured with same number of ports for all resources.</w:t>
      </w:r>
    </w:p>
    <w:p w14:paraId="237653D3" w14:textId="77777777" w:rsidR="008E0687" w:rsidRPr="00DA03D6" w:rsidRDefault="008E0687" w:rsidP="008E0687"/>
    <w:p w14:paraId="0D7A8160" w14:textId="77777777" w:rsidR="00AD63EC" w:rsidRDefault="00AD63EC" w:rsidP="008E0687">
      <w:r>
        <w:t>F</w:t>
      </w:r>
      <w:r>
        <w:rPr>
          <w:rFonts w:hint="eastAsia"/>
        </w:rPr>
        <w:t xml:space="preserve">or </w:t>
      </w:r>
      <w:r>
        <w:t>4Tx UE configured with 2 port SRS, to support full power transmission in UL following proposal</w:t>
      </w:r>
      <w:r w:rsidR="000677B6">
        <w:t xml:space="preserve"> is</w:t>
      </w:r>
      <w:r>
        <w:t xml:space="preserve"> made:</w:t>
      </w:r>
    </w:p>
    <w:p w14:paraId="2FC1EA70" w14:textId="77777777" w:rsidR="00AD63EC" w:rsidRDefault="00AD63EC" w:rsidP="00AD63EC">
      <w:r>
        <w:t>Proposal 2:</w:t>
      </w:r>
    </w:p>
    <w:p w14:paraId="130F8357" w14:textId="77777777" w:rsidR="00DA03D6" w:rsidRDefault="00DA03D6" w:rsidP="00DA03D6">
      <w:pPr>
        <w:pStyle w:val="a3"/>
        <w:numPr>
          <w:ilvl w:val="0"/>
          <w:numId w:val="1"/>
        </w:numPr>
        <w:ind w:firstLineChars="0"/>
      </w:pPr>
      <w:r>
        <w:t xml:space="preserve">For 4Tx partial-coherent </w:t>
      </w:r>
      <w:r w:rsidRPr="00100FF1">
        <w:t>or non-coherent</w:t>
      </w:r>
      <w:r>
        <w:t xml:space="preserve"> UE supporting UL full power transmission mode1, UL full power mode1 can be supported with 2-port SRS configured.</w:t>
      </w:r>
    </w:p>
    <w:p w14:paraId="1530D78D" w14:textId="5836BEDC" w:rsidR="00AD63EC" w:rsidRDefault="00024F9D" w:rsidP="00DA03D6">
      <w:pPr>
        <w:pStyle w:val="a3"/>
        <w:numPr>
          <w:ilvl w:val="1"/>
          <w:numId w:val="1"/>
        </w:numPr>
        <w:ind w:firstLineChars="0"/>
      </w:pPr>
      <w:r>
        <w:t>New UE capability is introduced</w:t>
      </w:r>
    </w:p>
    <w:sectPr w:rsidR="00AD63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6B42F" w14:textId="77777777" w:rsidR="00F86D9D" w:rsidRDefault="00F86D9D" w:rsidP="009F54B5">
      <w:r>
        <w:separator/>
      </w:r>
    </w:p>
  </w:endnote>
  <w:endnote w:type="continuationSeparator" w:id="0">
    <w:p w14:paraId="5C5E2CEF" w14:textId="77777777" w:rsidR="00F86D9D" w:rsidRDefault="00F86D9D" w:rsidP="009F5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5B013" w14:textId="77777777" w:rsidR="00F86D9D" w:rsidRDefault="00F86D9D" w:rsidP="009F54B5">
      <w:r>
        <w:separator/>
      </w:r>
    </w:p>
  </w:footnote>
  <w:footnote w:type="continuationSeparator" w:id="0">
    <w:p w14:paraId="489A9ADE" w14:textId="77777777" w:rsidR="00F86D9D" w:rsidRDefault="00F86D9D" w:rsidP="009F54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4DAD297C"/>
    <w:multiLevelType w:val="hybridMultilevel"/>
    <w:tmpl w:val="A3381510"/>
    <w:lvl w:ilvl="0" w:tplc="8BBE8868">
      <w:start w:val="20"/>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64E"/>
    <w:rsid w:val="00021D06"/>
    <w:rsid w:val="000235E7"/>
    <w:rsid w:val="00024F9D"/>
    <w:rsid w:val="000432C4"/>
    <w:rsid w:val="00046C02"/>
    <w:rsid w:val="00051E4E"/>
    <w:rsid w:val="000677B6"/>
    <w:rsid w:val="000D33F2"/>
    <w:rsid w:val="00100FF1"/>
    <w:rsid w:val="00102027"/>
    <w:rsid w:val="001459DB"/>
    <w:rsid w:val="001658DC"/>
    <w:rsid w:val="0018642F"/>
    <w:rsid w:val="001950C8"/>
    <w:rsid w:val="00196D99"/>
    <w:rsid w:val="001B40F8"/>
    <w:rsid w:val="001C4856"/>
    <w:rsid w:val="001F4BFA"/>
    <w:rsid w:val="002109DF"/>
    <w:rsid w:val="0021642E"/>
    <w:rsid w:val="00216B3F"/>
    <w:rsid w:val="002275FD"/>
    <w:rsid w:val="0027228F"/>
    <w:rsid w:val="00287DFB"/>
    <w:rsid w:val="002E5B85"/>
    <w:rsid w:val="00331317"/>
    <w:rsid w:val="00365239"/>
    <w:rsid w:val="003750BE"/>
    <w:rsid w:val="00396763"/>
    <w:rsid w:val="003B1E2F"/>
    <w:rsid w:val="003B7EBC"/>
    <w:rsid w:val="003C0CEB"/>
    <w:rsid w:val="003C30DE"/>
    <w:rsid w:val="003C4549"/>
    <w:rsid w:val="003C5D95"/>
    <w:rsid w:val="003F402A"/>
    <w:rsid w:val="004072BF"/>
    <w:rsid w:val="00407534"/>
    <w:rsid w:val="00410679"/>
    <w:rsid w:val="00421239"/>
    <w:rsid w:val="004241D8"/>
    <w:rsid w:val="0045381F"/>
    <w:rsid w:val="004B327E"/>
    <w:rsid w:val="004B3337"/>
    <w:rsid w:val="00503C2E"/>
    <w:rsid w:val="005145C8"/>
    <w:rsid w:val="00533130"/>
    <w:rsid w:val="006703A1"/>
    <w:rsid w:val="00685BE9"/>
    <w:rsid w:val="006B1047"/>
    <w:rsid w:val="006B3EAA"/>
    <w:rsid w:val="006F164E"/>
    <w:rsid w:val="007222FD"/>
    <w:rsid w:val="00736646"/>
    <w:rsid w:val="007E0620"/>
    <w:rsid w:val="007E1F23"/>
    <w:rsid w:val="00811318"/>
    <w:rsid w:val="00831BA4"/>
    <w:rsid w:val="00862550"/>
    <w:rsid w:val="00867D70"/>
    <w:rsid w:val="008A0325"/>
    <w:rsid w:val="008A2C5A"/>
    <w:rsid w:val="008B4FBF"/>
    <w:rsid w:val="008E0687"/>
    <w:rsid w:val="00953073"/>
    <w:rsid w:val="00963D61"/>
    <w:rsid w:val="009B13F6"/>
    <w:rsid w:val="009B6B2E"/>
    <w:rsid w:val="009E776E"/>
    <w:rsid w:val="009F45B4"/>
    <w:rsid w:val="009F54B5"/>
    <w:rsid w:val="00A05104"/>
    <w:rsid w:val="00A103AD"/>
    <w:rsid w:val="00A168D8"/>
    <w:rsid w:val="00A24F36"/>
    <w:rsid w:val="00A76B01"/>
    <w:rsid w:val="00AD63EC"/>
    <w:rsid w:val="00AD7BDF"/>
    <w:rsid w:val="00B22318"/>
    <w:rsid w:val="00B25533"/>
    <w:rsid w:val="00B53CDF"/>
    <w:rsid w:val="00B56DD0"/>
    <w:rsid w:val="00BC5A1A"/>
    <w:rsid w:val="00C13091"/>
    <w:rsid w:val="00C22718"/>
    <w:rsid w:val="00C26F12"/>
    <w:rsid w:val="00C52891"/>
    <w:rsid w:val="00C62342"/>
    <w:rsid w:val="00C72108"/>
    <w:rsid w:val="00C74912"/>
    <w:rsid w:val="00C76BA9"/>
    <w:rsid w:val="00C92BAA"/>
    <w:rsid w:val="00C94C6C"/>
    <w:rsid w:val="00CC351F"/>
    <w:rsid w:val="00CE1ACA"/>
    <w:rsid w:val="00D05EF6"/>
    <w:rsid w:val="00D06540"/>
    <w:rsid w:val="00DA03D6"/>
    <w:rsid w:val="00DA1A71"/>
    <w:rsid w:val="00DD2E15"/>
    <w:rsid w:val="00DE0406"/>
    <w:rsid w:val="00E31220"/>
    <w:rsid w:val="00E362AC"/>
    <w:rsid w:val="00E40DEA"/>
    <w:rsid w:val="00E41E6B"/>
    <w:rsid w:val="00EB3EB4"/>
    <w:rsid w:val="00EC2241"/>
    <w:rsid w:val="00EF070C"/>
    <w:rsid w:val="00EF29D3"/>
    <w:rsid w:val="00EF2AC3"/>
    <w:rsid w:val="00EF5A0E"/>
    <w:rsid w:val="00F11B53"/>
    <w:rsid w:val="00F31597"/>
    <w:rsid w:val="00F65820"/>
    <w:rsid w:val="00F80BEF"/>
    <w:rsid w:val="00F80F14"/>
    <w:rsid w:val="00F82FF4"/>
    <w:rsid w:val="00F86D9D"/>
    <w:rsid w:val="00FC2B35"/>
    <w:rsid w:val="00FD66C9"/>
    <w:rsid w:val="00FF59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F6EB21"/>
  <w15:chartTrackingRefBased/>
  <w15:docId w15:val="{0C82D58F-2295-41E3-9A23-AD8ADA44A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E1AC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50BE"/>
    <w:pPr>
      <w:ind w:firstLineChars="200" w:firstLine="42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9F54B5"/>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9F54B5"/>
    <w:rPr>
      <w:sz w:val="18"/>
      <w:szCs w:val="18"/>
    </w:rPr>
  </w:style>
  <w:style w:type="paragraph" w:styleId="a6">
    <w:name w:val="footer"/>
    <w:basedOn w:val="a"/>
    <w:link w:val="a7"/>
    <w:uiPriority w:val="99"/>
    <w:unhideWhenUsed/>
    <w:rsid w:val="009F54B5"/>
    <w:pPr>
      <w:tabs>
        <w:tab w:val="center" w:pos="4153"/>
        <w:tab w:val="right" w:pos="8306"/>
      </w:tabs>
      <w:snapToGrid w:val="0"/>
      <w:jc w:val="left"/>
    </w:pPr>
    <w:rPr>
      <w:sz w:val="18"/>
      <w:szCs w:val="18"/>
    </w:rPr>
  </w:style>
  <w:style w:type="character" w:customStyle="1" w:styleId="a7">
    <w:name w:val="页脚 字符"/>
    <w:basedOn w:val="a0"/>
    <w:link w:val="a6"/>
    <w:uiPriority w:val="99"/>
    <w:rsid w:val="009F54B5"/>
    <w:rPr>
      <w:sz w:val="18"/>
      <w:szCs w:val="18"/>
    </w:rPr>
  </w:style>
  <w:style w:type="character" w:styleId="a8">
    <w:name w:val="Emphasis"/>
    <w:uiPriority w:val="20"/>
    <w:qFormat/>
    <w:rsid w:val="000D33F2"/>
    <w:rPr>
      <w:i/>
      <w:iCs/>
    </w:rPr>
  </w:style>
  <w:style w:type="character" w:customStyle="1" w:styleId="apple-converted-space">
    <w:name w:val="apple-converted-space"/>
    <w:basedOn w:val="a0"/>
    <w:qFormat/>
    <w:rsid w:val="000D33F2"/>
  </w:style>
  <w:style w:type="paragraph" w:customStyle="1" w:styleId="title1">
    <w:name w:val="title 1"/>
    <w:basedOn w:val="1"/>
    <w:next w:val="a"/>
    <w:link w:val="title1Char"/>
    <w:qFormat/>
    <w:rsid w:val="00CE1ACA"/>
    <w:pPr>
      <w:widowControl/>
      <w:numPr>
        <w:numId w:val="2"/>
      </w:numPr>
      <w:pBdr>
        <w:top w:val="single" w:sz="12" w:space="3" w:color="auto"/>
      </w:pBdr>
      <w:overflowPunct w:val="0"/>
      <w:autoSpaceDE w:val="0"/>
      <w:autoSpaceDN w:val="0"/>
      <w:adjustRightInd w:val="0"/>
      <w:spacing w:beforeLines="50" w:before="120" w:afterLines="50" w:after="120"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a3"/>
    <w:next w:val="a"/>
    <w:qFormat/>
    <w:rsid w:val="00CE1ACA"/>
    <w:pPr>
      <w:numPr>
        <w:ilvl w:val="1"/>
        <w:numId w:val="2"/>
      </w:numPr>
      <w:spacing w:after="120"/>
      <w:ind w:left="0" w:firstLineChars="0" w:firstLine="0"/>
    </w:pPr>
    <w:rPr>
      <w:rFonts w:ascii="Arial" w:hAnsi="Arial" w:cs="Arial"/>
      <w:sz w:val="28"/>
    </w:rPr>
  </w:style>
  <w:style w:type="character" w:customStyle="1" w:styleId="title1Char">
    <w:name w:val="title 1 Char"/>
    <w:link w:val="title1"/>
    <w:rsid w:val="00CE1ACA"/>
    <w:rPr>
      <w:rFonts w:ascii="Arial" w:eastAsia="宋体" w:hAnsi="Arial" w:cs="Times New Roman"/>
      <w:kern w:val="0"/>
      <w:sz w:val="36"/>
      <w:szCs w:val="20"/>
    </w:rPr>
  </w:style>
  <w:style w:type="paragraph" w:customStyle="1" w:styleId="title3">
    <w:name w:val="title 3"/>
    <w:basedOn w:val="title2"/>
    <w:next w:val="a"/>
    <w:qFormat/>
    <w:rsid w:val="00CE1ACA"/>
    <w:pPr>
      <w:numPr>
        <w:ilvl w:val="2"/>
      </w:numPr>
    </w:pPr>
    <w:rPr>
      <w:sz w:val="22"/>
    </w:rPr>
  </w:style>
  <w:style w:type="character" w:customStyle="1" w:styleId="10">
    <w:name w:val="标题 1 字符"/>
    <w:basedOn w:val="a0"/>
    <w:link w:val="1"/>
    <w:uiPriority w:val="9"/>
    <w:rsid w:val="00CE1ACA"/>
    <w:rPr>
      <w:b/>
      <w:bCs/>
      <w:kern w:val="44"/>
      <w:sz w:val="44"/>
      <w:szCs w:val="44"/>
    </w:rPr>
  </w:style>
  <w:style w:type="paragraph" w:styleId="a9">
    <w:name w:val="Balloon Text"/>
    <w:basedOn w:val="a"/>
    <w:link w:val="aa"/>
    <w:uiPriority w:val="99"/>
    <w:semiHidden/>
    <w:unhideWhenUsed/>
    <w:rsid w:val="00A24F36"/>
    <w:rPr>
      <w:sz w:val="18"/>
      <w:szCs w:val="18"/>
    </w:rPr>
  </w:style>
  <w:style w:type="character" w:customStyle="1" w:styleId="aa">
    <w:name w:val="批注框文本 字符"/>
    <w:basedOn w:val="a0"/>
    <w:link w:val="a9"/>
    <w:uiPriority w:val="99"/>
    <w:semiHidden/>
    <w:rsid w:val="00A24F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1022</Words>
  <Characters>5828</Characters>
  <Application>Microsoft Office Word</Application>
  <DocSecurity>0</DocSecurity>
  <Lines>48</Lines>
  <Paragraphs>13</Paragraphs>
  <ScaleCrop>false</ScaleCrop>
  <Company/>
  <LinksUpToDate>false</LinksUpToDate>
  <CharactersWithSpaces>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TAMRAKAR RAKESH</dc:creator>
  <cp:keywords/>
  <dc:description/>
  <cp:lastModifiedBy>TAMRAKAR RAKESH</cp:lastModifiedBy>
  <cp:revision>3</cp:revision>
  <dcterms:created xsi:type="dcterms:W3CDTF">2021-05-12T23:01:00Z</dcterms:created>
  <dcterms:modified xsi:type="dcterms:W3CDTF">2021-05-12T23:01:00Z</dcterms:modified>
</cp:coreProperties>
</file>