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CC3409B" w14:textId="6ECB45C5" w:rsidR="00FB4012" w:rsidRPr="002B5A22" w:rsidRDefault="00FB4012" w:rsidP="00FB4012">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Pr>
          <w:rFonts w:ascii="Arial" w:eastAsia="Batang" w:hAnsi="Arial" w:cs="Arial"/>
          <w:b/>
          <w:bCs/>
          <w:sz w:val="28"/>
        </w:rPr>
        <w:t>5</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R1-2</w:t>
      </w:r>
      <w:r>
        <w:rPr>
          <w:rFonts w:ascii="Arial" w:eastAsia="Batang" w:hAnsi="Arial" w:cs="Arial"/>
          <w:b/>
          <w:bCs/>
          <w:sz w:val="28"/>
        </w:rPr>
        <w:t>1</w:t>
      </w:r>
      <w:r w:rsidR="00F371AE">
        <w:rPr>
          <w:rFonts w:ascii="Arial" w:eastAsia="Batang" w:hAnsi="Arial" w:cs="Arial"/>
          <w:b/>
          <w:bCs/>
          <w:sz w:val="28"/>
        </w:rPr>
        <w:t>05677</w:t>
      </w:r>
    </w:p>
    <w:p w14:paraId="19926C94" w14:textId="77777777" w:rsidR="00FB4012" w:rsidRPr="00AC102C" w:rsidRDefault="00FB4012" w:rsidP="00FB4012">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Pr>
          <w:rFonts w:ascii="Arial" w:eastAsia="MS Mincho" w:hAnsi="Arial" w:cs="Arial"/>
          <w:b/>
          <w:bCs/>
          <w:sz w:val="28"/>
          <w:lang w:eastAsia="ja-JP"/>
        </w:rPr>
        <w:t>May 10</w:t>
      </w:r>
      <w:r w:rsidRPr="009B4E4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9B4E4E">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ED3D468"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BA55AC">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5C965899"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61219E">
        <w:rPr>
          <w:rFonts w:ascii="Arial" w:hAnsi="Arial" w:cs="Arial"/>
          <w:b/>
          <w:bCs/>
        </w:rPr>
        <w:t>T</w:t>
      </w:r>
      <w:r w:rsidR="009E55C1">
        <w:rPr>
          <w:rFonts w:ascii="Arial" w:hAnsi="Arial" w:cs="Arial"/>
          <w:b/>
          <w:bCs/>
        </w:rPr>
        <w:t>iming relationship</w:t>
      </w:r>
      <w:r w:rsidR="00BA55AC">
        <w:rPr>
          <w:rFonts w:ascii="Arial" w:hAnsi="Arial" w:cs="Arial"/>
          <w:b/>
          <w:bCs/>
        </w:rPr>
        <w:t xml:space="preserve"> enhancement</w:t>
      </w:r>
      <w:r w:rsidR="0078522C">
        <w:rPr>
          <w:rFonts w:ascii="Arial" w:hAnsi="Arial" w:cs="Arial"/>
          <w:b/>
          <w:bCs/>
        </w:rPr>
        <w:t xml:space="preserve"> 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EF1BCBF" w14:textId="31837743" w:rsidR="005A500F" w:rsidRPr="00416213" w:rsidRDefault="005A500F" w:rsidP="00416213">
      <w:pPr>
        <w:jc w:val="both"/>
        <w:rPr>
          <w:rFonts w:ascii="Arial" w:hAnsi="Arial" w:cs="Arial"/>
        </w:rPr>
      </w:pPr>
      <w:r w:rsidRPr="00416213">
        <w:rPr>
          <w:rFonts w:ascii="Arial" w:hAnsi="Arial" w:cs="Arial"/>
        </w:rPr>
        <w:t>In RAN</w:t>
      </w:r>
      <w:r w:rsidR="0061219E">
        <w:rPr>
          <w:rFonts w:ascii="Arial" w:hAnsi="Arial" w:cs="Arial"/>
        </w:rPr>
        <w:t>1</w:t>
      </w:r>
      <w:r w:rsidRPr="00416213">
        <w:rPr>
          <w:rFonts w:ascii="Arial" w:hAnsi="Arial" w:cs="Arial"/>
        </w:rPr>
        <w:t>#</w:t>
      </w:r>
      <w:r w:rsidR="0061219E">
        <w:rPr>
          <w:rFonts w:ascii="Arial" w:hAnsi="Arial" w:cs="Arial"/>
        </w:rPr>
        <w:t>104</w:t>
      </w:r>
      <w:r w:rsidR="00FB4012">
        <w:rPr>
          <w:rFonts w:ascii="Arial" w:hAnsi="Arial" w:cs="Arial"/>
        </w:rPr>
        <w:t>b-</w:t>
      </w:r>
      <w:r w:rsidR="0061219E">
        <w:rPr>
          <w:rFonts w:ascii="Arial" w:hAnsi="Arial" w:cs="Arial"/>
        </w:rPr>
        <w:t>e</w:t>
      </w:r>
      <w:r w:rsidRPr="00416213">
        <w:rPr>
          <w:rFonts w:ascii="Arial" w:hAnsi="Arial" w:cs="Arial"/>
        </w:rPr>
        <w:t xml:space="preserve">, </w:t>
      </w:r>
      <w:r w:rsidR="0061219E">
        <w:rPr>
          <w:rFonts w:ascii="Arial" w:hAnsi="Arial" w:cs="Arial"/>
        </w:rPr>
        <w:t xml:space="preserve">the following agreements were made as progress for </w:t>
      </w:r>
      <w:r w:rsidR="00351891">
        <w:rPr>
          <w:rFonts w:ascii="Arial" w:hAnsi="Arial" w:cs="Arial"/>
        </w:rPr>
        <w:t xml:space="preserve">the </w:t>
      </w:r>
      <w:r w:rsidR="0061219E">
        <w:rPr>
          <w:rFonts w:ascii="Arial" w:hAnsi="Arial" w:cs="Arial"/>
        </w:rPr>
        <w:t>timing relationship enhancement</w:t>
      </w:r>
      <w:r w:rsidRPr="00416213">
        <w:rPr>
          <w:rFonts w:ascii="Arial" w:hAnsi="Arial" w:cs="Arial"/>
        </w:rPr>
        <w:t xml:space="preserve"> [1]:</w:t>
      </w:r>
    </w:p>
    <w:p w14:paraId="2CA93D7A" w14:textId="77777777" w:rsidR="005A500F" w:rsidRDefault="005A500F" w:rsidP="005A500F">
      <w:pPr>
        <w:ind w:left="284"/>
        <w:rPr>
          <w:rFonts w:ascii="Arial" w:hAnsi="Arial" w:cs="Arial"/>
          <w:i/>
        </w:rPr>
      </w:pPr>
    </w:p>
    <w:p w14:paraId="0319DC81"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highlight w:val="green"/>
          <w:lang w:eastAsia="x-none"/>
        </w:rPr>
        <w:t>Agreement:</w:t>
      </w:r>
    </w:p>
    <w:p w14:paraId="122CEB0D"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lang w:eastAsia="x-none"/>
        </w:rPr>
        <w:t>The following NB-IoT timing relationships need enhancing for essential minimum functionality of IoT NTN:</w:t>
      </w:r>
    </w:p>
    <w:p w14:paraId="60420F50"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 xml:space="preserve">NPDCCH to NPUSCH format 1 </w:t>
      </w:r>
    </w:p>
    <w:p w14:paraId="61526CBE"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RAR grant to NPUSCH format 1</w:t>
      </w:r>
    </w:p>
    <w:p w14:paraId="32229874"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NPDSCH to HARQ-ACK on NPUSCH format 2</w:t>
      </w:r>
    </w:p>
    <w:p w14:paraId="743F7567"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Timing advance command activation</w:t>
      </w:r>
    </w:p>
    <w:p w14:paraId="4187D366"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FFS: NPDCCH order to NPRACH</w:t>
      </w:r>
    </w:p>
    <w:p w14:paraId="12C5C7F3"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FFS: Other NB-IoT timing relationships</w:t>
      </w:r>
    </w:p>
    <w:p w14:paraId="48946B3A" w14:textId="77777777" w:rsidR="00FB4012" w:rsidRPr="00FB4012" w:rsidRDefault="00FB4012" w:rsidP="00FB4012">
      <w:pPr>
        <w:rPr>
          <w:rFonts w:ascii="Times New Roman" w:hAnsi="Times New Roman" w:cs="Times New Roman"/>
          <w:i/>
          <w:iCs/>
          <w:lang w:eastAsia="x-none"/>
        </w:rPr>
      </w:pPr>
    </w:p>
    <w:p w14:paraId="00E26186"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highlight w:val="green"/>
          <w:lang w:eastAsia="x-none"/>
        </w:rPr>
        <w:t>Agreement:</w:t>
      </w:r>
    </w:p>
    <w:p w14:paraId="07C3EFCE"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lang w:eastAsia="x-none"/>
        </w:rPr>
        <w:t>The enhancement based on extending the timing relationship, by e.g. Koffset, adopted in NR NTN should be the starting point for enhancement of NB-IoT timing relationships in IoT NTN. Details can be further discussed considering IoT NTN.</w:t>
      </w:r>
    </w:p>
    <w:p w14:paraId="02D36611" w14:textId="77777777" w:rsidR="00FB4012" w:rsidRPr="00FB4012" w:rsidRDefault="00FB4012" w:rsidP="00FB4012">
      <w:pPr>
        <w:rPr>
          <w:rFonts w:ascii="Times New Roman" w:hAnsi="Times New Roman" w:cs="Times New Roman"/>
          <w:i/>
          <w:iCs/>
          <w:lang w:eastAsia="x-none"/>
        </w:rPr>
      </w:pPr>
    </w:p>
    <w:p w14:paraId="02FF49F2"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highlight w:val="green"/>
          <w:lang w:eastAsia="x-none"/>
        </w:rPr>
        <w:t>Agreement:</w:t>
      </w:r>
    </w:p>
    <w:p w14:paraId="16C487BF" w14:textId="77777777" w:rsidR="00FB4012" w:rsidRPr="00FB4012" w:rsidRDefault="00FB4012" w:rsidP="00FB4012">
      <w:pPr>
        <w:rPr>
          <w:rFonts w:ascii="Times New Roman" w:eastAsia="Calibri" w:hAnsi="Times New Roman" w:cs="Times New Roman"/>
          <w:i/>
          <w:iCs/>
        </w:rPr>
      </w:pPr>
      <w:r w:rsidRPr="00FB4012">
        <w:rPr>
          <w:rFonts w:ascii="Times New Roman" w:eastAsia="Calibri" w:hAnsi="Times New Roman" w:cs="Times New Roman"/>
          <w:i/>
          <w:iCs/>
        </w:rPr>
        <w:t xml:space="preserve">The following eMTC timing relationships need enhancing for </w:t>
      </w:r>
      <w:r w:rsidRPr="00FB4012">
        <w:rPr>
          <w:rFonts w:ascii="Times New Roman" w:hAnsi="Times New Roman" w:cs="Times New Roman"/>
          <w:b/>
          <w:bCs/>
          <w:i/>
          <w:iCs/>
        </w:rPr>
        <w:t xml:space="preserve">essential minimum functionality of </w:t>
      </w:r>
      <w:r w:rsidRPr="00FB4012">
        <w:rPr>
          <w:rFonts w:ascii="Times New Roman" w:eastAsia="Calibri" w:hAnsi="Times New Roman" w:cs="Times New Roman"/>
          <w:i/>
          <w:iCs/>
        </w:rPr>
        <w:t>IoT NTN:</w:t>
      </w:r>
    </w:p>
    <w:p w14:paraId="0C986D69"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 xml:space="preserve">MPDCCH to PUSCH </w:t>
      </w:r>
    </w:p>
    <w:p w14:paraId="4EAA0022"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 xml:space="preserve">RAR grant to PUSCH </w:t>
      </w:r>
    </w:p>
    <w:p w14:paraId="6AD40414"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 xml:space="preserve">MPDCCH to scheduled uplink SPS </w:t>
      </w:r>
    </w:p>
    <w:p w14:paraId="62AD5C9D"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 xml:space="preserve">PUSCH to HARQ-ACK on PUCCH </w:t>
      </w:r>
    </w:p>
    <w:p w14:paraId="2FC6DBDC"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 xml:space="preserve">CSI reference resource timing </w:t>
      </w:r>
    </w:p>
    <w:p w14:paraId="7AED652E"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 xml:space="preserve">MPDCCH to aperiodic SRS </w:t>
      </w:r>
    </w:p>
    <w:p w14:paraId="004F82E3"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Timing advance command activation</w:t>
      </w:r>
    </w:p>
    <w:p w14:paraId="055CE49B"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FFS: MPDCCH order to PRACH</w:t>
      </w:r>
    </w:p>
    <w:p w14:paraId="57BAD33E" w14:textId="77777777" w:rsidR="00FB4012" w:rsidRPr="00FB4012" w:rsidRDefault="00FB4012" w:rsidP="00FB4012">
      <w:pPr>
        <w:numPr>
          <w:ilvl w:val="0"/>
          <w:numId w:val="17"/>
        </w:numPr>
        <w:rPr>
          <w:rFonts w:ascii="Times New Roman" w:hAnsi="Times New Roman" w:cs="Times New Roman"/>
          <w:i/>
          <w:iCs/>
          <w:lang w:eastAsia="x-none"/>
        </w:rPr>
      </w:pPr>
      <w:r w:rsidRPr="00FB4012">
        <w:rPr>
          <w:rFonts w:ascii="Times New Roman" w:hAnsi="Times New Roman" w:cs="Times New Roman"/>
          <w:i/>
          <w:iCs/>
          <w:lang w:eastAsia="x-none"/>
        </w:rPr>
        <w:t>FFS: Other eMTC timing relationships</w:t>
      </w:r>
    </w:p>
    <w:p w14:paraId="3546DDEE" w14:textId="77777777" w:rsidR="00FB4012" w:rsidRPr="00FB4012" w:rsidRDefault="00FB4012" w:rsidP="00FB4012">
      <w:pPr>
        <w:rPr>
          <w:rFonts w:ascii="Times New Roman" w:hAnsi="Times New Roman" w:cs="Times New Roman"/>
          <w:i/>
          <w:iCs/>
          <w:lang w:eastAsia="x-none"/>
        </w:rPr>
      </w:pPr>
    </w:p>
    <w:p w14:paraId="7ABCD670"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highlight w:val="green"/>
          <w:lang w:eastAsia="x-none"/>
        </w:rPr>
        <w:t>Agreement:</w:t>
      </w:r>
    </w:p>
    <w:p w14:paraId="397B84DE"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lang w:eastAsia="x-none"/>
        </w:rPr>
        <w:t>The enhancement based on extending the timing relationship, by e.g. Koffset, adopted in NR NTN should be the starting point for enhancement of eMTC timing relationships in IoT NTN. Details can be further discussed considering IoT NTN.</w:t>
      </w:r>
    </w:p>
    <w:p w14:paraId="52A50DFE" w14:textId="77777777" w:rsidR="00FB4012" w:rsidRPr="00FB4012" w:rsidRDefault="00FB4012" w:rsidP="00FB4012">
      <w:pPr>
        <w:rPr>
          <w:rFonts w:ascii="Times New Roman" w:hAnsi="Times New Roman" w:cs="Times New Roman"/>
          <w:i/>
          <w:iCs/>
          <w:lang w:eastAsia="x-none"/>
        </w:rPr>
      </w:pPr>
    </w:p>
    <w:p w14:paraId="21169ED8" w14:textId="77777777" w:rsidR="00FB4012" w:rsidRPr="00FB4012" w:rsidRDefault="00FB4012" w:rsidP="00FB4012">
      <w:pPr>
        <w:rPr>
          <w:rFonts w:ascii="Times New Roman" w:hAnsi="Times New Roman" w:cs="Times New Roman"/>
          <w:i/>
          <w:iCs/>
        </w:rPr>
      </w:pPr>
      <w:r w:rsidRPr="00FB4012">
        <w:rPr>
          <w:rFonts w:ascii="Times New Roman" w:hAnsi="Times New Roman" w:cs="Times New Roman"/>
          <w:i/>
          <w:iCs/>
          <w:highlight w:val="green"/>
        </w:rPr>
        <w:t>Agreement:</w:t>
      </w:r>
    </w:p>
    <w:p w14:paraId="7BD88893"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lang w:eastAsia="x-none"/>
        </w:rPr>
        <w:t xml:space="preserve">For NB-IoT over NTN, the following timing relationship needs to be studied to check whether enhancement is necessary and beneficial: </w:t>
      </w:r>
    </w:p>
    <w:p w14:paraId="3CFC73E0" w14:textId="77777777" w:rsidR="00FB4012" w:rsidRPr="00FB4012" w:rsidRDefault="00FB4012" w:rsidP="00FB4012">
      <w:pPr>
        <w:pStyle w:val="ListParagraph"/>
        <w:numPr>
          <w:ilvl w:val="0"/>
          <w:numId w:val="18"/>
        </w:numPr>
        <w:rPr>
          <w:rFonts w:ascii="Times New Roman" w:hAnsi="Times New Roman" w:cs="Times New Roman"/>
          <w:i/>
          <w:iCs/>
        </w:rPr>
      </w:pPr>
      <w:r w:rsidRPr="00FB4012">
        <w:rPr>
          <w:rFonts w:ascii="Times New Roman" w:hAnsi="Times New Roman" w:cs="Times New Roman"/>
          <w:i/>
          <w:iCs/>
        </w:rPr>
        <w:t>PRACH preamble retransmission</w:t>
      </w:r>
    </w:p>
    <w:p w14:paraId="3BF6379C" w14:textId="77777777" w:rsidR="00FB4012" w:rsidRPr="00FB4012" w:rsidRDefault="00FB4012" w:rsidP="00FB4012">
      <w:pPr>
        <w:rPr>
          <w:rFonts w:ascii="Times New Roman" w:hAnsi="Times New Roman" w:cs="Times New Roman"/>
          <w:i/>
          <w:iCs/>
        </w:rPr>
      </w:pPr>
    </w:p>
    <w:p w14:paraId="6FC03057" w14:textId="77777777" w:rsidR="00FB4012" w:rsidRPr="00FB4012" w:rsidRDefault="00FB4012" w:rsidP="00FB4012">
      <w:pPr>
        <w:rPr>
          <w:rFonts w:ascii="Times New Roman" w:hAnsi="Times New Roman" w:cs="Times New Roman"/>
          <w:i/>
          <w:iCs/>
        </w:rPr>
      </w:pPr>
      <w:r w:rsidRPr="00FB4012">
        <w:rPr>
          <w:rFonts w:ascii="Times New Roman" w:hAnsi="Times New Roman" w:cs="Times New Roman"/>
          <w:i/>
          <w:iCs/>
          <w:highlight w:val="green"/>
        </w:rPr>
        <w:t>Agreement:</w:t>
      </w:r>
      <w:r w:rsidRPr="00FB4012">
        <w:rPr>
          <w:rFonts w:ascii="Times New Roman" w:hAnsi="Times New Roman" w:cs="Times New Roman"/>
          <w:i/>
          <w:iCs/>
        </w:rPr>
        <w:t xml:space="preserve"> </w:t>
      </w:r>
    </w:p>
    <w:p w14:paraId="3B0B5D30"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lang w:eastAsia="x-none"/>
        </w:rPr>
        <w:t xml:space="preserve">For eMTC over NTN, the following timing relationship needs to be studied to check whether enhancement is necessary and beneficial: </w:t>
      </w:r>
    </w:p>
    <w:p w14:paraId="3E02BD59" w14:textId="77777777" w:rsidR="00FB4012" w:rsidRPr="00FB4012" w:rsidRDefault="00FB4012" w:rsidP="00FB4012">
      <w:pPr>
        <w:pStyle w:val="ListParagraph"/>
        <w:numPr>
          <w:ilvl w:val="0"/>
          <w:numId w:val="18"/>
        </w:numPr>
        <w:rPr>
          <w:rFonts w:ascii="Times New Roman" w:hAnsi="Times New Roman" w:cs="Times New Roman"/>
          <w:i/>
          <w:iCs/>
        </w:rPr>
      </w:pPr>
      <w:r w:rsidRPr="00FB4012">
        <w:rPr>
          <w:rFonts w:ascii="Times New Roman" w:hAnsi="Times New Roman" w:cs="Times New Roman"/>
          <w:i/>
          <w:iCs/>
        </w:rPr>
        <w:t>PRACH preamble retransmission</w:t>
      </w:r>
    </w:p>
    <w:p w14:paraId="0A26E10B" w14:textId="77777777" w:rsidR="00FB4012" w:rsidRPr="00FB4012" w:rsidRDefault="00FB4012" w:rsidP="00FB4012">
      <w:pPr>
        <w:rPr>
          <w:rFonts w:ascii="Times New Roman" w:hAnsi="Times New Roman" w:cs="Times New Roman"/>
          <w:i/>
          <w:iCs/>
          <w:lang w:eastAsia="x-none"/>
        </w:rPr>
      </w:pPr>
    </w:p>
    <w:p w14:paraId="10941115"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highlight w:val="green"/>
          <w:lang w:eastAsia="x-none"/>
        </w:rPr>
        <w:t>Agreement:</w:t>
      </w:r>
    </w:p>
    <w:p w14:paraId="1B5FFAF1"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lang w:eastAsia="x-none"/>
        </w:rPr>
        <w:t>Capture the following in the TR:</w:t>
      </w:r>
    </w:p>
    <w:p w14:paraId="4C2ABEC0"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lang w:eastAsia="x-none"/>
        </w:rPr>
        <w:t>The UE-specific TA and/or K_offset can be used by the eNB in its scheduling to avoid UL-DL collisions in FDD-HD.</w:t>
      </w:r>
    </w:p>
    <w:p w14:paraId="44A8C3EA" w14:textId="77777777" w:rsidR="00FB4012" w:rsidRPr="00FB4012" w:rsidRDefault="00FB4012" w:rsidP="00FB4012">
      <w:pPr>
        <w:rPr>
          <w:rFonts w:ascii="Times New Roman" w:hAnsi="Times New Roman" w:cs="Times New Roman"/>
          <w:i/>
          <w:iCs/>
          <w:lang w:eastAsia="x-none"/>
        </w:rPr>
      </w:pPr>
    </w:p>
    <w:p w14:paraId="1970CDC3"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highlight w:val="green"/>
          <w:lang w:eastAsia="x-none"/>
        </w:rPr>
        <w:t>Agreement:</w:t>
      </w:r>
    </w:p>
    <w:p w14:paraId="17927EF2" w14:textId="77777777" w:rsidR="00FB4012" w:rsidRPr="00FB4012" w:rsidRDefault="00FB4012" w:rsidP="00FB4012">
      <w:pPr>
        <w:rPr>
          <w:rFonts w:ascii="Times New Roman" w:hAnsi="Times New Roman" w:cs="Times New Roman"/>
          <w:i/>
          <w:iCs/>
          <w:lang w:eastAsia="x-none"/>
        </w:rPr>
      </w:pPr>
      <w:r w:rsidRPr="00FB4012">
        <w:rPr>
          <w:rFonts w:ascii="Times New Roman" w:hAnsi="Times New Roman" w:cs="Times New Roman"/>
          <w:i/>
          <w:iCs/>
          <w:lang w:eastAsia="x-none"/>
        </w:rPr>
        <w:t>The following aspects of Koffset are not to be studied further and can at least rely on decisions made in the NR NTN WI:</w:t>
      </w:r>
    </w:p>
    <w:p w14:paraId="6A1CB9DE" w14:textId="77777777" w:rsidR="00FB4012" w:rsidRPr="00FB4012" w:rsidRDefault="00FB4012" w:rsidP="00FB4012">
      <w:pPr>
        <w:numPr>
          <w:ilvl w:val="0"/>
          <w:numId w:val="19"/>
        </w:numPr>
        <w:rPr>
          <w:rFonts w:ascii="Times New Roman" w:hAnsi="Times New Roman" w:cs="Times New Roman"/>
          <w:i/>
          <w:iCs/>
          <w:lang w:eastAsia="x-none"/>
        </w:rPr>
      </w:pPr>
      <w:r w:rsidRPr="00FB4012">
        <w:rPr>
          <w:rFonts w:ascii="Times New Roman" w:hAnsi="Times New Roman" w:cs="Times New Roman"/>
          <w:i/>
          <w:iCs/>
          <w:lang w:eastAsia="x-none"/>
        </w:rPr>
        <w:t>Explicit or implicit indication in system information</w:t>
      </w:r>
    </w:p>
    <w:p w14:paraId="6B135D13" w14:textId="77777777" w:rsidR="00FB4012" w:rsidRPr="00FB4012" w:rsidRDefault="00FB4012" w:rsidP="00FB4012">
      <w:pPr>
        <w:numPr>
          <w:ilvl w:val="0"/>
          <w:numId w:val="19"/>
        </w:numPr>
        <w:rPr>
          <w:rFonts w:ascii="Times New Roman" w:hAnsi="Times New Roman" w:cs="Times New Roman"/>
          <w:i/>
          <w:iCs/>
          <w:lang w:eastAsia="x-none"/>
        </w:rPr>
      </w:pPr>
      <w:r w:rsidRPr="00FB4012">
        <w:rPr>
          <w:rFonts w:ascii="Times New Roman" w:hAnsi="Times New Roman" w:cs="Times New Roman"/>
          <w:i/>
          <w:iCs/>
          <w:lang w:eastAsia="x-none"/>
        </w:rPr>
        <w:t>Support UE-specific Koffset after initial access</w:t>
      </w:r>
    </w:p>
    <w:p w14:paraId="60E6A387" w14:textId="77777777" w:rsidR="00FB4012" w:rsidRDefault="00FB4012" w:rsidP="00FB4012">
      <w:pPr>
        <w:rPr>
          <w:lang w:eastAsia="x-none"/>
        </w:rPr>
      </w:pPr>
    </w:p>
    <w:p w14:paraId="2E743209" w14:textId="77777777" w:rsidR="0061219E" w:rsidRDefault="0061219E" w:rsidP="005A500F">
      <w:pPr>
        <w:jc w:val="both"/>
        <w:rPr>
          <w:rFonts w:ascii="Arial" w:hAnsi="Arial" w:cs="Arial"/>
        </w:rPr>
      </w:pPr>
    </w:p>
    <w:p w14:paraId="40171C3E" w14:textId="6F84769D" w:rsidR="005A500F" w:rsidRDefault="005A500F" w:rsidP="005A500F">
      <w:pPr>
        <w:jc w:val="both"/>
        <w:rPr>
          <w:rFonts w:ascii="Arial" w:hAnsi="Arial" w:cs="Arial"/>
        </w:rPr>
      </w:pPr>
      <w:r>
        <w:rPr>
          <w:rFonts w:ascii="Arial" w:hAnsi="Arial" w:cs="Arial"/>
        </w:rPr>
        <w:t>In this</w:t>
      </w:r>
      <w:r w:rsidRPr="00416213">
        <w:rPr>
          <w:rFonts w:ascii="Arial" w:hAnsi="Arial" w:cs="Arial"/>
        </w:rPr>
        <w:t xml:space="preserve"> contribution</w:t>
      </w:r>
      <w:r>
        <w:rPr>
          <w:rFonts w:ascii="Arial" w:hAnsi="Arial" w:cs="Arial"/>
        </w:rPr>
        <w:t xml:space="preserve">, </w:t>
      </w:r>
      <w:r w:rsidR="0061219E">
        <w:rPr>
          <w:rFonts w:ascii="Arial" w:hAnsi="Arial" w:cs="Arial"/>
        </w:rPr>
        <w:t>we further discuss on the timing relationship issues</w:t>
      </w:r>
      <w:r w:rsidR="00C14101">
        <w:rPr>
          <w:rFonts w:ascii="Arial" w:hAnsi="Arial" w:cs="Arial"/>
        </w:rPr>
        <w:t xml:space="preserve"> for IoT-NTN</w:t>
      </w:r>
      <w:r w:rsidR="0038691E">
        <w:rPr>
          <w:rFonts w:ascii="Arial" w:hAnsi="Arial" w:cs="Arial"/>
        </w:rPr>
        <w:t>.</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00DF0790" w14:textId="5EB7D1F6" w:rsidR="008C457D" w:rsidRPr="00FB4012" w:rsidRDefault="00FB4012" w:rsidP="00E00EAD">
      <w:pPr>
        <w:spacing w:after="120" w:line="276" w:lineRule="auto"/>
        <w:jc w:val="both"/>
        <w:rPr>
          <w:rFonts w:ascii="Malgun Gothic" w:eastAsia="Malgun Gothic" w:hAnsi="Malgun Gothic" w:cs="Malgun Gothic"/>
        </w:rPr>
      </w:pPr>
      <w:r>
        <w:rPr>
          <w:rFonts w:ascii="Arial" w:hAnsi="Arial" w:cs="Arial"/>
          <w:b/>
          <w:bCs/>
          <w:u w:val="single"/>
        </w:rPr>
        <w:t>Koffset for PDCCH order to PRACH</w:t>
      </w:r>
    </w:p>
    <w:p w14:paraId="1E48E91D" w14:textId="77777777" w:rsidR="00C46E9B" w:rsidRDefault="00031034" w:rsidP="007C4DAB">
      <w:pPr>
        <w:spacing w:after="120" w:line="276" w:lineRule="auto"/>
        <w:jc w:val="both"/>
        <w:rPr>
          <w:rFonts w:ascii="Arial" w:hAnsi="Arial" w:cs="Arial"/>
        </w:rPr>
      </w:pPr>
      <w:r>
        <w:rPr>
          <w:rFonts w:ascii="Arial" w:hAnsi="Arial" w:cs="Arial"/>
        </w:rPr>
        <w:t xml:space="preserve">In RAN1 #104b-e, a set of timing relationships which requires enhancement to address </w:t>
      </w:r>
      <w:r w:rsidR="00B20A45">
        <w:rPr>
          <w:rFonts w:ascii="Malgun Gothic" w:eastAsia="Malgun Gothic" w:hAnsi="Malgun Gothic" w:cs="Malgun Gothic"/>
        </w:rPr>
        <w:t xml:space="preserve">a </w:t>
      </w:r>
      <w:r>
        <w:rPr>
          <w:rFonts w:ascii="Arial" w:hAnsi="Arial" w:cs="Arial"/>
        </w:rPr>
        <w:t xml:space="preserve">large </w:t>
      </w:r>
      <w:r w:rsidR="00C46CD5">
        <w:rPr>
          <w:rFonts w:ascii="Arial" w:hAnsi="Arial" w:cs="Arial"/>
        </w:rPr>
        <w:t>service link and feeder link RTT</w:t>
      </w:r>
      <w:r>
        <w:rPr>
          <w:rFonts w:ascii="Arial" w:hAnsi="Arial" w:cs="Arial"/>
        </w:rPr>
        <w:t xml:space="preserve"> in NTN for both eMTC and NB-IoT and still FFS for the case when a UE received PDCCH order for non-contention based PRACH transmission.</w:t>
      </w:r>
      <w:r w:rsidR="00C46E9B">
        <w:rPr>
          <w:rFonts w:ascii="Arial" w:hAnsi="Arial" w:cs="Arial"/>
        </w:rPr>
        <w:t xml:space="preserve"> </w:t>
      </w:r>
    </w:p>
    <w:p w14:paraId="5A7A66B1" w14:textId="085F33F4" w:rsidR="0095732F" w:rsidRDefault="00C46E9B" w:rsidP="007C4DAB">
      <w:pPr>
        <w:spacing w:after="120" w:line="276" w:lineRule="auto"/>
        <w:jc w:val="both"/>
        <w:rPr>
          <w:rFonts w:ascii="Arial" w:hAnsi="Arial" w:cs="Arial"/>
        </w:rPr>
      </w:pPr>
      <w:r>
        <w:rPr>
          <w:rFonts w:ascii="Arial" w:hAnsi="Arial" w:cs="Arial"/>
        </w:rPr>
        <w:t xml:space="preserve">As per the current specification, a UE could determine a RO a few subframes later after the UE received NPDCCH/MPDCCH order at the subframe n. The issue is the same as in NTN that whether it is up to gNB implementation to blindly detect ROs over a certain time window given that </w:t>
      </w:r>
      <w:r w:rsidR="00BF3D8F">
        <w:rPr>
          <w:rFonts w:ascii="Arial" w:hAnsi="Arial" w:cs="Arial"/>
        </w:rPr>
        <w:t>the service link propagation delay can be different per UE significantly based on the deployment scenario (e.g., HAPS, LEO, and GEO). It also affects gNB scheduling of PRACH resources as time sharing of the PRACH resources becomes more difficult if a gNB has no knowledge which RO will be selected by UE. As such, this issue doesn’t seem to be an eMTC/NB-IoT specific issue which needs to be handled separately from NTN discussion. Therefore, we could use the same conclusion made in NTN for IoT-NTN in this case to save a time.</w:t>
      </w:r>
    </w:p>
    <w:p w14:paraId="78070D11" w14:textId="577583B3" w:rsidR="007C4DAB" w:rsidRPr="00E12B37" w:rsidRDefault="007C4DAB" w:rsidP="007C4DAB">
      <w:pPr>
        <w:spacing w:after="120" w:line="276" w:lineRule="auto"/>
        <w:jc w:val="both"/>
        <w:rPr>
          <w:rFonts w:ascii="Arial" w:hAnsi="Arial" w:cs="Arial"/>
          <w:i/>
          <w:iCs/>
        </w:rPr>
      </w:pPr>
      <w:r w:rsidRPr="00E12B37">
        <w:rPr>
          <w:rFonts w:ascii="Arial" w:hAnsi="Arial" w:cs="Arial"/>
          <w:b/>
          <w:bCs/>
          <w:i/>
          <w:iCs/>
        </w:rPr>
        <w:t>Proposal</w:t>
      </w:r>
      <w:r w:rsidR="00E12B37" w:rsidRPr="00E12B37">
        <w:rPr>
          <w:rFonts w:ascii="Arial" w:hAnsi="Arial" w:cs="Arial"/>
          <w:b/>
          <w:bCs/>
          <w:i/>
          <w:iCs/>
        </w:rPr>
        <w:t>-</w:t>
      </w:r>
      <w:r w:rsidRPr="00E12B37">
        <w:rPr>
          <w:rFonts w:ascii="Arial" w:hAnsi="Arial" w:cs="Arial"/>
          <w:b/>
          <w:bCs/>
          <w:i/>
          <w:iCs/>
        </w:rPr>
        <w:t>1:</w:t>
      </w:r>
      <w:r w:rsidRPr="00E12B37">
        <w:rPr>
          <w:rFonts w:ascii="Arial" w:hAnsi="Arial" w:cs="Arial"/>
          <w:i/>
          <w:iCs/>
        </w:rPr>
        <w:t xml:space="preserve"> </w:t>
      </w:r>
      <w:r w:rsidR="00EB769C">
        <w:rPr>
          <w:rFonts w:ascii="Arial" w:hAnsi="Arial" w:cs="Arial"/>
          <w:i/>
          <w:iCs/>
        </w:rPr>
        <w:t>R</w:t>
      </w:r>
      <w:r w:rsidR="004C0572">
        <w:rPr>
          <w:rFonts w:ascii="Arial" w:hAnsi="Arial" w:cs="Arial"/>
          <w:i/>
          <w:iCs/>
        </w:rPr>
        <w:t xml:space="preserve">ely on decisions made in the NR NTN WI </w:t>
      </w:r>
      <w:r w:rsidR="000F6AF1">
        <w:rPr>
          <w:rFonts w:ascii="Arial" w:hAnsi="Arial" w:cs="Arial"/>
          <w:i/>
          <w:iCs/>
        </w:rPr>
        <w:t>for the use of</w:t>
      </w:r>
      <w:r w:rsidR="004C0572">
        <w:rPr>
          <w:rFonts w:ascii="Arial" w:hAnsi="Arial" w:cs="Arial"/>
          <w:i/>
          <w:iCs/>
        </w:rPr>
        <w:t xml:space="preserve"> </w:t>
      </w:r>
      <w:r w:rsidR="0095732F">
        <w:rPr>
          <w:rFonts w:ascii="Arial" w:hAnsi="Arial" w:cs="Arial"/>
          <w:i/>
          <w:iCs/>
        </w:rPr>
        <w:t xml:space="preserve">Koffset </w:t>
      </w:r>
      <w:r w:rsidR="000F6AF1">
        <w:rPr>
          <w:rFonts w:ascii="Arial" w:hAnsi="Arial" w:cs="Arial"/>
          <w:i/>
          <w:iCs/>
        </w:rPr>
        <w:t>for the</w:t>
      </w:r>
      <w:r w:rsidR="0095732F">
        <w:rPr>
          <w:rFonts w:ascii="Arial" w:hAnsi="Arial" w:cs="Arial"/>
          <w:i/>
          <w:iCs/>
        </w:rPr>
        <w:t xml:space="preserve"> PDCCH order to PRACH</w:t>
      </w:r>
    </w:p>
    <w:p w14:paraId="754ADD28" w14:textId="77777777" w:rsidR="0095732F" w:rsidRDefault="0095732F" w:rsidP="008C457D">
      <w:pPr>
        <w:spacing w:after="120" w:line="276" w:lineRule="auto"/>
        <w:jc w:val="both"/>
        <w:rPr>
          <w:rFonts w:ascii="Arial" w:hAnsi="Arial" w:cs="Arial"/>
          <w:b/>
          <w:bCs/>
          <w:u w:val="single"/>
        </w:rPr>
      </w:pPr>
    </w:p>
    <w:p w14:paraId="1B272EC8" w14:textId="2EE07DE7" w:rsidR="008C457D" w:rsidRDefault="000A651B" w:rsidP="008C457D">
      <w:pPr>
        <w:spacing w:after="120" w:line="276" w:lineRule="auto"/>
        <w:jc w:val="both"/>
        <w:rPr>
          <w:rFonts w:ascii="Arial" w:hAnsi="Arial" w:cs="Arial"/>
        </w:rPr>
      </w:pPr>
      <w:r>
        <w:rPr>
          <w:rFonts w:ascii="Arial" w:hAnsi="Arial" w:cs="Arial"/>
          <w:b/>
          <w:bCs/>
          <w:u w:val="single"/>
        </w:rPr>
        <w:t xml:space="preserve">Beam-specific vs Cell-specific </w:t>
      </w:r>
      <w:r w:rsidR="008C457D">
        <w:rPr>
          <w:rFonts w:ascii="Arial" w:hAnsi="Arial" w:cs="Arial"/>
          <w:b/>
          <w:bCs/>
          <w:u w:val="single"/>
        </w:rPr>
        <w:t>Koffset</w:t>
      </w:r>
    </w:p>
    <w:p w14:paraId="7FD74114" w14:textId="77777777" w:rsidR="00AE7F3E" w:rsidRDefault="000A651B" w:rsidP="00E12B37">
      <w:pPr>
        <w:spacing w:after="120" w:line="276" w:lineRule="auto"/>
        <w:jc w:val="both"/>
        <w:rPr>
          <w:rFonts w:ascii="Arial" w:hAnsi="Arial" w:cs="Arial"/>
        </w:rPr>
      </w:pPr>
      <w:r>
        <w:rPr>
          <w:rFonts w:ascii="Arial" w:hAnsi="Arial" w:cs="Arial"/>
        </w:rPr>
        <w:t>In Rel-17 NTN NW,</w:t>
      </w:r>
      <w:r w:rsidR="00AE7F3E">
        <w:rPr>
          <w:rFonts w:ascii="Arial" w:hAnsi="Arial" w:cs="Arial"/>
        </w:rPr>
        <w:t xml:space="preserve"> RAN1 has discussed on</w:t>
      </w:r>
      <w:r>
        <w:rPr>
          <w:rFonts w:ascii="Arial" w:hAnsi="Arial" w:cs="Arial"/>
        </w:rPr>
        <w:t xml:space="preserve"> a similar issue </w:t>
      </w:r>
      <w:r w:rsidR="00AE7F3E">
        <w:rPr>
          <w:rFonts w:ascii="Arial" w:hAnsi="Arial" w:cs="Arial"/>
        </w:rPr>
        <w:t>and agreed to support at least cell-specific Koffset since it doesn’t increase signaling overhead and/or keep the existing SI design principle (i.e., same SI transmitted over beams) although it may increase latency for initial access. The beam-specific Koffset is still under discussion whether the initial access latency reduction can justify additional signaling overhead and specification impacts.</w:t>
      </w:r>
    </w:p>
    <w:p w14:paraId="3B9E1402" w14:textId="4BAC30D6" w:rsidR="000A651B" w:rsidRDefault="00AE7F3E" w:rsidP="00E12B37">
      <w:pPr>
        <w:spacing w:after="120" w:line="276" w:lineRule="auto"/>
        <w:jc w:val="both"/>
        <w:rPr>
          <w:rFonts w:ascii="Arial" w:hAnsi="Arial" w:cs="Arial"/>
        </w:rPr>
      </w:pPr>
      <w:r>
        <w:rPr>
          <w:rFonts w:ascii="Arial" w:hAnsi="Arial" w:cs="Arial"/>
        </w:rPr>
        <w:t xml:space="preserve">The beam-specific Koffset seems to be less motivated for eMTC and NB-IoT since those types of devices are delay tolerant and it only affects initial access. Note that the mobility and/or latency reduction are not the main focus of the current study. Therefore, a cell-specific Koffset seems to be enough for IoT-NTN. </w:t>
      </w:r>
    </w:p>
    <w:p w14:paraId="3F285EF0" w14:textId="1690375E" w:rsidR="00B61682" w:rsidRPr="00BF3D8F" w:rsidRDefault="00AE7F3E" w:rsidP="00FA6534">
      <w:pPr>
        <w:spacing w:after="120" w:line="276" w:lineRule="auto"/>
        <w:jc w:val="both"/>
        <w:rPr>
          <w:rFonts w:ascii="Arial" w:hAnsi="Arial" w:cs="Arial"/>
          <w:i/>
          <w:iCs/>
        </w:rPr>
      </w:pPr>
      <w:r w:rsidRPr="00E12B37">
        <w:rPr>
          <w:rFonts w:ascii="Arial" w:hAnsi="Arial" w:cs="Arial"/>
          <w:b/>
          <w:bCs/>
          <w:i/>
          <w:iCs/>
        </w:rPr>
        <w:t>Proposal-</w:t>
      </w:r>
      <w:r w:rsidR="00BF3D8F">
        <w:rPr>
          <w:rFonts w:ascii="Arial" w:hAnsi="Arial" w:cs="Arial"/>
          <w:b/>
          <w:bCs/>
          <w:i/>
          <w:iCs/>
        </w:rPr>
        <w:t>2</w:t>
      </w:r>
      <w:r w:rsidRPr="00E12B37">
        <w:rPr>
          <w:rFonts w:ascii="Arial" w:hAnsi="Arial" w:cs="Arial"/>
          <w:b/>
          <w:bCs/>
          <w:i/>
          <w:iCs/>
        </w:rPr>
        <w:t>:</w:t>
      </w:r>
      <w:r w:rsidRPr="00E12B37">
        <w:rPr>
          <w:rFonts w:ascii="Arial" w:hAnsi="Arial" w:cs="Arial"/>
          <w:i/>
          <w:iCs/>
        </w:rPr>
        <w:t xml:space="preserve"> </w:t>
      </w:r>
      <w:r w:rsidR="009767FD">
        <w:rPr>
          <w:rFonts w:ascii="Arial" w:hAnsi="Arial" w:cs="Arial"/>
          <w:i/>
          <w:iCs/>
        </w:rPr>
        <w:t>Ce</w:t>
      </w:r>
      <w:r>
        <w:rPr>
          <w:rFonts w:ascii="Arial" w:hAnsi="Arial" w:cs="Arial"/>
          <w:i/>
          <w:iCs/>
        </w:rPr>
        <w:t xml:space="preserve">ll-specific </w:t>
      </w:r>
      <w:r w:rsidRPr="00E12B37">
        <w:rPr>
          <w:rFonts w:ascii="Arial" w:hAnsi="Arial" w:cs="Arial"/>
          <w:i/>
          <w:iCs/>
        </w:rPr>
        <w:t>Koffset is</w:t>
      </w:r>
      <w:r>
        <w:rPr>
          <w:rFonts w:ascii="Arial" w:hAnsi="Arial" w:cs="Arial"/>
          <w:i/>
          <w:iCs/>
        </w:rPr>
        <w:t xml:space="preserve"> only considered for IoT-NTN</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141F8030"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50017F">
        <w:rPr>
          <w:rFonts w:ascii="Arial" w:hAnsi="Arial" w:cs="Arial"/>
        </w:rPr>
        <w:t>potential enhancement for timing relationship for IoT NTN. Based on the discussion, we propose following</w:t>
      </w:r>
      <w:r w:rsidR="00CB0932">
        <w:rPr>
          <w:rFonts w:ascii="Arial" w:hAnsi="Arial" w:cs="Arial"/>
        </w:rPr>
        <w:t>:</w:t>
      </w:r>
      <w:r w:rsidRPr="008924A3">
        <w:rPr>
          <w:rFonts w:ascii="Arial" w:hAnsi="Arial" w:cs="Arial"/>
        </w:rPr>
        <w:t xml:space="preserve"> </w:t>
      </w:r>
    </w:p>
    <w:p w14:paraId="2B04FBB2" w14:textId="77777777" w:rsidR="00D241D7" w:rsidRPr="008924A3" w:rsidRDefault="00D241D7" w:rsidP="00416213">
      <w:pPr>
        <w:spacing w:after="120"/>
        <w:jc w:val="both"/>
        <w:rPr>
          <w:rFonts w:ascii="Arial" w:hAnsi="Arial" w:cs="Arial"/>
        </w:rPr>
      </w:pPr>
    </w:p>
    <w:p w14:paraId="14579271" w14:textId="77777777" w:rsidR="000F6AF1" w:rsidRPr="00E12B37" w:rsidRDefault="000F6AF1" w:rsidP="000F6AF1">
      <w:pPr>
        <w:spacing w:after="120" w:line="276" w:lineRule="auto"/>
        <w:jc w:val="both"/>
        <w:rPr>
          <w:rFonts w:ascii="Arial" w:hAnsi="Arial" w:cs="Arial"/>
          <w:i/>
          <w:iCs/>
        </w:rPr>
      </w:pPr>
      <w:r w:rsidRPr="00E12B37">
        <w:rPr>
          <w:rFonts w:ascii="Arial" w:hAnsi="Arial" w:cs="Arial"/>
          <w:b/>
          <w:bCs/>
          <w:i/>
          <w:iCs/>
        </w:rPr>
        <w:t>Proposal-1:</w:t>
      </w:r>
      <w:r w:rsidRPr="00E12B37">
        <w:rPr>
          <w:rFonts w:ascii="Arial" w:hAnsi="Arial" w:cs="Arial"/>
          <w:i/>
          <w:iCs/>
        </w:rPr>
        <w:t xml:space="preserve"> </w:t>
      </w:r>
      <w:r>
        <w:rPr>
          <w:rFonts w:ascii="Arial" w:hAnsi="Arial" w:cs="Arial"/>
          <w:i/>
          <w:iCs/>
        </w:rPr>
        <w:t>Rely on decisions made in the NR NTN WI for the use of Koffset for the PDCCH order to PRACH</w:t>
      </w:r>
    </w:p>
    <w:p w14:paraId="15DE531E" w14:textId="26D6BC70" w:rsidR="00BF3D8F" w:rsidRPr="00BF3D8F" w:rsidRDefault="00BF3D8F" w:rsidP="00BF3D8F">
      <w:pPr>
        <w:spacing w:after="120" w:line="276" w:lineRule="auto"/>
        <w:jc w:val="both"/>
        <w:rPr>
          <w:rFonts w:ascii="Arial" w:hAnsi="Arial" w:cs="Arial"/>
          <w:i/>
          <w:iCs/>
        </w:rPr>
      </w:pPr>
      <w:r w:rsidRPr="00E12B37">
        <w:rPr>
          <w:rFonts w:ascii="Arial" w:hAnsi="Arial" w:cs="Arial"/>
          <w:b/>
          <w:bCs/>
          <w:i/>
          <w:iCs/>
        </w:rPr>
        <w:t>Proposal-</w:t>
      </w:r>
      <w:r>
        <w:rPr>
          <w:rFonts w:ascii="Arial" w:hAnsi="Arial" w:cs="Arial"/>
          <w:b/>
          <w:bCs/>
          <w:i/>
          <w:iCs/>
        </w:rPr>
        <w:t>2</w:t>
      </w:r>
      <w:r w:rsidRPr="00E12B37">
        <w:rPr>
          <w:rFonts w:ascii="Arial" w:hAnsi="Arial" w:cs="Arial"/>
          <w:b/>
          <w:bCs/>
          <w:i/>
          <w:iCs/>
        </w:rPr>
        <w:t>:</w:t>
      </w:r>
      <w:r w:rsidRPr="00E12B37">
        <w:rPr>
          <w:rFonts w:ascii="Arial" w:hAnsi="Arial" w:cs="Arial"/>
          <w:i/>
          <w:iCs/>
        </w:rPr>
        <w:t xml:space="preserve"> </w:t>
      </w:r>
      <w:r w:rsidR="009767FD">
        <w:rPr>
          <w:rFonts w:ascii="Arial" w:hAnsi="Arial" w:cs="Arial"/>
          <w:i/>
          <w:iCs/>
        </w:rPr>
        <w:t>C</w:t>
      </w:r>
      <w:r>
        <w:rPr>
          <w:rFonts w:ascii="Arial" w:hAnsi="Arial" w:cs="Arial"/>
          <w:i/>
          <w:iCs/>
        </w:rPr>
        <w:t xml:space="preserve">ell-specific </w:t>
      </w:r>
      <w:r w:rsidRPr="00E12B37">
        <w:rPr>
          <w:rFonts w:ascii="Arial" w:hAnsi="Arial" w:cs="Arial"/>
          <w:i/>
          <w:iCs/>
        </w:rPr>
        <w:t>Koffset is</w:t>
      </w:r>
      <w:r>
        <w:rPr>
          <w:rFonts w:ascii="Arial" w:hAnsi="Arial" w:cs="Arial"/>
          <w:i/>
          <w:iCs/>
        </w:rPr>
        <w:t xml:space="preserve"> only considered for IoT-NTN</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5C363042" w14:textId="08E8F155" w:rsidR="0061219E" w:rsidRDefault="0061219E" w:rsidP="00F8241F">
      <w:pPr>
        <w:pStyle w:val="Reference"/>
        <w:spacing w:after="120" w:line="259" w:lineRule="auto"/>
        <w:jc w:val="both"/>
        <w:rPr>
          <w:rFonts w:ascii="Times New Roman" w:hAnsi="Times New Roman" w:cs="Times New Roman"/>
        </w:rPr>
      </w:pPr>
      <w:bookmarkStart w:id="2" w:name="_Ref49798330"/>
      <w:r>
        <w:rPr>
          <w:rFonts w:ascii="Times New Roman" w:hAnsi="Times New Roman" w:cs="Times New Roman"/>
        </w:rPr>
        <w:t>RAN1 #104e Chairman’s note</w:t>
      </w:r>
    </w:p>
    <w:p w14:paraId="6B7EFA5B" w14:textId="512B5E69" w:rsidR="002B6554" w:rsidRDefault="002B6554" w:rsidP="00F8241F">
      <w:pPr>
        <w:pStyle w:val="Reference"/>
        <w:spacing w:after="120" w:line="259" w:lineRule="auto"/>
        <w:jc w:val="both"/>
        <w:rPr>
          <w:rFonts w:ascii="Times New Roman" w:hAnsi="Times New Roman" w:cs="Times New Roman"/>
        </w:rPr>
      </w:pPr>
      <w:r>
        <w:rPr>
          <w:rFonts w:ascii="Times New Roman" w:hAnsi="Times New Roman" w:cs="Times New Roman"/>
        </w:rPr>
        <w:t>R1-2101949, FL summary</w:t>
      </w:r>
      <w:r w:rsidR="00EB3A3B">
        <w:rPr>
          <w:rFonts w:ascii="Times New Roman" w:hAnsi="Times New Roman" w:cs="Times New Roman"/>
        </w:rPr>
        <w:t xml:space="preserve"> of AI 8.15.3 Timing relationship for</w:t>
      </w:r>
      <w:r>
        <w:rPr>
          <w:rFonts w:ascii="Times New Roman" w:hAnsi="Times New Roman" w:cs="Times New Roman"/>
        </w:rPr>
        <w:t xml:space="preserve"> IoT NTN</w:t>
      </w:r>
    </w:p>
    <w:p w14:paraId="2F02CFF5" w14:textId="5B0EA754" w:rsidR="00F8241F" w:rsidRPr="004311D8" w:rsidRDefault="00F8241F" w:rsidP="00F8241F">
      <w:pPr>
        <w:pStyle w:val="Reference"/>
        <w:spacing w:after="120" w:line="259" w:lineRule="auto"/>
        <w:jc w:val="both"/>
        <w:rPr>
          <w:rFonts w:ascii="Times New Roman" w:hAnsi="Times New Roman" w:cs="Times New Roman"/>
        </w:rPr>
      </w:pPr>
      <w:r w:rsidRPr="004311D8">
        <w:rPr>
          <w:rFonts w:ascii="Times New Roman" w:hAnsi="Times New Roman" w:cs="Times New Roman"/>
        </w:rPr>
        <w:t>RP-193235, Study on NB-IoT/eMTC support for Non-terrestrial Network, MediaTek Inc., RAN#86, Dec 2019.</w:t>
      </w:r>
      <w:bookmarkEnd w:id="2"/>
    </w:p>
    <w:p w14:paraId="47BC1085" w14:textId="77777777" w:rsidR="00745259" w:rsidRPr="00344277" w:rsidRDefault="00745259" w:rsidP="00745259">
      <w:pPr>
        <w:pStyle w:val="Reference"/>
        <w:overflowPunct w:val="0"/>
        <w:autoSpaceDE w:val="0"/>
        <w:autoSpaceDN w:val="0"/>
        <w:adjustRightInd w:val="0"/>
        <w:spacing w:after="60"/>
        <w:jc w:val="both"/>
        <w:textAlignment w:val="baseline"/>
        <w:rPr>
          <w:rFonts w:ascii="Times New Roman" w:hAnsi="Times New Roman" w:cs="Times New Roman"/>
        </w:rPr>
      </w:pPr>
      <w:r w:rsidRPr="00344277">
        <w:rPr>
          <w:rFonts w:ascii="Times New Roman" w:hAnsi="Times New Roman" w:cs="Times New Roman"/>
        </w:rPr>
        <w:t>3GPP TR 38.821 Solutions for NR to support non-terrestrial networks (NTN)</w:t>
      </w:r>
    </w:p>
    <w:p w14:paraId="130531EF" w14:textId="77777777" w:rsidR="00745259" w:rsidRPr="00416213" w:rsidRDefault="00745259" w:rsidP="00416213">
      <w:pPr>
        <w:pStyle w:val="Reference"/>
        <w:numPr>
          <w:ilvl w:val="0"/>
          <w:numId w:val="0"/>
        </w:numPr>
        <w:spacing w:after="120" w:line="259" w:lineRule="auto"/>
        <w:jc w:val="both"/>
        <w:rPr>
          <w:rFonts w:ascii="Times New Roman" w:hAnsi="Times New Roman" w:cs="Times New Roman"/>
          <w:sz w:val="22"/>
        </w:rPr>
      </w:pPr>
    </w:p>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E8AD9" w14:textId="77777777" w:rsidR="00737145" w:rsidRDefault="00737145">
      <w:r>
        <w:separator/>
      </w:r>
    </w:p>
  </w:endnote>
  <w:endnote w:type="continuationSeparator" w:id="0">
    <w:p w14:paraId="2E719BC7" w14:textId="77777777" w:rsidR="00737145" w:rsidRDefault="00737145">
      <w:r>
        <w:continuationSeparator/>
      </w:r>
    </w:p>
  </w:endnote>
  <w:endnote w:type="continuationNotice" w:id="1">
    <w:p w14:paraId="4AB664C9" w14:textId="77777777" w:rsidR="00737145" w:rsidRDefault="00737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altName w:val="﷽﷽﷽﷽﷽﷽厽薳"/>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F1470" w14:textId="77777777" w:rsidR="00737145" w:rsidRDefault="00737145">
      <w:r>
        <w:separator/>
      </w:r>
    </w:p>
  </w:footnote>
  <w:footnote w:type="continuationSeparator" w:id="0">
    <w:p w14:paraId="12CF0DAC" w14:textId="77777777" w:rsidR="00737145" w:rsidRDefault="00737145">
      <w:r>
        <w:continuationSeparator/>
      </w:r>
    </w:p>
  </w:footnote>
  <w:footnote w:type="continuationNotice" w:id="1">
    <w:p w14:paraId="0417C45A" w14:textId="77777777" w:rsidR="00737145" w:rsidRDefault="00737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6B2869"/>
    <w:multiLevelType w:val="hybridMultilevel"/>
    <w:tmpl w:val="E2D6A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953148"/>
    <w:multiLevelType w:val="hybridMultilevel"/>
    <w:tmpl w:val="8C9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7"/>
  </w:num>
  <w:num w:numId="10">
    <w:abstractNumId w:val="14"/>
  </w:num>
  <w:num w:numId="11">
    <w:abstractNumId w:val="10"/>
  </w:num>
  <w:num w:numId="12">
    <w:abstractNumId w:val="18"/>
  </w:num>
  <w:num w:numId="13">
    <w:abstractNumId w:val="11"/>
  </w:num>
  <w:num w:numId="14">
    <w:abstractNumId w:val="13"/>
  </w:num>
  <w:num w:numId="15">
    <w:abstractNumId w:val="1"/>
  </w:num>
  <w:num w:numId="16">
    <w:abstractNumId w:val="16"/>
  </w:num>
  <w:num w:numId="17">
    <w:abstractNumId w:val="15"/>
  </w:num>
  <w:num w:numId="18">
    <w:abstractNumId w:val="3"/>
  </w:num>
  <w:num w:numId="1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03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046"/>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24A0"/>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51B"/>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AF1"/>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259F"/>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23"/>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904"/>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99"/>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554"/>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2FF5"/>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891"/>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8691E"/>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B97"/>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1D8"/>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572"/>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6F56"/>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219E"/>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145"/>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03A6"/>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4DAB"/>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7FB"/>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57D"/>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A05"/>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2F9"/>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637"/>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2F"/>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7FD"/>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118"/>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6ABE"/>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B84"/>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8C"/>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E7F3E"/>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A45"/>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06"/>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D8F"/>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10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6CD5"/>
    <w:rsid w:val="00C46E9B"/>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B"/>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304"/>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6FA8"/>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4AE"/>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00F"/>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70A"/>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0EAD"/>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2B37"/>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97EF4"/>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A3B"/>
    <w:rsid w:val="00EB3D70"/>
    <w:rsid w:val="00EB3E22"/>
    <w:rsid w:val="00EB41B5"/>
    <w:rsid w:val="00EB489A"/>
    <w:rsid w:val="00EB48E5"/>
    <w:rsid w:val="00EB4C35"/>
    <w:rsid w:val="00EB4EA2"/>
    <w:rsid w:val="00EB5B44"/>
    <w:rsid w:val="00EB6685"/>
    <w:rsid w:val="00EB7237"/>
    <w:rsid w:val="00EB73C3"/>
    <w:rsid w:val="00EB7521"/>
    <w:rsid w:val="00EB769C"/>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1AE"/>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41F"/>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12"/>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B97"/>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A0B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0B9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uiPriority w:val="35"/>
    <w:qFormat/>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0"/>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0"/>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0"/>
      </w:numPr>
      <w:ind w:hanging="180"/>
    </w:pPr>
    <w:rPr>
      <w:rFonts w:ascii="Times" w:eastAsia="Batang" w:hAnsi="Times"/>
      <w:sz w:val="20"/>
      <w:lang w:val="en-GB"/>
    </w:rPr>
  </w:style>
  <w:style w:type="paragraph" w:customStyle="1" w:styleId="bullet4">
    <w:name w:val="bullet4"/>
    <w:basedOn w:val="Normal"/>
    <w:qFormat/>
    <w:rsid w:val="00D326D7"/>
    <w:pPr>
      <w:numPr>
        <w:ilvl w:val="3"/>
        <w:numId w:val="10"/>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1"/>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CAA8B8-3BE6-49B8-8303-DC880D0AE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2021-05-11T23:07:00Z</dcterms:created>
  <dcterms:modified xsi:type="dcterms:W3CDTF">2021-05-11T23:07:00Z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