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BFC317" w14:textId="7A846795" w:rsidR="00741329" w:rsidRPr="002B5A22" w:rsidRDefault="00741329" w:rsidP="00741329">
      <w:pPr>
        <w:tabs>
          <w:tab w:val="center" w:pos="4536"/>
          <w:tab w:val="right" w:pos="8280"/>
          <w:tab w:val="right" w:pos="9639"/>
        </w:tabs>
        <w:ind w:right="2"/>
        <w:rPr>
          <w:rFonts w:ascii="Arial" w:eastAsia="Batang" w:hAnsi="Arial" w:cs="Arial"/>
          <w:b/>
          <w:bCs/>
          <w:sz w:val="28"/>
        </w:rPr>
      </w:pPr>
      <w:bookmarkStart w:id="0" w:name="_Hlk4231204"/>
      <w:bookmarkStart w:id="1" w:name="_Ref513464071"/>
      <w:r w:rsidRPr="002B5A22">
        <w:rPr>
          <w:rFonts w:ascii="Arial" w:eastAsia="Batang" w:hAnsi="Arial" w:cs="Arial"/>
          <w:b/>
          <w:bCs/>
          <w:sz w:val="28"/>
        </w:rPr>
        <w:t>3GPP TSG RAN WG1 #10</w:t>
      </w:r>
      <w:r>
        <w:rPr>
          <w:rFonts w:ascii="Arial" w:eastAsia="Batang" w:hAnsi="Arial" w:cs="Arial"/>
          <w:b/>
          <w:bCs/>
          <w:sz w:val="28"/>
        </w:rPr>
        <w:t>5</w:t>
      </w:r>
      <w:r w:rsidRPr="002B5A22">
        <w:rPr>
          <w:rFonts w:ascii="Arial" w:eastAsia="Batang" w:hAnsi="Arial" w:cs="Arial"/>
          <w:b/>
          <w:bCs/>
          <w:sz w:val="28"/>
        </w:rPr>
        <w:t>-e</w:t>
      </w:r>
      <w:r w:rsidRPr="002B5A22">
        <w:rPr>
          <w:rFonts w:ascii="Arial" w:eastAsia="Batang" w:hAnsi="Arial" w:cs="Arial"/>
          <w:b/>
          <w:bCs/>
          <w:sz w:val="28"/>
        </w:rPr>
        <w:tab/>
      </w:r>
      <w:r w:rsidRPr="002B5A22">
        <w:rPr>
          <w:rFonts w:ascii="Arial" w:eastAsia="Batang" w:hAnsi="Arial" w:cs="Arial"/>
          <w:b/>
          <w:bCs/>
          <w:sz w:val="28"/>
        </w:rPr>
        <w:tab/>
      </w:r>
      <w:r w:rsidRPr="002B5A22">
        <w:rPr>
          <w:rFonts w:ascii="Arial" w:eastAsia="Batang" w:hAnsi="Arial" w:cs="Arial"/>
          <w:b/>
          <w:bCs/>
          <w:sz w:val="28"/>
        </w:rPr>
        <w:tab/>
        <w:t>R1-2</w:t>
      </w:r>
      <w:r>
        <w:rPr>
          <w:rFonts w:ascii="Arial" w:eastAsia="Batang" w:hAnsi="Arial" w:cs="Arial"/>
          <w:b/>
          <w:bCs/>
          <w:sz w:val="28"/>
        </w:rPr>
        <w:t>1</w:t>
      </w:r>
      <w:r w:rsidR="00F71F17">
        <w:rPr>
          <w:rFonts w:ascii="Arial" w:eastAsia="Batang" w:hAnsi="Arial" w:cs="Arial"/>
          <w:b/>
          <w:bCs/>
          <w:sz w:val="28"/>
        </w:rPr>
        <w:t>05669</w:t>
      </w:r>
    </w:p>
    <w:p w14:paraId="17AC3195" w14:textId="77777777" w:rsidR="00741329" w:rsidRPr="00AC102C" w:rsidRDefault="00741329" w:rsidP="00741329">
      <w:pPr>
        <w:tabs>
          <w:tab w:val="center" w:pos="4536"/>
          <w:tab w:val="right" w:pos="9072"/>
        </w:tabs>
        <w:rPr>
          <w:rFonts w:ascii="Arial" w:eastAsia="MS Mincho" w:hAnsi="Arial" w:cs="Arial"/>
          <w:b/>
          <w:bCs/>
          <w:sz w:val="28"/>
          <w:lang w:eastAsia="ja-JP"/>
        </w:rPr>
      </w:pPr>
      <w:r w:rsidRPr="002B5A22">
        <w:rPr>
          <w:rFonts w:ascii="Arial" w:eastAsia="MS Mincho" w:hAnsi="Arial" w:cs="Arial"/>
          <w:b/>
          <w:bCs/>
          <w:sz w:val="28"/>
          <w:lang w:eastAsia="ja-JP"/>
        </w:rPr>
        <w:t xml:space="preserve">e-Meeting, </w:t>
      </w:r>
      <w:r>
        <w:rPr>
          <w:rFonts w:ascii="Arial" w:eastAsia="MS Mincho" w:hAnsi="Arial" w:cs="Arial"/>
          <w:b/>
          <w:bCs/>
          <w:sz w:val="28"/>
          <w:lang w:eastAsia="ja-JP"/>
        </w:rPr>
        <w:t>May 10</w:t>
      </w:r>
      <w:r w:rsidRPr="009B4E4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9B4E4E">
        <w:rPr>
          <w:rFonts w:ascii="Arial" w:eastAsia="MS Mincho" w:hAnsi="Arial" w:cs="Arial"/>
          <w:b/>
          <w:bCs/>
          <w:sz w:val="28"/>
          <w:vertAlign w:val="superscript"/>
          <w:lang w:eastAsia="ja-JP"/>
        </w:rPr>
        <w:t>th</w:t>
      </w:r>
      <w:r w:rsidRPr="002B5A22">
        <w:rPr>
          <w:rFonts w:ascii="Arial" w:eastAsia="MS Mincho" w:hAnsi="Arial" w:cs="Arial"/>
          <w:b/>
          <w:bCs/>
          <w:sz w:val="28"/>
          <w:lang w:eastAsia="ja-JP"/>
        </w:rPr>
        <w:t>, 202</w:t>
      </w:r>
      <w:r>
        <w:rPr>
          <w:rFonts w:ascii="Arial" w:eastAsia="MS Mincho" w:hAnsi="Arial" w:cs="Arial"/>
          <w:b/>
          <w:bCs/>
          <w:sz w:val="28"/>
          <w:lang w:eastAsia="ja-JP"/>
        </w:rPr>
        <w:t>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E09C70E"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4B4930">
        <w:rPr>
          <w:rFonts w:cs="Arial"/>
          <w:b/>
          <w:bCs/>
          <w:sz w:val="24"/>
          <w:szCs w:val="24"/>
          <w:lang w:val="en-US"/>
        </w:rPr>
        <w:t>3</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052F182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4B4930">
        <w:rPr>
          <w:rFonts w:ascii="Arial" w:hAnsi="Arial" w:cs="Arial"/>
          <w:b/>
          <w:bCs/>
        </w:rPr>
        <w:t>HARQ enhancement</w:t>
      </w:r>
      <w:r w:rsidR="0078522C">
        <w:rPr>
          <w:rFonts w:ascii="Arial" w:hAnsi="Arial" w:cs="Arial"/>
          <w:b/>
          <w:bCs/>
        </w:rPr>
        <w:t xml:space="preserve"> for 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1EF79A18"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Pr="008924A3">
        <w:rPr>
          <w:rFonts w:ascii="Arial" w:hAnsi="Arial" w:cs="Arial"/>
        </w:rPr>
        <w:t xml:space="preserve"> #</w:t>
      </w:r>
      <w:r w:rsidR="0014634B">
        <w:rPr>
          <w:rFonts w:ascii="Arial" w:hAnsi="Arial" w:cs="Arial"/>
        </w:rPr>
        <w:t>10</w:t>
      </w:r>
      <w:r w:rsidR="009D1B61">
        <w:rPr>
          <w:rFonts w:ascii="Arial" w:hAnsi="Arial" w:cs="Arial"/>
        </w:rPr>
        <w:t>3</w:t>
      </w:r>
      <w:r w:rsidR="0014634B">
        <w:rPr>
          <w:rFonts w:ascii="Arial" w:hAnsi="Arial" w:cs="Arial"/>
        </w:rPr>
        <w:t>-e</w:t>
      </w:r>
      <w:r w:rsidR="008A245E">
        <w:rPr>
          <w:rFonts w:ascii="Arial" w:hAnsi="Arial" w:cs="Arial"/>
        </w:rPr>
        <w:t xml:space="preserve"> and RAN1#104-e</w:t>
      </w:r>
      <w:r w:rsidRPr="008924A3">
        <w:rPr>
          <w:rFonts w:ascii="Arial" w:hAnsi="Arial" w:cs="Arial"/>
        </w:rPr>
        <w:t xml:space="preserve">, </w:t>
      </w:r>
      <w:r w:rsidR="0014634B">
        <w:rPr>
          <w:rFonts w:ascii="Arial" w:hAnsi="Arial" w:cs="Arial"/>
        </w:rPr>
        <w:t xml:space="preserve">the following agreement has been made as a progress for the </w:t>
      </w:r>
      <w:r w:rsidR="00EB6DC8">
        <w:rPr>
          <w:rFonts w:ascii="Arial" w:hAnsi="Arial" w:cs="Arial"/>
        </w:rPr>
        <w:t>HARQ enhancement</w:t>
      </w:r>
      <w:r w:rsidR="00D871F0">
        <w:rPr>
          <w:rFonts w:ascii="Arial" w:hAnsi="Arial" w:cs="Arial"/>
        </w:rPr>
        <w:t xml:space="preserve"> for NTN</w:t>
      </w:r>
      <w:r w:rsidRPr="008924A3">
        <w:rPr>
          <w:rFonts w:ascii="Arial" w:hAnsi="Arial" w:cs="Arial"/>
        </w:rPr>
        <w:t xml:space="preserve"> [1]</w:t>
      </w:r>
      <w:r w:rsidR="008A245E">
        <w:rPr>
          <w:rFonts w:ascii="Arial" w:hAnsi="Arial" w:cs="Arial"/>
        </w:rPr>
        <w:t>[2]</w:t>
      </w:r>
      <w:r w:rsidRPr="008924A3">
        <w:rPr>
          <w:rFonts w:ascii="Arial" w:hAnsi="Arial" w:cs="Arial"/>
        </w:rPr>
        <w:t xml:space="preserve">: </w:t>
      </w:r>
    </w:p>
    <w:p w14:paraId="5F8FA841" w14:textId="77777777" w:rsidR="008A245E" w:rsidRDefault="008A245E" w:rsidP="00A94356">
      <w:pPr>
        <w:rPr>
          <w:rFonts w:ascii="Times New Roman" w:hAnsi="Times New Roman" w:cs="Times New Roman"/>
          <w:i/>
          <w:iCs/>
          <w:highlight w:val="green"/>
          <w:lang w:eastAsia="x-none"/>
        </w:rPr>
      </w:pPr>
      <w:bookmarkStart w:id="2" w:name="_Hlk56148125"/>
    </w:p>
    <w:p w14:paraId="3131D0DB" w14:textId="1BDF4611" w:rsidR="002316E5" w:rsidRPr="002316E5" w:rsidRDefault="002316E5" w:rsidP="00A94356">
      <w:pPr>
        <w:rPr>
          <w:rFonts w:ascii="Times New Roman" w:hAnsi="Times New Roman" w:cs="Times New Roman"/>
          <w:i/>
          <w:iCs/>
          <w:lang w:eastAsia="x-none"/>
        </w:rPr>
      </w:pPr>
      <w:r w:rsidRPr="002316E5">
        <w:rPr>
          <w:rFonts w:ascii="Times New Roman" w:hAnsi="Times New Roman" w:cs="Times New Roman"/>
          <w:i/>
          <w:iCs/>
          <w:highlight w:val="green"/>
          <w:lang w:eastAsia="x-none"/>
        </w:rPr>
        <w:t>Agreement:</w:t>
      </w:r>
    </w:p>
    <w:p w14:paraId="5F26278A" w14:textId="77777777" w:rsidR="002316E5" w:rsidRPr="002316E5" w:rsidRDefault="002316E5" w:rsidP="00A94356">
      <w:pPr>
        <w:rPr>
          <w:rFonts w:ascii="Times New Roman" w:hAnsi="Times New Roman" w:cs="Times New Roman"/>
          <w:i/>
          <w:iCs/>
          <w:lang w:eastAsia="x-none"/>
        </w:rPr>
      </w:pPr>
      <w:r w:rsidRPr="002316E5">
        <w:rPr>
          <w:rFonts w:ascii="Times New Roman" w:hAnsi="Times New Roman" w:cs="Times New Roman"/>
          <w:i/>
          <w:iCs/>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55C7CBFF" w14:textId="77777777" w:rsidR="002316E5" w:rsidRPr="002316E5" w:rsidRDefault="002316E5" w:rsidP="00A94356">
      <w:pPr>
        <w:numPr>
          <w:ilvl w:val="0"/>
          <w:numId w:val="44"/>
        </w:numPr>
        <w:rPr>
          <w:rFonts w:ascii="Times New Roman" w:hAnsi="Times New Roman" w:cs="Times New Roman"/>
          <w:i/>
          <w:iCs/>
          <w:lang w:eastAsia="x-none"/>
        </w:rPr>
      </w:pPr>
      <w:r w:rsidRPr="002316E5">
        <w:rPr>
          <w:rFonts w:ascii="Times New Roman" w:hAnsi="Times New Roman" w:cs="Times New Roman"/>
          <w:i/>
          <w:iCs/>
          <w:lang w:eastAsia="x-none"/>
        </w:rPr>
        <w:t>FFS: value of X and units in which it is defined.</w:t>
      </w:r>
    </w:p>
    <w:p w14:paraId="6CE9E0EE" w14:textId="77777777" w:rsidR="002316E5" w:rsidRPr="002316E5" w:rsidRDefault="002316E5" w:rsidP="00A94356">
      <w:pPr>
        <w:numPr>
          <w:ilvl w:val="0"/>
          <w:numId w:val="44"/>
        </w:numPr>
        <w:rPr>
          <w:rFonts w:ascii="Times New Roman" w:hAnsi="Times New Roman" w:cs="Times New Roman"/>
          <w:i/>
          <w:iCs/>
          <w:lang w:eastAsia="x-none"/>
        </w:rPr>
      </w:pPr>
      <w:r w:rsidRPr="002316E5">
        <w:rPr>
          <w:rFonts w:ascii="Times New Roman" w:hAnsi="Times New Roman" w:cs="Times New Roman"/>
          <w:i/>
          <w:iCs/>
          <w:lang w:eastAsia="x-none"/>
        </w:rPr>
        <w:t>FFS: Whether TB of the two PDSCHs needs to be different</w:t>
      </w:r>
    </w:p>
    <w:p w14:paraId="63670EDB" w14:textId="77777777" w:rsidR="002316E5" w:rsidRPr="002316E5" w:rsidRDefault="002316E5" w:rsidP="00A94356">
      <w:pPr>
        <w:rPr>
          <w:rFonts w:ascii="Times New Roman" w:hAnsi="Times New Roman" w:cs="Times New Roman"/>
          <w:i/>
          <w:iCs/>
          <w:lang w:eastAsia="x-none"/>
        </w:rPr>
      </w:pPr>
    </w:p>
    <w:p w14:paraId="03B1E644" w14:textId="77777777" w:rsidR="002316E5" w:rsidRPr="002316E5" w:rsidRDefault="002316E5" w:rsidP="00A94356">
      <w:pPr>
        <w:rPr>
          <w:rFonts w:ascii="Times New Roman" w:hAnsi="Times New Roman" w:cs="Times New Roman"/>
          <w:bCs/>
          <w:i/>
          <w:iCs/>
          <w:color w:val="000000"/>
          <w:szCs w:val="20"/>
        </w:rPr>
      </w:pPr>
      <w:r w:rsidRPr="002316E5">
        <w:rPr>
          <w:rFonts w:ascii="Times New Roman" w:hAnsi="Times New Roman" w:cs="Times New Roman"/>
          <w:bCs/>
          <w:i/>
          <w:iCs/>
          <w:color w:val="000000"/>
          <w:szCs w:val="20"/>
          <w:highlight w:val="green"/>
        </w:rPr>
        <w:t>Agreement:</w:t>
      </w:r>
    </w:p>
    <w:p w14:paraId="5ADB7819" w14:textId="77777777" w:rsidR="002316E5" w:rsidRPr="002316E5" w:rsidRDefault="002316E5" w:rsidP="00A94356">
      <w:pPr>
        <w:numPr>
          <w:ilvl w:val="0"/>
          <w:numId w:val="45"/>
        </w:numPr>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Enhanced HARQ process ID ind</w:t>
      </w:r>
      <w:r w:rsidRPr="002316E5">
        <w:rPr>
          <w:rFonts w:ascii="Times New Roman" w:hAnsi="Times New Roman" w:cs="Times New Roman"/>
          <w:i/>
          <w:iCs/>
          <w:szCs w:val="20"/>
          <w:lang w:eastAsia="x-none"/>
        </w:rPr>
        <w:t>ication is supported for DCI 0-2/1-2 and DCI 0-1/1-1 by at least one of following:</w:t>
      </w:r>
    </w:p>
    <w:p w14:paraId="309B362B" w14:textId="77777777" w:rsidR="002316E5" w:rsidRPr="002316E5" w:rsidRDefault="002316E5" w:rsidP="00A94356">
      <w:pPr>
        <w:numPr>
          <w:ilvl w:val="1"/>
          <w:numId w:val="46"/>
        </w:numPr>
        <w:rPr>
          <w:rFonts w:ascii="Times New Roman" w:hAnsi="Times New Roman" w:cs="Times New Roman"/>
          <w:i/>
          <w:iCs/>
          <w:szCs w:val="20"/>
          <w:lang w:eastAsia="x-none"/>
        </w:rPr>
      </w:pPr>
      <w:r w:rsidRPr="002316E5">
        <w:rPr>
          <w:rFonts w:ascii="Times New Roman" w:hAnsi="Times New Roman" w:cs="Times New Roman"/>
          <w:i/>
          <w:iCs/>
          <w:szCs w:val="20"/>
          <w:lang w:eastAsia="x-none"/>
        </w:rPr>
        <w:t>Option 1: Slot index as the MSB</w:t>
      </w:r>
    </w:p>
    <w:p w14:paraId="4D79D65A" w14:textId="537CACDC" w:rsidR="002316E5" w:rsidRPr="002316E5" w:rsidRDefault="002316E5" w:rsidP="00A94356">
      <w:pPr>
        <w:numPr>
          <w:ilvl w:val="1"/>
          <w:numId w:val="46"/>
        </w:numPr>
        <w:rPr>
          <w:rFonts w:ascii="Times New Roman" w:hAnsi="Times New Roman" w:cs="Times New Roman"/>
          <w:i/>
          <w:iCs/>
          <w:szCs w:val="20"/>
          <w:lang w:eastAsia="x-none"/>
        </w:rPr>
      </w:pPr>
      <w:r w:rsidRPr="002316E5">
        <w:rPr>
          <w:rFonts w:ascii="Times New Roman" w:hAnsi="Times New Roman" w:cs="Times New Roman"/>
          <w:i/>
          <w:iCs/>
          <w:szCs w:val="20"/>
          <w:lang w:eastAsia="x-none"/>
        </w:rPr>
        <w:t>Option 1-a:</w:t>
      </w:r>
      <w:r w:rsidR="00D12E6B">
        <w:rPr>
          <w:rFonts w:ascii="Times New Roman" w:hAnsi="Times New Roman" w:cs="Times New Roman" w:hint="eastAsia"/>
          <w:i/>
          <w:iCs/>
          <w:szCs w:val="20"/>
        </w:rPr>
        <w:t xml:space="preserve"> </w:t>
      </w:r>
      <w:r w:rsidRPr="002316E5">
        <w:rPr>
          <w:rFonts w:ascii="Times New Roman" w:hAnsi="Times New Roman" w:cs="Times New Roman"/>
          <w:i/>
          <w:iCs/>
          <w:szCs w:val="20"/>
          <w:lang w:eastAsia="x-none"/>
        </w:rPr>
        <w:t>Slot index as the LSB </w:t>
      </w:r>
    </w:p>
    <w:p w14:paraId="56212684" w14:textId="77777777" w:rsidR="002316E5" w:rsidRPr="002316E5" w:rsidRDefault="002316E5" w:rsidP="00A94356">
      <w:pPr>
        <w:numPr>
          <w:ilvl w:val="1"/>
          <w:numId w:val="46"/>
        </w:numPr>
        <w:rPr>
          <w:rFonts w:ascii="Times New Roman" w:hAnsi="Times New Roman" w:cs="Times New Roman"/>
          <w:i/>
          <w:iCs/>
          <w:szCs w:val="20"/>
          <w:lang w:eastAsia="x-none"/>
        </w:rPr>
      </w:pPr>
      <w:r w:rsidRPr="002316E5">
        <w:rPr>
          <w:rFonts w:ascii="Times New Roman" w:hAnsi="Times New Roman" w:cs="Times New Roman"/>
          <w:i/>
          <w:iCs/>
          <w:szCs w:val="20"/>
          <w:lang w:eastAsia="x-none"/>
        </w:rPr>
        <w:t xml:space="preserve">Option 2: Reusing one bit from </w:t>
      </w:r>
      <w:proofErr w:type="gramStart"/>
      <w:r w:rsidRPr="002316E5">
        <w:rPr>
          <w:rFonts w:ascii="Times New Roman" w:hAnsi="Times New Roman" w:cs="Times New Roman"/>
          <w:i/>
          <w:iCs/>
          <w:szCs w:val="20"/>
          <w:lang w:eastAsia="x-none"/>
        </w:rPr>
        <w:t>other</w:t>
      </w:r>
      <w:proofErr w:type="gramEnd"/>
      <w:r w:rsidRPr="002316E5">
        <w:rPr>
          <w:rFonts w:ascii="Times New Roman" w:hAnsi="Times New Roman" w:cs="Times New Roman"/>
          <w:i/>
          <w:iCs/>
          <w:szCs w:val="20"/>
          <w:lang w:eastAsia="x-none"/>
        </w:rPr>
        <w:t xml:space="preserve"> bit field</w:t>
      </w:r>
    </w:p>
    <w:p w14:paraId="50CF7E67" w14:textId="77777777" w:rsidR="002316E5" w:rsidRPr="002316E5" w:rsidRDefault="002316E5" w:rsidP="00A94356">
      <w:pPr>
        <w:numPr>
          <w:ilvl w:val="1"/>
          <w:numId w:val="46"/>
        </w:numPr>
        <w:rPr>
          <w:rFonts w:ascii="Times New Roman" w:hAnsi="Times New Roman" w:cs="Times New Roman"/>
          <w:i/>
          <w:iCs/>
          <w:szCs w:val="20"/>
          <w:lang w:eastAsia="x-none"/>
        </w:rPr>
      </w:pPr>
      <w:r w:rsidRPr="002316E5">
        <w:rPr>
          <w:rFonts w:ascii="Times New Roman" w:hAnsi="Times New Roman" w:cs="Times New Roman"/>
          <w:i/>
          <w:iCs/>
          <w:szCs w:val="20"/>
          <w:lang w:eastAsia="x-none"/>
        </w:rPr>
        <w:t>Option 3: Extending the HARQ process ID field up to 5 bits </w:t>
      </w:r>
    </w:p>
    <w:p w14:paraId="43311733" w14:textId="77777777" w:rsidR="002316E5" w:rsidRPr="002316E5" w:rsidRDefault="002316E5" w:rsidP="00A94356">
      <w:pPr>
        <w:numPr>
          <w:ilvl w:val="0"/>
          <w:numId w:val="46"/>
        </w:numPr>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FFS: DCI 0-0/1-0</w:t>
      </w:r>
    </w:p>
    <w:p w14:paraId="4D53DAF0" w14:textId="77777777" w:rsidR="002316E5" w:rsidRPr="002316E5" w:rsidRDefault="002316E5" w:rsidP="00A94356">
      <w:pPr>
        <w:numPr>
          <w:ilvl w:val="0"/>
          <w:numId w:val="46"/>
        </w:numPr>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Note: 32 is taken as maximal supported HARQ processes number for both UL and DL</w:t>
      </w:r>
    </w:p>
    <w:p w14:paraId="25031A1B" w14:textId="77777777" w:rsidR="002316E5" w:rsidRPr="002316E5" w:rsidRDefault="002316E5" w:rsidP="00A94356">
      <w:pPr>
        <w:pStyle w:val="NormalWeb"/>
        <w:shd w:val="clear" w:color="auto" w:fill="FFFFFF"/>
        <w:spacing w:before="0" w:beforeAutospacing="0" w:after="0" w:afterAutospacing="0" w:line="315" w:lineRule="atLeast"/>
        <w:rPr>
          <w:rFonts w:ascii="Times New Roman" w:hAnsi="Times New Roman" w:cs="Times New Roman"/>
          <w:i/>
          <w:iCs/>
          <w:color w:val="000000"/>
          <w:sz w:val="21"/>
          <w:szCs w:val="21"/>
        </w:rPr>
      </w:pPr>
      <w:r w:rsidRPr="002316E5">
        <w:rPr>
          <w:rFonts w:ascii="Times New Roman" w:hAnsi="Times New Roman" w:cs="Times New Roman"/>
          <w:i/>
          <w:iCs/>
          <w:color w:val="000000"/>
          <w:sz w:val="21"/>
          <w:szCs w:val="21"/>
        </w:rPr>
        <w:t> </w:t>
      </w:r>
    </w:p>
    <w:p w14:paraId="030D4D63" w14:textId="77777777" w:rsidR="002316E5" w:rsidRPr="002316E5" w:rsidRDefault="002316E5" w:rsidP="00A94356">
      <w:pPr>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highlight w:val="green"/>
          <w:lang w:eastAsia="x-none"/>
        </w:rPr>
        <w:t>Agreement:</w:t>
      </w:r>
    </w:p>
    <w:p w14:paraId="305E7EB2" w14:textId="77777777" w:rsidR="002316E5" w:rsidRPr="002316E5" w:rsidRDefault="002316E5" w:rsidP="00A94356">
      <w:pPr>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HARQ codebook enhancement is supported as:</w:t>
      </w:r>
    </w:p>
    <w:p w14:paraId="342F4131" w14:textId="77777777" w:rsidR="002316E5" w:rsidRPr="002316E5" w:rsidRDefault="002316E5" w:rsidP="00A94356">
      <w:pPr>
        <w:numPr>
          <w:ilvl w:val="0"/>
          <w:numId w:val="46"/>
        </w:numPr>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For Type-2 HARQ codebook:</w:t>
      </w:r>
    </w:p>
    <w:p w14:paraId="13E4CD12" w14:textId="77777777" w:rsidR="002316E5" w:rsidRPr="002316E5" w:rsidRDefault="002316E5" w:rsidP="00A94356">
      <w:pPr>
        <w:numPr>
          <w:ilvl w:val="1"/>
          <w:numId w:val="46"/>
        </w:numPr>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Option-1: Reduce codebook size with:</w:t>
      </w:r>
    </w:p>
    <w:p w14:paraId="4B9BDDF7" w14:textId="77777777" w:rsidR="002316E5" w:rsidRPr="002316E5" w:rsidRDefault="002316E5" w:rsidP="00A94356">
      <w:pPr>
        <w:numPr>
          <w:ilvl w:val="2"/>
          <w:numId w:val="46"/>
        </w:numPr>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HARQ-ACK codebook only includes HARQ-ACK of PDSCH with feedback-enabled HARQ processes</w:t>
      </w:r>
    </w:p>
    <w:p w14:paraId="359F2FF0" w14:textId="77777777" w:rsidR="002316E5" w:rsidRPr="002316E5" w:rsidRDefault="002316E5" w:rsidP="00A94356">
      <w:pPr>
        <w:numPr>
          <w:ilvl w:val="3"/>
          <w:numId w:val="46"/>
        </w:numPr>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FFS: the details of C-DAI and T-DAI counting for DCI of PDSCH with feedback-enable/disabled HARQ processes</w:t>
      </w:r>
    </w:p>
    <w:p w14:paraId="36FED08C" w14:textId="77777777" w:rsidR="002316E5" w:rsidRPr="002316E5" w:rsidRDefault="002316E5" w:rsidP="00A94356">
      <w:pPr>
        <w:numPr>
          <w:ilvl w:val="2"/>
          <w:numId w:val="46"/>
        </w:numPr>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FFS: at least DCI for SPS release/SPS PDSCH</w:t>
      </w:r>
    </w:p>
    <w:p w14:paraId="689353D6" w14:textId="77777777" w:rsidR="002316E5" w:rsidRPr="002316E5" w:rsidRDefault="002316E5" w:rsidP="00A94356">
      <w:pPr>
        <w:numPr>
          <w:ilvl w:val="1"/>
          <w:numId w:val="46"/>
        </w:numPr>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Option-2: No enhancement</w:t>
      </w:r>
    </w:p>
    <w:p w14:paraId="770435CB" w14:textId="77777777" w:rsidR="002316E5" w:rsidRPr="002316E5" w:rsidRDefault="002316E5" w:rsidP="00A94356">
      <w:pPr>
        <w:numPr>
          <w:ilvl w:val="1"/>
          <w:numId w:val="46"/>
        </w:numPr>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Other options are not precluded.</w:t>
      </w:r>
    </w:p>
    <w:p w14:paraId="7790B304" w14:textId="77777777" w:rsidR="002316E5" w:rsidRPr="002316E5" w:rsidRDefault="002316E5" w:rsidP="00A94356">
      <w:pPr>
        <w:numPr>
          <w:ilvl w:val="0"/>
          <w:numId w:val="46"/>
        </w:numPr>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For Type-1 HARQ codebook, further discuss is needed with down selection among following options:</w:t>
      </w:r>
    </w:p>
    <w:p w14:paraId="05308D7A" w14:textId="6813D7FD" w:rsidR="002316E5" w:rsidRPr="002316E5" w:rsidRDefault="002316E5" w:rsidP="00A94356">
      <w:pPr>
        <w:numPr>
          <w:ilvl w:val="1"/>
          <w:numId w:val="46"/>
        </w:numPr>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Option-1: No enhancement</w:t>
      </w:r>
    </w:p>
    <w:p w14:paraId="32B03FE3" w14:textId="77777777" w:rsidR="002316E5" w:rsidRPr="002316E5" w:rsidRDefault="002316E5" w:rsidP="00A94356">
      <w:pPr>
        <w:numPr>
          <w:ilvl w:val="1"/>
          <w:numId w:val="46"/>
        </w:numPr>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Option-2: Report NACK on disabled process</w:t>
      </w:r>
    </w:p>
    <w:p w14:paraId="2E8FB4A4" w14:textId="77777777" w:rsidR="002316E5" w:rsidRPr="002316E5" w:rsidRDefault="002316E5" w:rsidP="00A94356">
      <w:pPr>
        <w:numPr>
          <w:ilvl w:val="1"/>
          <w:numId w:val="46"/>
        </w:numPr>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lastRenderedPageBreak/>
        <w:t>Option-3: Reduce codebook size with criteria </w:t>
      </w:r>
    </w:p>
    <w:p w14:paraId="5A11D4DD" w14:textId="77777777" w:rsidR="002316E5" w:rsidRPr="002316E5" w:rsidRDefault="002316E5" w:rsidP="00A94356">
      <w:pPr>
        <w:numPr>
          <w:ilvl w:val="0"/>
          <w:numId w:val="46"/>
        </w:numPr>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FFS: Enhancements for Type-3 HARQ codebook</w:t>
      </w:r>
    </w:p>
    <w:bookmarkEnd w:id="2"/>
    <w:p w14:paraId="6554F996" w14:textId="5793C63F" w:rsidR="008039A6" w:rsidRDefault="008039A6" w:rsidP="00637413">
      <w:pPr>
        <w:spacing w:line="276" w:lineRule="auto"/>
        <w:jc w:val="both"/>
        <w:rPr>
          <w:rFonts w:ascii="Arial" w:eastAsia="Malgun Gothic" w:hAnsi="Arial" w:cs="Arial"/>
        </w:rPr>
      </w:pPr>
    </w:p>
    <w:p w14:paraId="54E5FC54" w14:textId="77777777" w:rsidR="008A245E" w:rsidRPr="008A245E" w:rsidRDefault="008A245E" w:rsidP="008A245E">
      <w:pPr>
        <w:rPr>
          <w:rFonts w:ascii="Times New Roman" w:hAnsi="Times New Roman" w:cs="Times New Roman"/>
          <w:i/>
          <w:iCs/>
          <w:lang w:eastAsia="x-none"/>
        </w:rPr>
      </w:pPr>
      <w:r w:rsidRPr="008A245E">
        <w:rPr>
          <w:rFonts w:ascii="Times New Roman" w:hAnsi="Times New Roman" w:cs="Times New Roman"/>
          <w:i/>
          <w:iCs/>
          <w:highlight w:val="green"/>
          <w:lang w:eastAsia="x-none"/>
        </w:rPr>
        <w:t>Agreement:</w:t>
      </w:r>
    </w:p>
    <w:p w14:paraId="160E0FFD" w14:textId="77777777" w:rsidR="008A245E" w:rsidRPr="008A245E" w:rsidRDefault="008A245E" w:rsidP="008A245E">
      <w:pPr>
        <w:rPr>
          <w:rFonts w:ascii="Times New Roman" w:hAnsi="Times New Roman" w:cs="Times New Roman"/>
          <w:i/>
          <w:iCs/>
          <w:color w:val="000000"/>
          <w:lang w:eastAsia="zh-CN"/>
        </w:rPr>
      </w:pPr>
      <w:r w:rsidRPr="008A245E">
        <w:rPr>
          <w:rFonts w:ascii="Times New Roman" w:hAnsi="Times New Roman" w:cs="Times New Roman"/>
          <w:i/>
          <w:iCs/>
          <w:color w:val="00000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34881ED9" w14:textId="77777777" w:rsidR="008A245E" w:rsidRPr="008A245E" w:rsidRDefault="008A245E" w:rsidP="008A245E">
      <w:pPr>
        <w:numPr>
          <w:ilvl w:val="0"/>
          <w:numId w:val="49"/>
        </w:numPr>
        <w:rPr>
          <w:rFonts w:ascii="Times New Roman" w:hAnsi="Times New Roman" w:cs="Times New Roman"/>
          <w:i/>
          <w:iCs/>
          <w:color w:val="000000"/>
          <w:lang w:eastAsia="zh-CN"/>
        </w:rPr>
      </w:pPr>
      <w:r w:rsidRPr="008A245E">
        <w:rPr>
          <w:rFonts w:ascii="Times New Roman" w:hAnsi="Times New Roman" w:cs="Times New Roman"/>
          <w:i/>
          <w:iCs/>
          <w:color w:val="000000"/>
          <w:lang w:eastAsia="zh-CN"/>
        </w:rPr>
        <w:t>Working assumption: X = T_proc,1</w:t>
      </w:r>
    </w:p>
    <w:p w14:paraId="65143EAD" w14:textId="77777777" w:rsidR="008A245E" w:rsidRPr="008A245E" w:rsidRDefault="008A245E" w:rsidP="008A245E">
      <w:pPr>
        <w:numPr>
          <w:ilvl w:val="0"/>
          <w:numId w:val="49"/>
        </w:numPr>
        <w:rPr>
          <w:rFonts w:ascii="Times New Roman" w:hAnsi="Times New Roman" w:cs="Times New Roman"/>
          <w:i/>
          <w:iCs/>
          <w:color w:val="000000"/>
          <w:lang w:eastAsia="zh-CN"/>
        </w:rPr>
      </w:pPr>
      <w:r w:rsidRPr="008A245E">
        <w:rPr>
          <w:rFonts w:ascii="Times New Roman" w:hAnsi="Times New Roman" w:cs="Times New Roman"/>
          <w:i/>
          <w:iCs/>
          <w:color w:val="000000"/>
          <w:lang w:eastAsia="zh-CN"/>
        </w:rPr>
        <w:t xml:space="preserve">FFS: Whether X should be changed to X = </w:t>
      </w:r>
      <w:proofErr w:type="gramStart"/>
      <w:r w:rsidRPr="008A245E">
        <w:rPr>
          <w:rFonts w:ascii="Times New Roman" w:hAnsi="Times New Roman" w:cs="Times New Roman"/>
          <w:i/>
          <w:iCs/>
          <w:color w:val="000000"/>
          <w:lang w:eastAsia="zh-CN"/>
        </w:rPr>
        <w:t>max(</w:t>
      </w:r>
      <w:proofErr w:type="gramEnd"/>
      <w:r w:rsidRPr="008A245E">
        <w:rPr>
          <w:rFonts w:ascii="Times New Roman" w:hAnsi="Times New Roman" w:cs="Times New Roman"/>
          <w:i/>
          <w:iCs/>
          <w:color w:val="000000"/>
          <w:lang w:eastAsia="zh-CN"/>
        </w:rPr>
        <w:t>T_proc,1, K1) where K1 is the minimum k1 if it is configured, otherwise k1 = 0</w:t>
      </w:r>
    </w:p>
    <w:p w14:paraId="54B55680" w14:textId="77777777" w:rsidR="008A245E" w:rsidRPr="008A245E" w:rsidRDefault="008A245E" w:rsidP="008A245E">
      <w:pPr>
        <w:numPr>
          <w:ilvl w:val="0"/>
          <w:numId w:val="49"/>
        </w:numPr>
        <w:rPr>
          <w:rFonts w:ascii="Times New Roman" w:hAnsi="Times New Roman" w:cs="Times New Roman"/>
          <w:i/>
          <w:iCs/>
          <w:lang w:eastAsia="x-none"/>
        </w:rPr>
      </w:pPr>
      <w:r w:rsidRPr="008A245E">
        <w:rPr>
          <w:rFonts w:ascii="Times New Roman" w:hAnsi="Times New Roman" w:cs="Times New Roman"/>
          <w:i/>
          <w:iCs/>
          <w:color w:val="000000"/>
          <w:szCs w:val="20"/>
          <w:lang w:eastAsia="zh-CN"/>
        </w:rPr>
        <w:t>Note: The TB of the two PDSCHs can be either same or different</w:t>
      </w:r>
    </w:p>
    <w:p w14:paraId="4BC45CAB" w14:textId="77777777" w:rsidR="008A245E" w:rsidRPr="008A245E" w:rsidRDefault="008A245E" w:rsidP="008A245E">
      <w:pPr>
        <w:rPr>
          <w:rFonts w:ascii="Times New Roman" w:hAnsi="Times New Roman" w:cs="Times New Roman"/>
          <w:i/>
          <w:iCs/>
          <w:lang w:eastAsia="x-none"/>
        </w:rPr>
      </w:pPr>
    </w:p>
    <w:p w14:paraId="4723E2BD" w14:textId="77777777" w:rsidR="008A245E" w:rsidRPr="008A245E" w:rsidRDefault="008A245E" w:rsidP="008A245E">
      <w:pPr>
        <w:rPr>
          <w:rFonts w:ascii="Times New Roman" w:hAnsi="Times New Roman" w:cs="Times New Roman"/>
          <w:i/>
          <w:iCs/>
          <w:lang w:eastAsia="x-none"/>
        </w:rPr>
      </w:pPr>
      <w:r w:rsidRPr="008A245E">
        <w:rPr>
          <w:rFonts w:ascii="Times New Roman" w:hAnsi="Times New Roman" w:cs="Times New Roman"/>
          <w:i/>
          <w:iCs/>
          <w:highlight w:val="green"/>
          <w:lang w:eastAsia="x-none"/>
        </w:rPr>
        <w:t>Agreement:</w:t>
      </w:r>
    </w:p>
    <w:p w14:paraId="46BE459A" w14:textId="77777777" w:rsidR="008A245E" w:rsidRPr="008A245E" w:rsidRDefault="008A245E" w:rsidP="008A245E">
      <w:pPr>
        <w:rPr>
          <w:rFonts w:ascii="Times New Roman" w:hAnsi="Times New Roman" w:cs="Times New Roman"/>
          <w:i/>
          <w:iCs/>
          <w:lang w:eastAsia="x-none"/>
        </w:rPr>
      </w:pPr>
      <w:r w:rsidRPr="008A245E">
        <w:rPr>
          <w:rFonts w:ascii="Times New Roman" w:hAnsi="Times New Roman" w:cs="Times New Roman"/>
          <w:i/>
          <w:iCs/>
          <w:lang w:eastAsia="x-none"/>
        </w:rPr>
        <w:t>For Type-2 HARQ codebook in NTN: Reduce codebook size with HARQ-ACK codebook only including HARQ-ACK of PDSCH with feedback-enabled HARQ processes</w:t>
      </w:r>
    </w:p>
    <w:p w14:paraId="0C80EFBA" w14:textId="77777777" w:rsidR="008A245E" w:rsidRPr="008A245E" w:rsidRDefault="008A245E" w:rsidP="008A245E">
      <w:pPr>
        <w:numPr>
          <w:ilvl w:val="0"/>
          <w:numId w:val="50"/>
        </w:numPr>
        <w:rPr>
          <w:rFonts w:ascii="Times New Roman" w:hAnsi="Times New Roman" w:cs="Times New Roman"/>
          <w:i/>
          <w:iCs/>
          <w:lang w:eastAsia="x-none"/>
        </w:rPr>
      </w:pPr>
      <w:r w:rsidRPr="008A245E">
        <w:rPr>
          <w:rFonts w:ascii="Times New Roman" w:hAnsi="Times New Roman" w:cs="Times New Roman"/>
          <w:i/>
          <w:iCs/>
          <w:lang w:eastAsia="x-none"/>
        </w:rPr>
        <w:t>FFS: The details of C-DAI and T-DAI counting for DCI of PDSCH with feedback-enable/disabled HARQ processes</w:t>
      </w:r>
    </w:p>
    <w:p w14:paraId="1BC45F96" w14:textId="1D7E16A1" w:rsidR="008A245E" w:rsidRPr="008924A3" w:rsidRDefault="008A245E" w:rsidP="00637413">
      <w:pPr>
        <w:spacing w:line="276" w:lineRule="auto"/>
        <w:jc w:val="both"/>
        <w:rPr>
          <w:rFonts w:ascii="Arial" w:eastAsia="Malgun Gothic" w:hAnsi="Arial" w:cs="Arial"/>
        </w:rPr>
      </w:pPr>
      <w:r>
        <w:rPr>
          <w:rFonts w:ascii="Arial" w:eastAsia="Malgun Gothic" w:hAnsi="Arial" w:cs="Arial"/>
        </w:rPr>
        <w:t xml:space="preserve"> </w:t>
      </w:r>
    </w:p>
    <w:p w14:paraId="5AA248AD" w14:textId="2F1FA73F" w:rsidR="00906401" w:rsidRPr="008924A3" w:rsidRDefault="00F23081" w:rsidP="00637413">
      <w:pPr>
        <w:spacing w:line="276" w:lineRule="auto"/>
        <w:jc w:val="both"/>
        <w:rPr>
          <w:rFonts w:ascii="Arial" w:hAnsi="Arial" w:cs="Arial"/>
        </w:rPr>
      </w:pPr>
      <w:bookmarkStart w:id="3" w:name="_Hlk528874692"/>
      <w:r w:rsidRPr="008924A3">
        <w:rPr>
          <w:rFonts w:ascii="Arial" w:hAnsi="Arial" w:cs="Arial"/>
        </w:rPr>
        <w:t xml:space="preserve">In this contribution, </w:t>
      </w:r>
      <w:r w:rsidR="008C00C8" w:rsidRPr="008924A3">
        <w:rPr>
          <w:rFonts w:ascii="Arial" w:hAnsi="Arial" w:cs="Arial"/>
        </w:rPr>
        <w:t>we discuss on the</w:t>
      </w:r>
      <w:r w:rsidR="0014634B">
        <w:rPr>
          <w:rFonts w:ascii="Arial" w:hAnsi="Arial" w:cs="Arial"/>
        </w:rPr>
        <w:t xml:space="preserve"> remaining issues on</w:t>
      </w:r>
      <w:r w:rsidR="008C00C8" w:rsidRPr="008924A3">
        <w:rPr>
          <w:rFonts w:ascii="Arial" w:hAnsi="Arial" w:cs="Arial"/>
        </w:rPr>
        <w:t xml:space="preserve"> </w:t>
      </w:r>
      <w:r w:rsidR="00EB6DC8">
        <w:rPr>
          <w:rFonts w:ascii="Arial" w:hAnsi="Arial" w:cs="Arial"/>
        </w:rPr>
        <w:t>HARQ</w:t>
      </w:r>
      <w:r w:rsidR="00D871F0">
        <w:rPr>
          <w:rFonts w:ascii="Arial" w:hAnsi="Arial" w:cs="Arial"/>
        </w:rPr>
        <w:t xml:space="preserve"> enhancement for NTN</w:t>
      </w:r>
      <w:r w:rsidR="008C00C8" w:rsidRPr="008924A3">
        <w:rPr>
          <w:rFonts w:ascii="Arial" w:hAnsi="Arial" w:cs="Arial"/>
        </w:rPr>
        <w:t>.</w:t>
      </w:r>
    </w:p>
    <w:bookmarkEnd w:id="3"/>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64AEA802" w14:textId="4BAD56D9" w:rsidR="00A30E6C" w:rsidRPr="00733B56" w:rsidRDefault="00A30E6C" w:rsidP="00A30E6C">
      <w:pPr>
        <w:pStyle w:val="Heading2"/>
        <w:rPr>
          <w:iCs/>
          <w:sz w:val="28"/>
          <w:szCs w:val="28"/>
        </w:rPr>
      </w:pPr>
      <w:r>
        <w:rPr>
          <w:iCs/>
          <w:sz w:val="28"/>
          <w:szCs w:val="28"/>
        </w:rPr>
        <w:t>HARQ feedback enabling/disabling</w:t>
      </w:r>
    </w:p>
    <w:p w14:paraId="299E38FB" w14:textId="5100A04B" w:rsidR="000522EA" w:rsidRDefault="00C6337B" w:rsidP="00D65483">
      <w:pPr>
        <w:spacing w:after="120" w:line="276" w:lineRule="auto"/>
        <w:jc w:val="both"/>
        <w:rPr>
          <w:rFonts w:ascii="Arial" w:eastAsia="Calibri" w:hAnsi="Arial" w:cs="Arial"/>
          <w:bCs/>
        </w:rPr>
      </w:pPr>
      <w:r>
        <w:rPr>
          <w:rFonts w:ascii="Arial" w:eastAsia="Calibri" w:hAnsi="Arial" w:cs="Arial"/>
          <w:bCs/>
        </w:rPr>
        <w:t>During SI, RAN2 has agreed that HARQ feedback can be enabled/disabled per UE per HARQ process number. In the previous RAN1 meeting, RAN1 also made an agreement that the HARQ feedback enabling/disabling per UE per HARQ process number is configured via UE-specific RRC signaling.</w:t>
      </w:r>
    </w:p>
    <w:p w14:paraId="201242ED" w14:textId="5D4ECB09" w:rsidR="00C6337B" w:rsidRDefault="00C6337B" w:rsidP="00D65483">
      <w:pPr>
        <w:spacing w:after="120" w:line="276" w:lineRule="auto"/>
        <w:jc w:val="both"/>
        <w:rPr>
          <w:rFonts w:ascii="Arial" w:eastAsia="Calibri" w:hAnsi="Arial" w:cs="Arial"/>
          <w:bCs/>
        </w:rPr>
      </w:pPr>
      <w:r>
        <w:rPr>
          <w:rFonts w:ascii="Arial" w:eastAsia="Calibri" w:hAnsi="Arial" w:cs="Arial"/>
          <w:bCs/>
        </w:rPr>
        <w:t>The HARQ feedback disabling for a HARQ process could address the issue of the UE throughput performance loss due to long round trip delay with a limited HARQ process numbers, and the rely on the higher layer ARQ.</w:t>
      </w:r>
    </w:p>
    <w:p w14:paraId="32D011F4" w14:textId="2F40F19D" w:rsidR="00A95F85" w:rsidRDefault="00A95F85" w:rsidP="00065382">
      <w:pPr>
        <w:spacing w:after="120" w:line="276" w:lineRule="auto"/>
        <w:jc w:val="both"/>
        <w:rPr>
          <w:rFonts w:ascii="Arial" w:eastAsia="Calibri" w:hAnsi="Arial" w:cs="Arial"/>
          <w:bCs/>
        </w:rPr>
      </w:pPr>
      <w:r>
        <w:rPr>
          <w:rFonts w:ascii="Arial" w:eastAsia="Calibri" w:hAnsi="Arial" w:cs="Arial"/>
          <w:bCs/>
        </w:rPr>
        <w:t>The L1 retransmission with HARQ feedback allows the schedule</w:t>
      </w:r>
      <w:r w:rsidR="009B11A9">
        <w:rPr>
          <w:rFonts w:ascii="Arial" w:eastAsia="Calibri" w:hAnsi="Arial" w:cs="Arial"/>
          <w:bCs/>
        </w:rPr>
        <w:t>r</w:t>
      </w:r>
      <w:r>
        <w:rPr>
          <w:rFonts w:ascii="Arial" w:eastAsia="Calibri" w:hAnsi="Arial" w:cs="Arial"/>
          <w:bCs/>
        </w:rPr>
        <w:t xml:space="preserve"> to use an aggressive MCS selection for initial transmission as the retransmission could handle the failed TB reception, which in general improves the UE throughput. Therefore, in general, the PDSCH target BLER is assumed 10%</w:t>
      </w:r>
      <w:r w:rsidR="00517770">
        <w:rPr>
          <w:rFonts w:ascii="Arial" w:eastAsia="Calibri" w:hAnsi="Arial" w:cs="Arial"/>
          <w:bCs/>
        </w:rPr>
        <w:t xml:space="preserve"> (e.g., for </w:t>
      </w:r>
      <w:proofErr w:type="spellStart"/>
      <w:r w:rsidR="00517770">
        <w:rPr>
          <w:rFonts w:ascii="Arial" w:eastAsia="Calibri" w:hAnsi="Arial" w:cs="Arial"/>
          <w:bCs/>
        </w:rPr>
        <w:t>eMBB</w:t>
      </w:r>
      <w:proofErr w:type="spellEnd"/>
      <w:r w:rsidR="00517770">
        <w:rPr>
          <w:rFonts w:ascii="Arial" w:eastAsia="Calibri" w:hAnsi="Arial" w:cs="Arial"/>
          <w:bCs/>
        </w:rPr>
        <w:t>)</w:t>
      </w:r>
      <w:r>
        <w:rPr>
          <w:rFonts w:ascii="Arial" w:eastAsia="Calibri" w:hAnsi="Arial" w:cs="Arial"/>
          <w:bCs/>
        </w:rPr>
        <w:t xml:space="preserve"> and its associated CQI is also derived based on the PDSCH target BLER.</w:t>
      </w:r>
      <w:r w:rsidR="00B149F5">
        <w:rPr>
          <w:rFonts w:ascii="Arial" w:eastAsia="Calibri" w:hAnsi="Arial" w:cs="Arial"/>
          <w:bCs/>
        </w:rPr>
        <w:t xml:space="preserve"> </w:t>
      </w:r>
    </w:p>
    <w:p w14:paraId="6319F1C2" w14:textId="5192AAF6" w:rsidR="00ED406A" w:rsidRDefault="00ED406A" w:rsidP="00065382">
      <w:pPr>
        <w:spacing w:after="120" w:line="276" w:lineRule="auto"/>
        <w:jc w:val="both"/>
        <w:rPr>
          <w:rFonts w:ascii="Arial" w:eastAsia="Calibri" w:hAnsi="Arial" w:cs="Arial"/>
          <w:bCs/>
        </w:rPr>
      </w:pPr>
      <w:r>
        <w:rPr>
          <w:rFonts w:ascii="Arial" w:eastAsia="Calibri" w:hAnsi="Arial" w:cs="Arial"/>
          <w:bCs/>
        </w:rPr>
        <w:t>When the HARQ feedback is disabled, it would be beneficial to lower the target BLER for PDSCH as no retransmission is available so that the number of retransmissions in upper layer can be reduced. Note that the retransmission in higher layer would increase the latency</w:t>
      </w:r>
      <w:r w:rsidR="005A447D">
        <w:rPr>
          <w:rFonts w:ascii="Arial" w:eastAsia="Calibri" w:hAnsi="Arial" w:cs="Arial"/>
          <w:bCs/>
        </w:rPr>
        <w:t xml:space="preserve"> and resource waste</w:t>
      </w:r>
      <w:r>
        <w:rPr>
          <w:rFonts w:ascii="Arial" w:eastAsia="Calibri" w:hAnsi="Arial" w:cs="Arial"/>
          <w:bCs/>
        </w:rPr>
        <w:t xml:space="preserve"> significantly especially when frequent error occurs for TB transmission.</w:t>
      </w:r>
    </w:p>
    <w:p w14:paraId="3D968354" w14:textId="23E70258" w:rsidR="005A447D" w:rsidRPr="0039704A" w:rsidRDefault="005A447D" w:rsidP="0039704A">
      <w:pPr>
        <w:spacing w:after="120" w:line="276" w:lineRule="auto"/>
        <w:jc w:val="both"/>
        <w:rPr>
          <w:rFonts w:ascii="Arial" w:eastAsia="Calibri" w:hAnsi="Arial" w:cs="Arial"/>
          <w:bCs/>
          <w:i/>
          <w:iCs/>
        </w:rPr>
      </w:pPr>
      <w:r w:rsidRPr="0039704A">
        <w:rPr>
          <w:rFonts w:ascii="Arial" w:eastAsia="Calibri" w:hAnsi="Arial" w:cs="Arial"/>
          <w:b/>
          <w:i/>
          <w:iCs/>
        </w:rPr>
        <w:lastRenderedPageBreak/>
        <w:t>Observation-1:</w:t>
      </w:r>
      <w:r w:rsidRPr="0039704A">
        <w:rPr>
          <w:rFonts w:ascii="Arial" w:eastAsia="Calibri" w:hAnsi="Arial" w:cs="Arial"/>
          <w:bCs/>
          <w:i/>
          <w:iCs/>
        </w:rPr>
        <w:t xml:space="preserve"> lowering target BLER for PDSCH when HARQ feedback is disabled is beneficial in terms of resource utilization and latency</w:t>
      </w:r>
      <w:r w:rsidR="001C2355">
        <w:rPr>
          <w:rFonts w:ascii="Arial" w:eastAsia="Calibri" w:hAnsi="Arial" w:cs="Arial"/>
          <w:bCs/>
          <w:i/>
          <w:iCs/>
        </w:rPr>
        <w:t xml:space="preserve"> as</w:t>
      </w:r>
      <w:r w:rsidRPr="0039704A">
        <w:rPr>
          <w:rFonts w:ascii="Arial" w:eastAsia="Calibri" w:hAnsi="Arial" w:cs="Arial"/>
          <w:bCs/>
          <w:i/>
          <w:iCs/>
        </w:rPr>
        <w:t xml:space="preserve"> it can reduce the number of retransmission</w:t>
      </w:r>
      <w:r w:rsidR="001633B3">
        <w:rPr>
          <w:rFonts w:ascii="Arial" w:eastAsia="Calibri" w:hAnsi="Arial" w:cs="Arial"/>
          <w:bCs/>
          <w:i/>
          <w:iCs/>
        </w:rPr>
        <w:t>s</w:t>
      </w:r>
      <w:r w:rsidRPr="0039704A">
        <w:rPr>
          <w:rFonts w:ascii="Arial" w:eastAsia="Calibri" w:hAnsi="Arial" w:cs="Arial"/>
          <w:bCs/>
          <w:i/>
          <w:iCs/>
        </w:rPr>
        <w:t xml:space="preserve"> in higher layer</w:t>
      </w:r>
    </w:p>
    <w:p w14:paraId="3D4E99FC" w14:textId="7A1DCD6B" w:rsidR="000522EA" w:rsidRDefault="00065382" w:rsidP="0039704A">
      <w:pPr>
        <w:spacing w:after="120" w:line="276" w:lineRule="auto"/>
        <w:jc w:val="both"/>
      </w:pPr>
      <w:r>
        <w:rPr>
          <w:rFonts w:ascii="Arial" w:eastAsia="Calibri" w:hAnsi="Arial" w:cs="Arial"/>
          <w:bCs/>
        </w:rPr>
        <w:t>The HARQ feedback is also used for outer-loop link adaptation as the CQI feedback is typically not accurate since interference is changed dynamically, therefore the outer-loop link adaptation based on ACK/NACK has been used.</w:t>
      </w:r>
      <w:r w:rsidR="00E07937">
        <w:rPr>
          <w:rFonts w:ascii="Arial" w:eastAsia="Calibri" w:hAnsi="Arial" w:cs="Arial"/>
          <w:bCs/>
        </w:rPr>
        <w:t xml:space="preserve"> However, if HARQ feedback is disabled and CQI feedback is based on the target BLER 10%, it is hard to determine MCS to meet a lower target BLER (e.g., 1%). Therefore, it would be beneficial to use a CQI table with a lower BLER target (but not as low as URLLC CQI table) when HARQ feedback is disabled.</w:t>
      </w:r>
    </w:p>
    <w:p w14:paraId="4FFB00F6" w14:textId="645E793B" w:rsidR="001633B3" w:rsidRDefault="00F85233" w:rsidP="0039704A">
      <w:pPr>
        <w:spacing w:after="120" w:line="276" w:lineRule="auto"/>
      </w:pPr>
      <w:r w:rsidRPr="00E050B1">
        <w:rPr>
          <w:rFonts w:ascii="Arial" w:eastAsia="Calibri" w:hAnsi="Arial" w:cs="Arial"/>
          <w:b/>
          <w:i/>
          <w:iCs/>
        </w:rPr>
        <w:t>Observation-</w:t>
      </w:r>
      <w:r w:rsidR="0025737F">
        <w:rPr>
          <w:rFonts w:ascii="Arial" w:eastAsia="Calibri" w:hAnsi="Arial" w:cs="Arial"/>
          <w:b/>
          <w:i/>
          <w:iCs/>
        </w:rPr>
        <w:t>2</w:t>
      </w:r>
      <w:r w:rsidRPr="00E050B1">
        <w:rPr>
          <w:rFonts w:ascii="Arial" w:eastAsia="Calibri" w:hAnsi="Arial" w:cs="Arial"/>
          <w:b/>
          <w:i/>
          <w:iCs/>
        </w:rPr>
        <w:t>:</w:t>
      </w:r>
      <w:r w:rsidRPr="00E050B1">
        <w:rPr>
          <w:rFonts w:ascii="Arial" w:eastAsia="Calibri" w:hAnsi="Arial" w:cs="Arial"/>
          <w:bCs/>
          <w:i/>
          <w:iCs/>
        </w:rPr>
        <w:t xml:space="preserve"> </w:t>
      </w:r>
      <w:r>
        <w:rPr>
          <w:rFonts w:ascii="Arial" w:eastAsia="Calibri" w:hAnsi="Arial" w:cs="Arial"/>
          <w:bCs/>
          <w:i/>
          <w:iCs/>
        </w:rPr>
        <w:t>use of a CQI table with a lower BLER target (e.g., 1%) could provide a better link adaptation with lower PDSCH BLER target when HARQ feedback is disabled</w:t>
      </w:r>
    </w:p>
    <w:p w14:paraId="7930349C" w14:textId="3E6B4856" w:rsidR="001633B3" w:rsidRDefault="007340D8" w:rsidP="0039704A">
      <w:pPr>
        <w:spacing w:after="120" w:line="276" w:lineRule="auto"/>
        <w:rPr>
          <w:rFonts w:ascii="Arial" w:eastAsia="Calibri" w:hAnsi="Arial" w:cs="Arial"/>
          <w:bCs/>
        </w:rPr>
      </w:pPr>
      <w:r w:rsidRPr="0039704A">
        <w:rPr>
          <w:rFonts w:ascii="Arial" w:eastAsia="Calibri" w:hAnsi="Arial" w:cs="Arial"/>
          <w:bCs/>
        </w:rPr>
        <w:t>There</w:t>
      </w:r>
      <w:r>
        <w:rPr>
          <w:rFonts w:ascii="Arial" w:eastAsia="Calibri" w:hAnsi="Arial" w:cs="Arial"/>
          <w:bCs/>
        </w:rPr>
        <w:t>fore, a same CQI table with a different target BLER may be considered based on the HARQ feedback enabling/disabling status.</w:t>
      </w:r>
    </w:p>
    <w:p w14:paraId="34C2E66E" w14:textId="1B75275F" w:rsidR="007340D8" w:rsidRPr="0039704A" w:rsidRDefault="007340D8" w:rsidP="0039704A">
      <w:pPr>
        <w:spacing w:after="120" w:line="276" w:lineRule="auto"/>
        <w:jc w:val="both"/>
        <w:rPr>
          <w:rFonts w:ascii="Arial" w:eastAsia="Calibri" w:hAnsi="Arial" w:cs="Arial"/>
          <w:bCs/>
          <w:i/>
          <w:iCs/>
        </w:rPr>
      </w:pPr>
      <w:r w:rsidRPr="0039704A">
        <w:rPr>
          <w:rFonts w:ascii="Arial" w:eastAsia="Calibri" w:hAnsi="Arial" w:cs="Arial"/>
          <w:b/>
          <w:i/>
          <w:iCs/>
        </w:rPr>
        <w:t>Proposal-1:</w:t>
      </w:r>
      <w:r w:rsidRPr="0039704A">
        <w:rPr>
          <w:rFonts w:ascii="Arial" w:eastAsia="Calibri" w:hAnsi="Arial" w:cs="Arial"/>
          <w:bCs/>
          <w:i/>
          <w:iCs/>
        </w:rPr>
        <w:t xml:space="preserve"> a CQI table with a new target BLER (e.g., 1%) is considered when HARQ feedback is disabled</w:t>
      </w:r>
    </w:p>
    <w:p w14:paraId="3A995D65" w14:textId="7C3B9D6A" w:rsidR="007340D8" w:rsidRDefault="007340D8" w:rsidP="000304B0">
      <w:pPr>
        <w:spacing w:after="120" w:line="276" w:lineRule="auto"/>
        <w:jc w:val="both"/>
        <w:rPr>
          <w:rFonts w:ascii="Arial" w:eastAsia="Calibri" w:hAnsi="Arial" w:cs="Arial"/>
          <w:bCs/>
        </w:rPr>
      </w:pPr>
      <w:r>
        <w:rPr>
          <w:rFonts w:ascii="Arial" w:eastAsia="Calibri" w:hAnsi="Arial" w:cs="Arial"/>
          <w:bCs/>
        </w:rPr>
        <w:t>In addition, a blind retransmission could be also used to low</w:t>
      </w:r>
      <w:r w:rsidR="0048128A">
        <w:rPr>
          <w:rFonts w:ascii="Arial" w:eastAsia="Calibri" w:hAnsi="Arial" w:cs="Arial"/>
          <w:bCs/>
        </w:rPr>
        <w:t>er</w:t>
      </w:r>
      <w:r>
        <w:rPr>
          <w:rFonts w:ascii="Arial" w:eastAsia="Calibri" w:hAnsi="Arial" w:cs="Arial"/>
          <w:bCs/>
        </w:rPr>
        <w:t xml:space="preserve"> the target BLER of the initial transmission when HARQ </w:t>
      </w:r>
      <w:r w:rsidR="0048128A">
        <w:rPr>
          <w:rFonts w:ascii="Arial" w:eastAsia="Calibri" w:hAnsi="Arial" w:cs="Arial"/>
          <w:bCs/>
        </w:rPr>
        <w:t>is disabled for a HARQ process</w:t>
      </w:r>
      <w:r>
        <w:rPr>
          <w:rFonts w:ascii="Arial" w:eastAsia="Calibri" w:hAnsi="Arial" w:cs="Arial"/>
          <w:bCs/>
        </w:rPr>
        <w:t>. A couple of options for the blind retransmission could be considered such as Rel-15 slot aggregation, multiple DCI with same TB scheduling, and single DCI scheduling multi-slot PDSCH with frequency hopping, and so forth. Since the Rel-15 slot aggregation is limited to the consecutive slots</w:t>
      </w:r>
      <w:r w:rsidR="00A30E6C">
        <w:rPr>
          <w:rFonts w:ascii="Arial" w:eastAsia="Calibri" w:hAnsi="Arial" w:cs="Arial"/>
          <w:bCs/>
        </w:rPr>
        <w:t xml:space="preserve"> and the same frequency allocation, an enhancement of blind retransmission may be considered.</w:t>
      </w:r>
    </w:p>
    <w:p w14:paraId="4B561209" w14:textId="46694B42" w:rsidR="00A30E6C" w:rsidRPr="00E050B1" w:rsidRDefault="00A30E6C" w:rsidP="00A30E6C">
      <w:pPr>
        <w:spacing w:after="120" w:line="276" w:lineRule="auto"/>
        <w:jc w:val="both"/>
        <w:rPr>
          <w:rFonts w:ascii="Arial" w:eastAsia="Calibri" w:hAnsi="Arial" w:cs="Arial"/>
          <w:bCs/>
          <w:i/>
          <w:iCs/>
        </w:rPr>
      </w:pPr>
      <w:r w:rsidRPr="00E050B1">
        <w:rPr>
          <w:rFonts w:ascii="Arial" w:eastAsia="Calibri" w:hAnsi="Arial" w:cs="Arial"/>
          <w:b/>
          <w:i/>
          <w:iCs/>
        </w:rPr>
        <w:t>Proposal-</w:t>
      </w:r>
      <w:r>
        <w:rPr>
          <w:rFonts w:ascii="Arial" w:eastAsia="Calibri" w:hAnsi="Arial" w:cs="Arial"/>
          <w:b/>
          <w:i/>
          <w:iCs/>
        </w:rPr>
        <w:t>2</w:t>
      </w:r>
      <w:r w:rsidRPr="00E050B1">
        <w:rPr>
          <w:rFonts w:ascii="Arial" w:eastAsia="Calibri" w:hAnsi="Arial" w:cs="Arial"/>
          <w:b/>
          <w:i/>
          <w:iCs/>
        </w:rPr>
        <w:t>:</w:t>
      </w:r>
      <w:r w:rsidRPr="00E050B1">
        <w:rPr>
          <w:rFonts w:ascii="Arial" w:eastAsia="Calibri" w:hAnsi="Arial" w:cs="Arial"/>
          <w:bCs/>
          <w:i/>
          <w:iCs/>
        </w:rPr>
        <w:t xml:space="preserve"> </w:t>
      </w:r>
      <w:r>
        <w:rPr>
          <w:rFonts w:ascii="Arial" w:eastAsia="Calibri" w:hAnsi="Arial" w:cs="Arial"/>
          <w:bCs/>
          <w:i/>
          <w:iCs/>
        </w:rPr>
        <w:t>blind retransmission is considered when HARQ feedback is disabled</w:t>
      </w:r>
    </w:p>
    <w:p w14:paraId="227D949F" w14:textId="77777777" w:rsidR="00572803" w:rsidRDefault="00572803" w:rsidP="008924A3">
      <w:pPr>
        <w:spacing w:after="120" w:line="276" w:lineRule="auto"/>
        <w:jc w:val="both"/>
        <w:rPr>
          <w:rFonts w:ascii="Arial" w:eastAsia="Calibri" w:hAnsi="Arial" w:cs="Arial"/>
          <w:bCs/>
        </w:rPr>
      </w:pPr>
    </w:p>
    <w:p w14:paraId="54580EB9" w14:textId="6D120C12" w:rsidR="006959AD" w:rsidRPr="00733B56" w:rsidRDefault="00A30E6C" w:rsidP="006959AD">
      <w:pPr>
        <w:pStyle w:val="Heading2"/>
        <w:rPr>
          <w:iCs/>
          <w:sz w:val="28"/>
          <w:szCs w:val="28"/>
        </w:rPr>
      </w:pPr>
      <w:r>
        <w:rPr>
          <w:iCs/>
          <w:sz w:val="28"/>
          <w:szCs w:val="28"/>
        </w:rPr>
        <w:t>HARQ process numbe</w:t>
      </w:r>
      <w:r w:rsidR="00622E31">
        <w:rPr>
          <w:iCs/>
          <w:sz w:val="28"/>
          <w:szCs w:val="28"/>
        </w:rPr>
        <w:t>r indication</w:t>
      </w:r>
    </w:p>
    <w:p w14:paraId="0E6F3D25" w14:textId="4EA643A7" w:rsidR="004F6F09" w:rsidRDefault="0048128A" w:rsidP="00A94356">
      <w:pPr>
        <w:spacing w:after="120"/>
        <w:jc w:val="both"/>
        <w:rPr>
          <w:rFonts w:ascii="Arial" w:eastAsia="Calibri" w:hAnsi="Arial" w:cs="Arial"/>
          <w:bCs/>
        </w:rPr>
      </w:pPr>
      <w:r>
        <w:rPr>
          <w:rFonts w:ascii="Arial" w:eastAsia="Calibri" w:hAnsi="Arial" w:cs="Arial"/>
          <w:bCs/>
        </w:rPr>
        <w:t>It has been agreed</w:t>
      </w:r>
      <w:r w:rsidR="004F6F09">
        <w:rPr>
          <w:rFonts w:ascii="Arial" w:eastAsia="Calibri" w:hAnsi="Arial" w:cs="Arial"/>
          <w:bCs/>
        </w:rPr>
        <w:t xml:space="preserve"> in RAN1 #103-e</w:t>
      </w:r>
      <w:r>
        <w:rPr>
          <w:rFonts w:ascii="Arial" w:eastAsia="Calibri" w:hAnsi="Arial" w:cs="Arial"/>
          <w:bCs/>
        </w:rPr>
        <w:t xml:space="preserve"> that the maximum HARQ process number can be increased up to 32 </w:t>
      </w:r>
      <w:r w:rsidR="004F6F09">
        <w:rPr>
          <w:rFonts w:ascii="Arial" w:eastAsia="Calibri" w:hAnsi="Arial" w:cs="Arial"/>
          <w:bCs/>
        </w:rPr>
        <w:t>for both UL and DL to address the throughput loss due to the long RTD in NTN. Since the maximum HARQ process number supported in current specification is 16, the options to indicate larger HARQ process number were discussed as following:</w:t>
      </w:r>
    </w:p>
    <w:p w14:paraId="2DF07490" w14:textId="77777777" w:rsidR="004F6F09" w:rsidRPr="00A94356" w:rsidRDefault="004F6F09" w:rsidP="00A94356">
      <w:pPr>
        <w:pStyle w:val="ListParagraph"/>
        <w:numPr>
          <w:ilvl w:val="0"/>
          <w:numId w:val="47"/>
        </w:numPr>
        <w:spacing w:after="120"/>
        <w:rPr>
          <w:rFonts w:ascii="Arial" w:hAnsi="Arial" w:cs="Arial"/>
        </w:rPr>
      </w:pPr>
      <w:r w:rsidRPr="00A94356">
        <w:rPr>
          <w:rFonts w:ascii="Arial" w:hAnsi="Arial" w:cs="Arial"/>
        </w:rPr>
        <w:t>Option 1: Slot index as the MSB</w:t>
      </w:r>
    </w:p>
    <w:p w14:paraId="7CB483E9" w14:textId="77777777" w:rsidR="004F6F09" w:rsidRPr="00A94356" w:rsidRDefault="004F6F09" w:rsidP="00A94356">
      <w:pPr>
        <w:pStyle w:val="ListParagraph"/>
        <w:numPr>
          <w:ilvl w:val="1"/>
          <w:numId w:val="47"/>
        </w:numPr>
        <w:spacing w:after="120"/>
        <w:rPr>
          <w:rFonts w:ascii="Arial" w:hAnsi="Arial" w:cs="Arial"/>
        </w:rPr>
      </w:pPr>
      <w:r w:rsidRPr="00A94356">
        <w:rPr>
          <w:rFonts w:ascii="Arial" w:hAnsi="Arial" w:cs="Arial"/>
        </w:rPr>
        <w:t>Option 1-a: Slot index as the LSB </w:t>
      </w:r>
    </w:p>
    <w:p w14:paraId="34358C6A" w14:textId="77777777" w:rsidR="004F6F09" w:rsidRPr="00A94356" w:rsidRDefault="004F6F09" w:rsidP="00A94356">
      <w:pPr>
        <w:pStyle w:val="ListParagraph"/>
        <w:numPr>
          <w:ilvl w:val="0"/>
          <w:numId w:val="47"/>
        </w:numPr>
        <w:spacing w:after="120"/>
        <w:rPr>
          <w:rFonts w:ascii="Arial" w:hAnsi="Arial" w:cs="Arial"/>
        </w:rPr>
      </w:pPr>
      <w:r w:rsidRPr="00A94356">
        <w:rPr>
          <w:rFonts w:ascii="Arial" w:hAnsi="Arial" w:cs="Arial"/>
        </w:rPr>
        <w:t xml:space="preserve">Option 2: Reusing one bit from </w:t>
      </w:r>
      <w:proofErr w:type="gramStart"/>
      <w:r w:rsidRPr="00A94356">
        <w:rPr>
          <w:rFonts w:ascii="Arial" w:hAnsi="Arial" w:cs="Arial"/>
        </w:rPr>
        <w:t>other</w:t>
      </w:r>
      <w:proofErr w:type="gramEnd"/>
      <w:r w:rsidRPr="00A94356">
        <w:rPr>
          <w:rFonts w:ascii="Arial" w:hAnsi="Arial" w:cs="Arial"/>
        </w:rPr>
        <w:t xml:space="preserve"> bit field</w:t>
      </w:r>
    </w:p>
    <w:p w14:paraId="05588146" w14:textId="77777777" w:rsidR="004F6F09" w:rsidRPr="00A94356" w:rsidRDefault="004F6F09" w:rsidP="00A94356">
      <w:pPr>
        <w:pStyle w:val="ListParagraph"/>
        <w:numPr>
          <w:ilvl w:val="0"/>
          <w:numId w:val="47"/>
        </w:numPr>
        <w:spacing w:after="120"/>
        <w:rPr>
          <w:rFonts w:ascii="Arial" w:hAnsi="Arial" w:cs="Arial"/>
        </w:rPr>
      </w:pPr>
      <w:r w:rsidRPr="00A94356">
        <w:rPr>
          <w:rFonts w:ascii="Arial" w:hAnsi="Arial" w:cs="Arial"/>
        </w:rPr>
        <w:t>Option 3: Extending the HARQ process ID field up to 5 bits </w:t>
      </w:r>
    </w:p>
    <w:p w14:paraId="00334448" w14:textId="738654D6" w:rsidR="004F6F09" w:rsidRDefault="004F6F09" w:rsidP="00A94356">
      <w:pPr>
        <w:spacing w:after="120"/>
        <w:jc w:val="both"/>
        <w:rPr>
          <w:rFonts w:ascii="Arial" w:eastAsia="Calibri" w:hAnsi="Arial" w:cs="Arial"/>
          <w:bCs/>
        </w:rPr>
      </w:pPr>
      <w:r>
        <w:rPr>
          <w:rFonts w:ascii="Arial" w:eastAsia="Calibri" w:hAnsi="Arial" w:cs="Arial"/>
          <w:bCs/>
        </w:rPr>
        <w:t>Among the Options, all Options except for the Option 3 tries to keep the same number of bits for the HARQ process number indication field</w:t>
      </w:r>
      <w:r w:rsidR="006E2BFB">
        <w:rPr>
          <w:rFonts w:ascii="Arial" w:eastAsia="Calibri" w:hAnsi="Arial" w:cs="Arial"/>
          <w:bCs/>
        </w:rPr>
        <w:t xml:space="preserve"> while requiring additional standards efforts to identify additional details and/or potential issues. </w:t>
      </w:r>
      <w:r w:rsidR="00C37C63">
        <w:rPr>
          <w:rFonts w:ascii="Arial" w:eastAsia="Calibri" w:hAnsi="Arial" w:cs="Arial"/>
          <w:bCs/>
        </w:rPr>
        <w:t xml:space="preserve">On the other hand, </w:t>
      </w:r>
      <w:r w:rsidR="004E4596">
        <w:rPr>
          <w:rFonts w:ascii="Arial" w:eastAsia="Calibri" w:hAnsi="Arial" w:cs="Arial"/>
          <w:bCs/>
        </w:rPr>
        <w:t xml:space="preserve">the </w:t>
      </w:r>
      <w:r w:rsidR="00C37C63">
        <w:rPr>
          <w:rFonts w:ascii="Arial" w:eastAsia="Calibri" w:hAnsi="Arial" w:cs="Arial"/>
          <w:bCs/>
        </w:rPr>
        <w:t>Option 3 seems to be straightforward</w:t>
      </w:r>
      <w:r w:rsidR="00830820">
        <w:rPr>
          <w:rFonts w:ascii="Arial" w:eastAsia="Calibri" w:hAnsi="Arial" w:cs="Arial"/>
          <w:bCs/>
        </w:rPr>
        <w:t xml:space="preserve"> and not require any additional discussion to</w:t>
      </w:r>
      <w:r w:rsidR="00D33A8E">
        <w:rPr>
          <w:rFonts w:ascii="Arial" w:eastAsia="Calibri" w:hAnsi="Arial" w:cs="Arial"/>
          <w:bCs/>
        </w:rPr>
        <w:t xml:space="preserve"> finalize the issue.</w:t>
      </w:r>
    </w:p>
    <w:p w14:paraId="497AC55B" w14:textId="35B1C86E" w:rsidR="00830820" w:rsidRDefault="00695A9C" w:rsidP="00A94356">
      <w:pPr>
        <w:spacing w:after="120"/>
        <w:jc w:val="both"/>
        <w:rPr>
          <w:rFonts w:ascii="Arial" w:eastAsia="Calibri" w:hAnsi="Arial" w:cs="Arial"/>
          <w:bCs/>
        </w:rPr>
      </w:pPr>
      <w:r>
        <w:rPr>
          <w:rFonts w:ascii="Arial" w:eastAsia="Calibri" w:hAnsi="Arial" w:cs="Arial"/>
          <w:bCs/>
        </w:rPr>
        <w:lastRenderedPageBreak/>
        <w:t>In addition, the gain from saving 1bit is not clear as the coverage of PDCCH may not be much different with saving 1bit considering the payload size of DCI formats</w:t>
      </w:r>
      <w:r w:rsidR="00F71F17">
        <w:rPr>
          <w:rFonts w:ascii="Arial" w:eastAsia="Calibri" w:hAnsi="Arial" w:cs="Arial"/>
          <w:bCs/>
        </w:rPr>
        <w:t xml:space="preserve"> and the signal strength difference between cell center and cell edge is not as big compared to terrestrial so coverage may not be an issue in NTN</w:t>
      </w:r>
      <w:r>
        <w:rPr>
          <w:rFonts w:ascii="Arial" w:eastAsia="Calibri" w:hAnsi="Arial" w:cs="Arial"/>
          <w:bCs/>
        </w:rPr>
        <w:t xml:space="preserve">. Also, </w:t>
      </w:r>
      <w:r w:rsidR="00E1484A">
        <w:rPr>
          <w:rFonts w:ascii="Arial" w:eastAsia="Calibri" w:hAnsi="Arial" w:cs="Arial"/>
          <w:bCs/>
        </w:rPr>
        <w:t>the HARQ process ID bit field could be scalable based on the number of HARQ process IDs configured which is already supported in compact DCI.</w:t>
      </w:r>
      <w:r>
        <w:rPr>
          <w:rFonts w:ascii="Arial" w:eastAsia="Calibri" w:hAnsi="Arial" w:cs="Arial"/>
          <w:bCs/>
        </w:rPr>
        <w:t xml:space="preserve"> Therefore, there is no overhead issues unless the configured HARQ process number is greater than 16.</w:t>
      </w:r>
    </w:p>
    <w:p w14:paraId="378946CB" w14:textId="6B9DF8E5" w:rsidR="00BB1993" w:rsidRDefault="00BB1993" w:rsidP="00414AB3">
      <w:pPr>
        <w:spacing w:after="120"/>
        <w:jc w:val="both"/>
        <w:rPr>
          <w:rFonts w:ascii="Arial" w:hAnsi="Arial" w:cs="Arial"/>
          <w:bCs/>
          <w:i/>
          <w:iCs/>
        </w:rPr>
      </w:pPr>
      <w:r w:rsidRPr="00417B92">
        <w:rPr>
          <w:rFonts w:ascii="Arial" w:hAnsi="Arial" w:cs="Arial"/>
          <w:b/>
          <w:i/>
          <w:iCs/>
        </w:rPr>
        <w:t>Proposal-</w:t>
      </w:r>
      <w:r>
        <w:rPr>
          <w:rFonts w:ascii="Arial" w:hAnsi="Arial" w:cs="Arial"/>
          <w:b/>
          <w:i/>
          <w:iCs/>
        </w:rPr>
        <w:t>3</w:t>
      </w:r>
      <w:r w:rsidRPr="00417B92">
        <w:rPr>
          <w:rFonts w:ascii="Arial" w:hAnsi="Arial" w:cs="Arial"/>
          <w:b/>
          <w:i/>
          <w:iCs/>
        </w:rPr>
        <w:t>:</w:t>
      </w:r>
      <w:r w:rsidRPr="00417B92">
        <w:rPr>
          <w:rFonts w:ascii="Arial" w:hAnsi="Arial" w:cs="Arial"/>
          <w:bCs/>
          <w:i/>
          <w:iCs/>
        </w:rPr>
        <w:t xml:space="preserve"> </w:t>
      </w:r>
      <w:r>
        <w:rPr>
          <w:rFonts w:ascii="Arial" w:hAnsi="Arial" w:cs="Arial"/>
          <w:bCs/>
          <w:i/>
          <w:iCs/>
        </w:rPr>
        <w:t>support extending the HARQ process ID field up to 5 bits (i.e., Option 3)</w:t>
      </w:r>
    </w:p>
    <w:p w14:paraId="26626A5F" w14:textId="77777777" w:rsidR="00622E31" w:rsidRPr="00BA2713" w:rsidRDefault="00622E31" w:rsidP="00A94356">
      <w:pPr>
        <w:spacing w:after="120"/>
        <w:jc w:val="both"/>
        <w:rPr>
          <w:rFonts w:ascii="Arial" w:hAnsi="Arial" w:cs="Arial"/>
          <w:bCs/>
          <w:i/>
          <w:iCs/>
        </w:rPr>
      </w:pPr>
    </w:p>
    <w:p w14:paraId="1FBA6C6E" w14:textId="6C3FBACF" w:rsidR="00622E31" w:rsidRPr="00733B56" w:rsidRDefault="00622E31" w:rsidP="00622E31">
      <w:pPr>
        <w:pStyle w:val="Heading2"/>
        <w:rPr>
          <w:iCs/>
          <w:sz w:val="28"/>
          <w:szCs w:val="28"/>
        </w:rPr>
      </w:pPr>
      <w:r>
        <w:rPr>
          <w:iCs/>
          <w:sz w:val="28"/>
          <w:szCs w:val="28"/>
        </w:rPr>
        <w:t xml:space="preserve">HARQ </w:t>
      </w:r>
      <w:r w:rsidR="00FA0CC3">
        <w:rPr>
          <w:iCs/>
          <w:sz w:val="28"/>
          <w:szCs w:val="28"/>
        </w:rPr>
        <w:t>feedback disabling restriction</w:t>
      </w:r>
      <w:r w:rsidR="00DA13C8">
        <w:rPr>
          <w:iCs/>
          <w:sz w:val="28"/>
          <w:szCs w:val="28"/>
        </w:rPr>
        <w:t xml:space="preserve"> for MAC-CE command</w:t>
      </w:r>
    </w:p>
    <w:p w14:paraId="05BAA40E" w14:textId="0E2A2328" w:rsidR="00DA13C8" w:rsidRDefault="00DA13C8" w:rsidP="00DA13C8">
      <w:pPr>
        <w:spacing w:after="120" w:line="276" w:lineRule="auto"/>
        <w:jc w:val="both"/>
        <w:rPr>
          <w:rFonts w:ascii="Arial" w:eastAsia="Calibri" w:hAnsi="Arial" w:cs="Arial"/>
          <w:bCs/>
        </w:rPr>
      </w:pPr>
      <w:r>
        <w:rPr>
          <w:rFonts w:ascii="Arial" w:eastAsia="Calibri" w:hAnsi="Arial" w:cs="Arial"/>
          <w:bCs/>
        </w:rPr>
        <w:t>The MAC-CE action time has been defined based on the timing of HARQ-ACK feedback of the corresponding PDSCH carrying MAC-CE command. Therefore, if HARQ-ACK feedback is disabled, it becomes unclear when the MAC-CE command is applied at the UE side</w:t>
      </w:r>
      <w:r w:rsidR="003F26B5">
        <w:rPr>
          <w:rFonts w:ascii="Arial" w:eastAsia="Calibri" w:hAnsi="Arial" w:cs="Arial"/>
          <w:bCs/>
        </w:rPr>
        <w:t xml:space="preserve"> since there is no associated HARQ-ACK feedback</w:t>
      </w:r>
      <w:r>
        <w:rPr>
          <w:rFonts w:ascii="Arial" w:eastAsia="Calibri" w:hAnsi="Arial" w:cs="Arial"/>
          <w:bCs/>
        </w:rPr>
        <w:t>, resulting in ambiguity period</w:t>
      </w:r>
      <w:r w:rsidR="0068750A">
        <w:rPr>
          <w:rFonts w:ascii="Arial" w:eastAsia="Calibri" w:hAnsi="Arial" w:cs="Arial"/>
          <w:bCs/>
        </w:rPr>
        <w:t xml:space="preserve"> as</w:t>
      </w:r>
      <w:r>
        <w:rPr>
          <w:rFonts w:ascii="Arial" w:eastAsia="Calibri" w:hAnsi="Arial" w:cs="Arial"/>
          <w:bCs/>
        </w:rPr>
        <w:t xml:space="preserve"> </w:t>
      </w:r>
      <w:proofErr w:type="gramStart"/>
      <w:r>
        <w:rPr>
          <w:rFonts w:ascii="Arial" w:eastAsia="Calibri" w:hAnsi="Arial" w:cs="Arial"/>
          <w:bCs/>
        </w:rPr>
        <w:t>similar to</w:t>
      </w:r>
      <w:proofErr w:type="gramEnd"/>
      <w:r>
        <w:rPr>
          <w:rFonts w:ascii="Arial" w:eastAsia="Calibri" w:hAnsi="Arial" w:cs="Arial"/>
          <w:bCs/>
        </w:rPr>
        <w:t xml:space="preserve"> the RRC although the period could be much shorter than RRC ambiguity period. </w:t>
      </w:r>
      <w:r w:rsidR="00541609">
        <w:rPr>
          <w:rFonts w:ascii="Arial" w:eastAsia="Calibri" w:hAnsi="Arial" w:cs="Arial"/>
          <w:bCs/>
        </w:rPr>
        <w:t>Moreover, the reliability of the MAC-CE command is also degraded since gNB has no information whether the UE received the MAC-CE command correctly or not.</w:t>
      </w:r>
      <w:r w:rsidR="00D908D2">
        <w:rPr>
          <w:rFonts w:ascii="Arial" w:eastAsia="Calibri" w:hAnsi="Arial" w:cs="Arial"/>
          <w:bCs/>
        </w:rPr>
        <w:t xml:space="preserve"> </w:t>
      </w:r>
      <w:r>
        <w:rPr>
          <w:rFonts w:ascii="Arial" w:eastAsia="Calibri" w:hAnsi="Arial" w:cs="Arial"/>
          <w:bCs/>
        </w:rPr>
        <w:t>As such, it has been discussed whether the PDSCH carrying MAC-CE command is transmitted only via a HARQ process with HARQ-ACK feedback enabled or leave it for the gNB implementation.</w:t>
      </w:r>
    </w:p>
    <w:p w14:paraId="2AB5AC0D" w14:textId="01937C1E" w:rsidR="00D908D2" w:rsidRDefault="004726D1" w:rsidP="00F833CC">
      <w:pPr>
        <w:spacing w:after="120" w:line="276" w:lineRule="auto"/>
        <w:jc w:val="both"/>
        <w:rPr>
          <w:rFonts w:ascii="Arial" w:eastAsia="Calibri" w:hAnsi="Arial" w:cs="Arial"/>
          <w:bCs/>
        </w:rPr>
      </w:pPr>
      <w:r>
        <w:rPr>
          <w:rFonts w:ascii="Arial" w:eastAsia="Calibri" w:hAnsi="Arial" w:cs="Arial"/>
          <w:bCs/>
        </w:rPr>
        <w:t>The MAC-CE command is used for (re)configuration of TCI states for beam management which is sensitive to the time latency. Therefore, it is important that UE and gNB are synchronized when the MAC-CE command is applied at the UE</w:t>
      </w:r>
      <w:r w:rsidR="00F833CC">
        <w:rPr>
          <w:rFonts w:ascii="Arial" w:eastAsia="Calibri" w:hAnsi="Arial" w:cs="Arial"/>
          <w:bCs/>
        </w:rPr>
        <w:t>, otherwise significant performance loss may be observed during the ambiguity period.</w:t>
      </w:r>
      <w:r w:rsidR="00655828">
        <w:rPr>
          <w:rFonts w:ascii="Arial" w:eastAsia="Calibri" w:hAnsi="Arial" w:cs="Arial"/>
          <w:bCs/>
        </w:rPr>
        <w:t xml:space="preserve"> If the MAC-CE command is missed at the UE and gNB doesn’t know the case, the performance loss could be even worse.</w:t>
      </w:r>
    </w:p>
    <w:p w14:paraId="1D4DFACA" w14:textId="06058E80" w:rsidR="00D908D2" w:rsidRPr="003F26B5" w:rsidRDefault="00D908D2" w:rsidP="00F833CC">
      <w:pPr>
        <w:spacing w:after="120" w:line="276" w:lineRule="auto"/>
        <w:jc w:val="both"/>
      </w:pPr>
      <w:r>
        <w:rPr>
          <w:rFonts w:ascii="Arial" w:eastAsia="Calibri" w:hAnsi="Arial" w:cs="Arial"/>
          <w:bCs/>
        </w:rPr>
        <w:t>Based on this observation, restricting to use MAC-CE command for the HARQ process with HARQ feedback enabled seems to be the best option without compromising reliability and performance.</w:t>
      </w:r>
    </w:p>
    <w:p w14:paraId="2186D71F" w14:textId="50F1CEF8" w:rsidR="0048128A" w:rsidRDefault="009142E6" w:rsidP="00A94356">
      <w:pPr>
        <w:spacing w:after="120"/>
        <w:jc w:val="both"/>
        <w:rPr>
          <w:rFonts w:ascii="Arial" w:eastAsia="Calibri" w:hAnsi="Arial" w:cs="Arial"/>
          <w:bCs/>
        </w:rPr>
      </w:pPr>
      <w:r w:rsidRPr="00417B92">
        <w:rPr>
          <w:rFonts w:ascii="Arial" w:hAnsi="Arial" w:cs="Arial"/>
          <w:b/>
          <w:i/>
          <w:iCs/>
        </w:rPr>
        <w:t>Proposal-</w:t>
      </w:r>
      <w:r>
        <w:rPr>
          <w:rFonts w:ascii="Arial" w:hAnsi="Arial" w:cs="Arial"/>
          <w:b/>
          <w:i/>
          <w:iCs/>
        </w:rPr>
        <w:t>4</w:t>
      </w:r>
      <w:r w:rsidRPr="00417B92">
        <w:rPr>
          <w:rFonts w:ascii="Arial" w:hAnsi="Arial" w:cs="Arial"/>
          <w:b/>
          <w:i/>
          <w:iCs/>
        </w:rPr>
        <w:t>:</w:t>
      </w:r>
      <w:r w:rsidRPr="00417B92">
        <w:rPr>
          <w:rFonts w:ascii="Arial" w:hAnsi="Arial" w:cs="Arial"/>
          <w:bCs/>
          <w:i/>
          <w:iCs/>
        </w:rPr>
        <w:t xml:space="preserve"> </w:t>
      </w:r>
      <w:r w:rsidR="00FA0CC3">
        <w:rPr>
          <w:rFonts w:ascii="Arial" w:hAnsi="Arial" w:cs="Arial"/>
          <w:bCs/>
          <w:i/>
          <w:iCs/>
        </w:rPr>
        <w:t>the PDSCH carrying MAC-CE command is transmitted in the HARQ process with HARQ feedback enabled</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2F72A6E7" w14:textId="6F809D4C" w:rsidR="000304B0"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CB0932">
        <w:rPr>
          <w:rFonts w:ascii="Arial" w:hAnsi="Arial" w:cs="Arial"/>
        </w:rPr>
        <w:t xml:space="preserve">remaining issues on the </w:t>
      </w:r>
      <w:r w:rsidR="000304B0">
        <w:rPr>
          <w:rFonts w:ascii="Arial" w:hAnsi="Arial" w:cs="Arial"/>
        </w:rPr>
        <w:t>HARQ feedback enhancement for NTN</w:t>
      </w:r>
      <w:r w:rsidR="00CB0932">
        <w:rPr>
          <w:rFonts w:ascii="Arial" w:hAnsi="Arial" w:cs="Arial"/>
        </w:rPr>
        <w:t xml:space="preserve">. Based on the discussion, we </w:t>
      </w:r>
      <w:r w:rsidR="000304B0">
        <w:rPr>
          <w:rFonts w:ascii="Arial" w:hAnsi="Arial" w:cs="Arial"/>
        </w:rPr>
        <w:t>have following observations and proposals</w:t>
      </w:r>
      <w:r w:rsidR="00CB0932">
        <w:rPr>
          <w:rFonts w:ascii="Arial" w:hAnsi="Arial" w:cs="Arial"/>
        </w:rPr>
        <w:t>:</w:t>
      </w:r>
    </w:p>
    <w:p w14:paraId="0D325EF1" w14:textId="7185A75E" w:rsidR="003F215B" w:rsidRDefault="00E652D4" w:rsidP="007F142E">
      <w:pPr>
        <w:jc w:val="both"/>
        <w:rPr>
          <w:rFonts w:ascii="Arial" w:hAnsi="Arial" w:cs="Arial"/>
        </w:rPr>
      </w:pPr>
      <w:r w:rsidRPr="008924A3">
        <w:rPr>
          <w:rFonts w:ascii="Arial" w:hAnsi="Arial" w:cs="Arial"/>
        </w:rPr>
        <w:t xml:space="preserve"> </w:t>
      </w:r>
    </w:p>
    <w:p w14:paraId="11B5A4DF" w14:textId="2F1C2CBE" w:rsidR="000304B0" w:rsidRPr="00E050B1" w:rsidRDefault="000304B0" w:rsidP="000304B0">
      <w:pPr>
        <w:spacing w:after="120" w:line="276" w:lineRule="auto"/>
        <w:jc w:val="both"/>
        <w:rPr>
          <w:rFonts w:ascii="Arial" w:eastAsia="Calibri" w:hAnsi="Arial" w:cs="Arial"/>
          <w:bCs/>
          <w:i/>
          <w:iCs/>
        </w:rPr>
      </w:pPr>
      <w:r w:rsidRPr="00E050B1">
        <w:rPr>
          <w:rFonts w:ascii="Arial" w:eastAsia="Calibri" w:hAnsi="Arial" w:cs="Arial"/>
          <w:b/>
          <w:i/>
          <w:iCs/>
        </w:rPr>
        <w:t>Observation-1:</w:t>
      </w:r>
      <w:r w:rsidRPr="00E050B1">
        <w:rPr>
          <w:rFonts w:ascii="Arial" w:eastAsia="Calibri" w:hAnsi="Arial" w:cs="Arial"/>
          <w:bCs/>
          <w:i/>
          <w:iCs/>
        </w:rPr>
        <w:t xml:space="preserve"> lowering target BLER for PDSCH when HARQ feedback is disabled is beneficial in terms of resource utilization and latency</w:t>
      </w:r>
      <w:r w:rsidR="009D1B83">
        <w:rPr>
          <w:rFonts w:ascii="Arial" w:eastAsia="Calibri" w:hAnsi="Arial" w:cs="Arial"/>
          <w:bCs/>
          <w:i/>
          <w:iCs/>
        </w:rPr>
        <w:t xml:space="preserve"> as</w:t>
      </w:r>
      <w:r w:rsidRPr="00E050B1">
        <w:rPr>
          <w:rFonts w:ascii="Arial" w:eastAsia="Calibri" w:hAnsi="Arial" w:cs="Arial"/>
          <w:bCs/>
          <w:i/>
          <w:iCs/>
        </w:rPr>
        <w:t xml:space="preserve"> it can reduce the number of retransmission</w:t>
      </w:r>
      <w:r>
        <w:rPr>
          <w:rFonts w:ascii="Arial" w:eastAsia="Calibri" w:hAnsi="Arial" w:cs="Arial"/>
          <w:bCs/>
          <w:i/>
          <w:iCs/>
        </w:rPr>
        <w:t>s</w:t>
      </w:r>
      <w:r w:rsidRPr="00E050B1">
        <w:rPr>
          <w:rFonts w:ascii="Arial" w:eastAsia="Calibri" w:hAnsi="Arial" w:cs="Arial"/>
          <w:bCs/>
          <w:i/>
          <w:iCs/>
        </w:rPr>
        <w:t xml:space="preserve"> in higher layer</w:t>
      </w:r>
    </w:p>
    <w:p w14:paraId="253A5A81" w14:textId="77777777" w:rsidR="000304B0" w:rsidRDefault="000304B0" w:rsidP="000304B0">
      <w:pPr>
        <w:spacing w:after="120" w:line="276" w:lineRule="auto"/>
      </w:pPr>
      <w:r w:rsidRPr="00E050B1">
        <w:rPr>
          <w:rFonts w:ascii="Arial" w:eastAsia="Calibri" w:hAnsi="Arial" w:cs="Arial"/>
          <w:b/>
          <w:i/>
          <w:iCs/>
        </w:rPr>
        <w:t>Observation-</w:t>
      </w:r>
      <w:r>
        <w:rPr>
          <w:rFonts w:ascii="Arial" w:eastAsia="Calibri" w:hAnsi="Arial" w:cs="Arial"/>
          <w:b/>
          <w:i/>
          <w:iCs/>
        </w:rPr>
        <w:t>2</w:t>
      </w:r>
      <w:r w:rsidRPr="00E050B1">
        <w:rPr>
          <w:rFonts w:ascii="Arial" w:eastAsia="Calibri" w:hAnsi="Arial" w:cs="Arial"/>
          <w:b/>
          <w:i/>
          <w:iCs/>
        </w:rPr>
        <w:t>:</w:t>
      </w:r>
      <w:r w:rsidRPr="00E050B1">
        <w:rPr>
          <w:rFonts w:ascii="Arial" w:eastAsia="Calibri" w:hAnsi="Arial" w:cs="Arial"/>
          <w:bCs/>
          <w:i/>
          <w:iCs/>
        </w:rPr>
        <w:t xml:space="preserve"> </w:t>
      </w:r>
      <w:r>
        <w:rPr>
          <w:rFonts w:ascii="Arial" w:eastAsia="Calibri" w:hAnsi="Arial" w:cs="Arial"/>
          <w:bCs/>
          <w:i/>
          <w:iCs/>
        </w:rPr>
        <w:t>use of a CQI table with a lower BLER target (e.g., 1%) could provide a better link adaptation with lower PDSCH BLER target when HARQ feedback is disabled</w:t>
      </w:r>
    </w:p>
    <w:p w14:paraId="2B04FBB2" w14:textId="77777777" w:rsidR="00D241D7" w:rsidRPr="008924A3" w:rsidRDefault="00D241D7" w:rsidP="007F142E">
      <w:pPr>
        <w:jc w:val="both"/>
        <w:rPr>
          <w:rFonts w:ascii="Arial" w:hAnsi="Arial" w:cs="Arial"/>
        </w:rPr>
      </w:pPr>
    </w:p>
    <w:p w14:paraId="64BEF351" w14:textId="3BB253DD" w:rsidR="000304B0" w:rsidRDefault="000304B0" w:rsidP="000304B0">
      <w:pPr>
        <w:spacing w:after="120" w:line="276" w:lineRule="auto"/>
        <w:jc w:val="both"/>
        <w:rPr>
          <w:rFonts w:ascii="Arial" w:eastAsia="Calibri" w:hAnsi="Arial" w:cs="Arial"/>
          <w:bCs/>
          <w:i/>
          <w:iCs/>
        </w:rPr>
      </w:pPr>
      <w:r w:rsidRPr="00E050B1">
        <w:rPr>
          <w:rFonts w:ascii="Arial" w:eastAsia="Calibri" w:hAnsi="Arial" w:cs="Arial"/>
          <w:b/>
          <w:i/>
          <w:iCs/>
        </w:rPr>
        <w:t>Proposal-1:</w:t>
      </w:r>
      <w:r w:rsidRPr="00E050B1">
        <w:rPr>
          <w:rFonts w:ascii="Arial" w:eastAsia="Calibri" w:hAnsi="Arial" w:cs="Arial"/>
          <w:bCs/>
          <w:i/>
          <w:iCs/>
        </w:rPr>
        <w:t xml:space="preserve"> a CQI table with a new target BLER (e.g., 1%) is considered when HARQ feedback is disabled</w:t>
      </w:r>
    </w:p>
    <w:p w14:paraId="5CA4DC42" w14:textId="42B61131" w:rsidR="000304B0" w:rsidRDefault="000304B0" w:rsidP="000304B0">
      <w:pPr>
        <w:spacing w:after="120" w:line="276" w:lineRule="auto"/>
        <w:jc w:val="both"/>
        <w:rPr>
          <w:rFonts w:ascii="Arial" w:eastAsia="Calibri" w:hAnsi="Arial" w:cs="Arial"/>
          <w:bCs/>
          <w:i/>
          <w:iCs/>
        </w:rPr>
      </w:pPr>
      <w:r w:rsidRPr="00E050B1">
        <w:rPr>
          <w:rFonts w:ascii="Arial" w:eastAsia="Calibri" w:hAnsi="Arial" w:cs="Arial"/>
          <w:b/>
          <w:i/>
          <w:iCs/>
        </w:rPr>
        <w:t>Proposal-</w:t>
      </w:r>
      <w:r>
        <w:rPr>
          <w:rFonts w:ascii="Arial" w:eastAsia="Calibri" w:hAnsi="Arial" w:cs="Arial"/>
          <w:b/>
          <w:i/>
          <w:iCs/>
        </w:rPr>
        <w:t>2</w:t>
      </w:r>
      <w:r w:rsidRPr="00E050B1">
        <w:rPr>
          <w:rFonts w:ascii="Arial" w:eastAsia="Calibri" w:hAnsi="Arial" w:cs="Arial"/>
          <w:b/>
          <w:i/>
          <w:iCs/>
        </w:rPr>
        <w:t>:</w:t>
      </w:r>
      <w:r w:rsidRPr="00E050B1">
        <w:rPr>
          <w:rFonts w:ascii="Arial" w:eastAsia="Calibri" w:hAnsi="Arial" w:cs="Arial"/>
          <w:bCs/>
          <w:i/>
          <w:iCs/>
        </w:rPr>
        <w:t xml:space="preserve"> </w:t>
      </w:r>
      <w:r>
        <w:rPr>
          <w:rFonts w:ascii="Arial" w:eastAsia="Calibri" w:hAnsi="Arial" w:cs="Arial"/>
          <w:bCs/>
          <w:i/>
          <w:iCs/>
        </w:rPr>
        <w:t>blind retransmission is considered when HARQ feedback is disabled</w:t>
      </w:r>
    </w:p>
    <w:p w14:paraId="6C4CDF38" w14:textId="77777777" w:rsidR="00622E31" w:rsidRPr="00BA2713" w:rsidRDefault="00622E31" w:rsidP="00622E31">
      <w:pPr>
        <w:spacing w:after="120"/>
        <w:jc w:val="both"/>
        <w:rPr>
          <w:rFonts w:ascii="Arial" w:hAnsi="Arial" w:cs="Arial"/>
          <w:bCs/>
          <w:i/>
          <w:iCs/>
        </w:rPr>
      </w:pPr>
      <w:r w:rsidRPr="00417B92">
        <w:rPr>
          <w:rFonts w:ascii="Arial" w:hAnsi="Arial" w:cs="Arial"/>
          <w:b/>
          <w:i/>
          <w:iCs/>
        </w:rPr>
        <w:t>Proposal-</w:t>
      </w:r>
      <w:r>
        <w:rPr>
          <w:rFonts w:ascii="Arial" w:hAnsi="Arial" w:cs="Arial"/>
          <w:b/>
          <w:i/>
          <w:iCs/>
        </w:rPr>
        <w:t>3</w:t>
      </w:r>
      <w:r w:rsidRPr="00417B92">
        <w:rPr>
          <w:rFonts w:ascii="Arial" w:hAnsi="Arial" w:cs="Arial"/>
          <w:b/>
          <w:i/>
          <w:iCs/>
        </w:rPr>
        <w:t>:</w:t>
      </w:r>
      <w:r w:rsidRPr="00417B92">
        <w:rPr>
          <w:rFonts w:ascii="Arial" w:hAnsi="Arial" w:cs="Arial"/>
          <w:bCs/>
          <w:i/>
          <w:iCs/>
        </w:rPr>
        <w:t xml:space="preserve"> </w:t>
      </w:r>
      <w:r>
        <w:rPr>
          <w:rFonts w:ascii="Arial" w:hAnsi="Arial" w:cs="Arial"/>
          <w:bCs/>
          <w:i/>
          <w:iCs/>
        </w:rPr>
        <w:t>support extending the HARQ process ID field up to 5 bits (i.e., Option 3)</w:t>
      </w:r>
    </w:p>
    <w:p w14:paraId="496312DB" w14:textId="77777777" w:rsidR="00FA0CC3" w:rsidRDefault="00FA0CC3" w:rsidP="00FA0CC3">
      <w:pPr>
        <w:spacing w:after="120"/>
        <w:jc w:val="both"/>
        <w:rPr>
          <w:rFonts w:ascii="Arial" w:eastAsia="Calibri" w:hAnsi="Arial" w:cs="Arial"/>
          <w:bCs/>
        </w:rPr>
      </w:pPr>
      <w:r w:rsidRPr="00417B92">
        <w:rPr>
          <w:rFonts w:ascii="Arial" w:hAnsi="Arial" w:cs="Arial"/>
          <w:b/>
          <w:i/>
          <w:iCs/>
        </w:rPr>
        <w:t>Proposal-</w:t>
      </w:r>
      <w:r>
        <w:rPr>
          <w:rFonts w:ascii="Arial" w:hAnsi="Arial" w:cs="Arial"/>
          <w:b/>
          <w:i/>
          <w:iCs/>
        </w:rPr>
        <w:t>4</w:t>
      </w:r>
      <w:r w:rsidRPr="00417B92">
        <w:rPr>
          <w:rFonts w:ascii="Arial" w:hAnsi="Arial" w:cs="Arial"/>
          <w:b/>
          <w:i/>
          <w:iCs/>
        </w:rPr>
        <w:t>:</w:t>
      </w:r>
      <w:r w:rsidRPr="00417B92">
        <w:rPr>
          <w:rFonts w:ascii="Arial" w:hAnsi="Arial" w:cs="Arial"/>
          <w:bCs/>
          <w:i/>
          <w:iCs/>
        </w:rPr>
        <w:t xml:space="preserve"> </w:t>
      </w:r>
      <w:r>
        <w:rPr>
          <w:rFonts w:ascii="Arial" w:hAnsi="Arial" w:cs="Arial"/>
          <w:bCs/>
          <w:i/>
          <w:iCs/>
        </w:rPr>
        <w:t>the PDSCH carrying MAC-CE command is transmitted in the HARQ process with HARQ feedback enabled</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00C05EF7" w14:textId="2536BAA7" w:rsidR="00EF7A73" w:rsidRDefault="00CB0932" w:rsidP="00EF7A73">
      <w:pPr>
        <w:pStyle w:val="ListParagraph"/>
        <w:numPr>
          <w:ilvl w:val="0"/>
          <w:numId w:val="10"/>
        </w:numPr>
        <w:spacing w:before="120"/>
        <w:contextualSpacing/>
        <w:jc w:val="both"/>
        <w:rPr>
          <w:rFonts w:ascii="Arial" w:hAnsi="Arial" w:cs="Arial"/>
        </w:rPr>
      </w:pPr>
      <w:bookmarkStart w:id="4" w:name="_Ref521518965"/>
      <w:r>
        <w:rPr>
          <w:rFonts w:ascii="Arial" w:hAnsi="Arial" w:cs="Arial"/>
        </w:rPr>
        <w:t>RAN1 #</w:t>
      </w:r>
      <w:r w:rsidR="00D570D5">
        <w:rPr>
          <w:rFonts w:ascii="Arial" w:hAnsi="Arial" w:cs="Arial"/>
        </w:rPr>
        <w:t xml:space="preserve">103e </w:t>
      </w:r>
      <w:r>
        <w:rPr>
          <w:rFonts w:ascii="Arial" w:hAnsi="Arial" w:cs="Arial"/>
        </w:rPr>
        <w:t>Chairman’s note</w:t>
      </w:r>
    </w:p>
    <w:p w14:paraId="3FA367DE" w14:textId="28353C73" w:rsidR="008A245E" w:rsidRPr="003F26B5" w:rsidRDefault="008A245E" w:rsidP="002E626C">
      <w:pPr>
        <w:pStyle w:val="ListParagraph"/>
        <w:numPr>
          <w:ilvl w:val="0"/>
          <w:numId w:val="10"/>
        </w:numPr>
        <w:spacing w:before="120"/>
        <w:contextualSpacing/>
        <w:jc w:val="both"/>
        <w:rPr>
          <w:rFonts w:ascii="Arial" w:hAnsi="Arial" w:cs="Arial"/>
        </w:rPr>
      </w:pPr>
      <w:r>
        <w:rPr>
          <w:rFonts w:ascii="Arial" w:hAnsi="Arial" w:cs="Arial"/>
        </w:rPr>
        <w:t>RAN1 #104e Chairman’s note</w:t>
      </w:r>
    </w:p>
    <w:bookmarkEnd w:id="4"/>
    <w:p w14:paraId="400C6181" w14:textId="22D8BDED" w:rsidR="00163644" w:rsidRPr="00E652A0" w:rsidRDefault="00163644" w:rsidP="00DA0B7E">
      <w:pPr>
        <w:spacing w:before="120"/>
        <w:contextualSpacing/>
        <w:jc w:val="both"/>
      </w:pP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BEA768" w14:textId="77777777" w:rsidR="0070569E" w:rsidRDefault="0070569E">
      <w:r>
        <w:separator/>
      </w:r>
    </w:p>
  </w:endnote>
  <w:endnote w:type="continuationSeparator" w:id="0">
    <w:p w14:paraId="70116A5E" w14:textId="77777777" w:rsidR="0070569E" w:rsidRDefault="0070569E">
      <w:r>
        <w:continuationSeparator/>
      </w:r>
    </w:p>
  </w:endnote>
  <w:endnote w:type="continuationNotice" w:id="1">
    <w:p w14:paraId="68EF9D55" w14:textId="77777777" w:rsidR="0070569E" w:rsidRDefault="00705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Times">
    <w:altName w:val="﷽﷽﷽﷽﷽﷽⣰ී"/>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56B3A" w14:textId="77777777" w:rsidR="0070569E" w:rsidRDefault="0070569E">
      <w:r>
        <w:separator/>
      </w:r>
    </w:p>
  </w:footnote>
  <w:footnote w:type="continuationSeparator" w:id="0">
    <w:p w14:paraId="352DF91D" w14:textId="77777777" w:rsidR="0070569E" w:rsidRDefault="0070569E">
      <w:r>
        <w:continuationSeparator/>
      </w:r>
    </w:p>
  </w:footnote>
  <w:footnote w:type="continuationNotice" w:id="1">
    <w:p w14:paraId="754F6F95" w14:textId="77777777" w:rsidR="0070569E" w:rsidRDefault="007056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D603F4"/>
    <w:multiLevelType w:val="hybridMultilevel"/>
    <w:tmpl w:val="BF442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9F4164"/>
    <w:multiLevelType w:val="hybridMultilevel"/>
    <w:tmpl w:val="C0C253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F86C94"/>
    <w:multiLevelType w:val="hybridMultilevel"/>
    <w:tmpl w:val="B77A3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3"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0C3EB9"/>
    <w:multiLevelType w:val="hybridMultilevel"/>
    <w:tmpl w:val="E74E5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4"/>
  </w:num>
  <w:num w:numId="3">
    <w:abstractNumId w:val="17"/>
  </w:num>
  <w:num w:numId="4">
    <w:abstractNumId w:val="18"/>
  </w:num>
  <w:num w:numId="5">
    <w:abstractNumId w:val="12"/>
  </w:num>
  <w:num w:numId="6">
    <w:abstractNumId w:val="20"/>
  </w:num>
  <w:num w:numId="7">
    <w:abstractNumId w:val="31"/>
  </w:num>
  <w:num w:numId="8">
    <w:abstractNumId w:val="13"/>
  </w:num>
  <w:num w:numId="9">
    <w:abstractNumId w:val="40"/>
  </w:num>
  <w:num w:numId="10">
    <w:abstractNumId w:val="16"/>
  </w:num>
  <w:num w:numId="11">
    <w:abstractNumId w:val="33"/>
  </w:num>
  <w:num w:numId="12">
    <w:abstractNumId w:val="28"/>
  </w:num>
  <w:num w:numId="13">
    <w:abstractNumId w:val="41"/>
  </w:num>
  <w:num w:numId="14">
    <w:abstractNumId w:val="15"/>
  </w:num>
  <w:num w:numId="15">
    <w:abstractNumId w:val="10"/>
  </w:num>
  <w:num w:numId="16">
    <w:abstractNumId w:val="39"/>
  </w:num>
  <w:num w:numId="17">
    <w:abstractNumId w:val="8"/>
  </w:num>
  <w:num w:numId="18">
    <w:abstractNumId w:val="34"/>
  </w:num>
  <w:num w:numId="19">
    <w:abstractNumId w:val="2"/>
  </w:num>
  <w:num w:numId="20">
    <w:abstractNumId w:val="30"/>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3"/>
  </w:num>
  <w:num w:numId="28">
    <w:abstractNumId w:val="26"/>
  </w:num>
  <w:num w:numId="29">
    <w:abstractNumId w:val="37"/>
  </w:num>
  <w:num w:numId="30">
    <w:abstractNumId w:val="4"/>
  </w:num>
  <w:num w:numId="31">
    <w:abstractNumId w:val="38"/>
  </w:num>
  <w:num w:numId="32">
    <w:abstractNumId w:val="32"/>
  </w:num>
  <w:num w:numId="33">
    <w:abstractNumId w:val="6"/>
  </w:num>
  <w:num w:numId="34">
    <w:abstractNumId w:val="22"/>
  </w:num>
  <w:num w:numId="35">
    <w:abstractNumId w:val="0"/>
  </w:num>
  <w:num w:numId="36">
    <w:abstractNumId w:val="7"/>
  </w:num>
  <w:num w:numId="37">
    <w:abstractNumId w:val="25"/>
  </w:num>
  <w:num w:numId="38">
    <w:abstractNumId w:val="25"/>
  </w:num>
  <w:num w:numId="39">
    <w:abstractNumId w:val="1"/>
  </w:num>
  <w:num w:numId="40">
    <w:abstractNumId w:val="11"/>
  </w:num>
  <w:num w:numId="41">
    <w:abstractNumId w:val="29"/>
  </w:num>
  <w:num w:numId="42">
    <w:abstractNumId w:val="36"/>
  </w:num>
  <w:num w:numId="43">
    <w:abstractNumId w:val="25"/>
  </w:num>
  <w:num w:numId="44">
    <w:abstractNumId w:val="35"/>
  </w:num>
  <w:num w:numId="45">
    <w:abstractNumId w:val="27"/>
  </w:num>
  <w:num w:numId="46">
    <w:abstractNumId w:val="19"/>
  </w:num>
  <w:num w:numId="47">
    <w:abstractNumId w:val="5"/>
  </w:num>
  <w:num w:numId="48">
    <w:abstractNumId w:val="9"/>
  </w:num>
  <w:num w:numId="49">
    <w:abstractNumId w:val="21"/>
  </w:num>
  <w:num w:numId="50">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4B0"/>
    <w:rsid w:val="00030C64"/>
    <w:rsid w:val="00031297"/>
    <w:rsid w:val="00031598"/>
    <w:rsid w:val="000325B8"/>
    <w:rsid w:val="00032F20"/>
    <w:rsid w:val="00033351"/>
    <w:rsid w:val="0003410A"/>
    <w:rsid w:val="00034C15"/>
    <w:rsid w:val="00034DC4"/>
    <w:rsid w:val="000359A3"/>
    <w:rsid w:val="00035EA8"/>
    <w:rsid w:val="00035F74"/>
    <w:rsid w:val="000363B2"/>
    <w:rsid w:val="000369F9"/>
    <w:rsid w:val="00036BA1"/>
    <w:rsid w:val="0003784D"/>
    <w:rsid w:val="00040254"/>
    <w:rsid w:val="000405A0"/>
    <w:rsid w:val="00040B2C"/>
    <w:rsid w:val="00040B78"/>
    <w:rsid w:val="00040DE9"/>
    <w:rsid w:val="0004110F"/>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325"/>
    <w:rsid w:val="00050717"/>
    <w:rsid w:val="00050D83"/>
    <w:rsid w:val="00050E2C"/>
    <w:rsid w:val="000511FA"/>
    <w:rsid w:val="00051789"/>
    <w:rsid w:val="0005205A"/>
    <w:rsid w:val="000522E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42"/>
    <w:rsid w:val="000645B8"/>
    <w:rsid w:val="0006487E"/>
    <w:rsid w:val="00065243"/>
    <w:rsid w:val="00065382"/>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5D23"/>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212"/>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08F"/>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ECA"/>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3B3"/>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8C5"/>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355"/>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E7EA8"/>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6E5"/>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37F"/>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851"/>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A7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26C"/>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195"/>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04A"/>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6B5"/>
    <w:rsid w:val="003F2CD4"/>
    <w:rsid w:val="003F370E"/>
    <w:rsid w:val="003F4036"/>
    <w:rsid w:val="003F44C0"/>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AB3"/>
    <w:rsid w:val="00414C64"/>
    <w:rsid w:val="00415E8A"/>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6A8"/>
    <w:rsid w:val="004677B5"/>
    <w:rsid w:val="00470334"/>
    <w:rsid w:val="00470B4B"/>
    <w:rsid w:val="00470C2E"/>
    <w:rsid w:val="00470C31"/>
    <w:rsid w:val="004726D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28A"/>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F6C"/>
    <w:rsid w:val="004B3B1F"/>
    <w:rsid w:val="004B3DBA"/>
    <w:rsid w:val="004B3FDA"/>
    <w:rsid w:val="004B4459"/>
    <w:rsid w:val="004B44CE"/>
    <w:rsid w:val="004B4593"/>
    <w:rsid w:val="004B4930"/>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96"/>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6F09"/>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770"/>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609"/>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47D"/>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2E31"/>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828"/>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5CBA"/>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50A"/>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9AD"/>
    <w:rsid w:val="00695A30"/>
    <w:rsid w:val="00695A9C"/>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2BFB"/>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69E"/>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0D8"/>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29"/>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85D"/>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820"/>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C2E"/>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2BF"/>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1E82"/>
    <w:rsid w:val="0086242F"/>
    <w:rsid w:val="00862563"/>
    <w:rsid w:val="00862B9A"/>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47E"/>
    <w:rsid w:val="008677EA"/>
    <w:rsid w:val="008677FD"/>
    <w:rsid w:val="00867981"/>
    <w:rsid w:val="00867B26"/>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45E"/>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708"/>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12"/>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2E6"/>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1A9"/>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91E"/>
    <w:rsid w:val="009C5948"/>
    <w:rsid w:val="009C5A31"/>
    <w:rsid w:val="009C62EF"/>
    <w:rsid w:val="009C6698"/>
    <w:rsid w:val="009C742A"/>
    <w:rsid w:val="009C78AC"/>
    <w:rsid w:val="009D111B"/>
    <w:rsid w:val="009D1829"/>
    <w:rsid w:val="009D1AC3"/>
    <w:rsid w:val="009D1B61"/>
    <w:rsid w:val="009D1B8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0E6C"/>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1EA"/>
    <w:rsid w:val="00A50F41"/>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4356"/>
    <w:rsid w:val="00A9544C"/>
    <w:rsid w:val="00A956A5"/>
    <w:rsid w:val="00A9594B"/>
    <w:rsid w:val="00A95F85"/>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9F5"/>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99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149"/>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37C63"/>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37B"/>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B7EEF"/>
    <w:rsid w:val="00CC040E"/>
    <w:rsid w:val="00CC05E6"/>
    <w:rsid w:val="00CC111F"/>
    <w:rsid w:val="00CC1E1C"/>
    <w:rsid w:val="00CC265E"/>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2E6B"/>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00F"/>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3A8E"/>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94F"/>
    <w:rsid w:val="00D55AD5"/>
    <w:rsid w:val="00D55DC1"/>
    <w:rsid w:val="00D56361"/>
    <w:rsid w:val="00D570D5"/>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483"/>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4E2F"/>
    <w:rsid w:val="00D85917"/>
    <w:rsid w:val="00D85D70"/>
    <w:rsid w:val="00D871CE"/>
    <w:rsid w:val="00D871F0"/>
    <w:rsid w:val="00D87270"/>
    <w:rsid w:val="00D87C37"/>
    <w:rsid w:val="00D90375"/>
    <w:rsid w:val="00D908D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C8"/>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937"/>
    <w:rsid w:val="00E07DCC"/>
    <w:rsid w:val="00E10E81"/>
    <w:rsid w:val="00E110E7"/>
    <w:rsid w:val="00E112D9"/>
    <w:rsid w:val="00E11B20"/>
    <w:rsid w:val="00E12763"/>
    <w:rsid w:val="00E128BD"/>
    <w:rsid w:val="00E12923"/>
    <w:rsid w:val="00E13310"/>
    <w:rsid w:val="00E13AB8"/>
    <w:rsid w:val="00E140BD"/>
    <w:rsid w:val="00E1484A"/>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3EE1"/>
    <w:rsid w:val="00EB41B5"/>
    <w:rsid w:val="00EB489A"/>
    <w:rsid w:val="00EB48E5"/>
    <w:rsid w:val="00EB4C35"/>
    <w:rsid w:val="00EB4EA2"/>
    <w:rsid w:val="00EB5B44"/>
    <w:rsid w:val="00EB6685"/>
    <w:rsid w:val="00EB6DC8"/>
    <w:rsid w:val="00EB7237"/>
    <w:rsid w:val="00EB73C3"/>
    <w:rsid w:val="00EB7521"/>
    <w:rsid w:val="00EB7B69"/>
    <w:rsid w:val="00EC0893"/>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06A"/>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4E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17"/>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3CC"/>
    <w:rsid w:val="00F8345A"/>
    <w:rsid w:val="00F838AE"/>
    <w:rsid w:val="00F8456C"/>
    <w:rsid w:val="00F851FD"/>
    <w:rsid w:val="00F85233"/>
    <w:rsid w:val="00F8565B"/>
    <w:rsid w:val="00F85825"/>
    <w:rsid w:val="00F8592C"/>
    <w:rsid w:val="00F859D8"/>
    <w:rsid w:val="00F85F8F"/>
    <w:rsid w:val="00F86516"/>
    <w:rsid w:val="00F868F5"/>
    <w:rsid w:val="00F86AC9"/>
    <w:rsid w:val="00F872AD"/>
    <w:rsid w:val="00F874F0"/>
    <w:rsid w:val="00F87948"/>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0CC3"/>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6EF"/>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E7C22"/>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F17"/>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71F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1F1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qFormat/>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092B3F-88EA-4A61-A3E2-8AEEBA595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2021-05-11T22:54:00Z</dcterms:created>
  <dcterms:modified xsi:type="dcterms:W3CDTF">2021-05-11T22:54:00Z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