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 xml:space="preserve">Observation 1: The required HARQ process number is less than the </w:t>
            </w:r>
            <w:proofErr w:type="spellStart"/>
            <w:r w:rsidRPr="00C75346">
              <w:rPr>
                <w:rFonts w:eastAsia="SimSun"/>
                <w:sz w:val="18"/>
                <w:szCs w:val="18"/>
                <w:lang w:val="en-GB" w:eastAsia="zh-CN"/>
              </w:rPr>
              <w:t>subframe</w:t>
            </w:r>
            <w:proofErr w:type="spellEnd"/>
            <w:r w:rsidRPr="00C75346">
              <w:rPr>
                <w:rFonts w:eastAsia="SimSun"/>
                <w:sz w:val="18"/>
                <w:szCs w:val="18"/>
                <w:lang w:val="en-GB" w:eastAsia="zh-CN"/>
              </w:rPr>
              <w:t xml:space="preserv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HARQ process number can be maintained the same as legacy for both eMTC and NBIoT.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000254">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000254">
            <w:pPr>
              <w:snapToGrid w:val="0"/>
              <w:ind w:firstLineChars="0" w:firstLine="0"/>
              <w:jc w:val="left"/>
              <w:rPr>
                <w:b/>
                <w:sz w:val="18"/>
                <w:szCs w:val="18"/>
              </w:rPr>
            </w:pPr>
            <w:r>
              <w:rPr>
                <w:b/>
                <w:sz w:val="18"/>
                <w:szCs w:val="18"/>
              </w:rPr>
              <w:t>Comments</w:t>
            </w:r>
          </w:p>
        </w:tc>
      </w:tr>
      <w:tr w:rsidR="00114C50" w:rsidRPr="00B70F28" w14:paraId="74B9A0B0" w14:textId="77777777" w:rsidTr="00000254">
        <w:tc>
          <w:tcPr>
            <w:tcW w:w="1255" w:type="dxa"/>
            <w:tcBorders>
              <w:top w:val="single" w:sz="4" w:space="0" w:color="auto"/>
              <w:left w:val="single" w:sz="4" w:space="0" w:color="auto"/>
              <w:bottom w:val="single" w:sz="4" w:space="0" w:color="auto"/>
              <w:right w:val="single" w:sz="4" w:space="0" w:color="auto"/>
            </w:tcBorders>
          </w:tcPr>
          <w:p w14:paraId="674510A0" w14:textId="77777777" w:rsidR="00114C50" w:rsidRDefault="00114C50" w:rsidP="00000254">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5F9BBD4A" w14:textId="77777777" w:rsidR="00114C50" w:rsidRPr="001B1321" w:rsidRDefault="00114C50" w:rsidP="00000254">
            <w:pPr>
              <w:spacing w:beforeLines="50" w:before="120"/>
            </w:pP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 xml:space="preserve">HARQ process does not need to wait for the feedback before a new data transmission. This can avoid HARQ stalling and consequently throughput </w:t>
      </w:r>
      <w:r w:rsidR="009A28FB" w:rsidRPr="009A28FB">
        <w:rPr>
          <w:b w:val="0"/>
        </w:rPr>
        <w:lastRenderedPageBreak/>
        <w:t>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At least for NBIoT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eMTC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HiSilicon, Oppo, CATT (for NB-IoT and eMTC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ind w:firstLine="201"/>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77777777" w:rsidR="00224FFB" w:rsidRDefault="00224FFB" w:rsidP="009878B6">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778F663C" w14:textId="77777777" w:rsidR="00224FFB" w:rsidRPr="001B1321" w:rsidRDefault="00224FFB" w:rsidP="009878B6">
            <w:pPr>
              <w:spacing w:beforeLines="50" w:before="120"/>
            </w:pP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000254">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ind w:firstLine="201"/>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7777777" w:rsidR="00FD4539" w:rsidRDefault="00FD4539" w:rsidP="009878B6">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0EC2D1CB" w14:textId="77777777" w:rsidR="00FD4539" w:rsidRPr="001B1321" w:rsidRDefault="00FD4539" w:rsidP="009878B6">
            <w:pPr>
              <w:spacing w:beforeLines="50" w:before="120"/>
            </w:pP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Heading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000254">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w:t>
            </w:r>
            <w:proofErr w:type="spellStart"/>
            <w:r w:rsidRPr="00637871">
              <w:rPr>
                <w:sz w:val="18"/>
                <w:szCs w:val="18"/>
                <w:lang w:eastAsia="zh-CN"/>
              </w:rPr>
              <w:t>subframe</w:t>
            </w:r>
            <w:proofErr w:type="spellEnd"/>
            <w:r w:rsidRPr="00637871">
              <w:rPr>
                <w:sz w:val="18"/>
                <w:szCs w:val="18"/>
                <w:lang w:eastAsia="zh-CN"/>
              </w:rPr>
              <w:t xml:space="preserv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proofErr w:type="spellStart"/>
            <w:r w:rsidR="001B1321" w:rsidRPr="00637871">
              <w:rPr>
                <w:sz w:val="18"/>
                <w:szCs w:val="18"/>
                <w:lang w:eastAsia="zh-CN"/>
              </w:rPr>
              <w:t>subframe</w:t>
            </w:r>
            <w:proofErr w:type="spellEnd"/>
            <w:r w:rsidR="001B1321" w:rsidRPr="00637871">
              <w:rPr>
                <w:sz w:val="18"/>
                <w:szCs w:val="18"/>
                <w:lang w:eastAsia="zh-CN"/>
              </w:rPr>
              <w:t xml:space="preserv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lastRenderedPageBreak/>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464425">
        <w:rPr>
          <w:b/>
        </w:rPr>
        <w:t xml:space="preserve">or more </w:t>
      </w:r>
      <w:r w:rsidRPr="00464425">
        <w:rPr>
          <w:b/>
        </w:rPr>
        <w:t>HARQ process</w:t>
      </w:r>
      <w:r w:rsidR="00742E0E" w:rsidRPr="00464425">
        <w:rPr>
          <w:b/>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77777777" w:rsidR="00FD4539" w:rsidRDefault="00FD4539" w:rsidP="009878B6">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7942E8B9" w14:textId="77777777" w:rsidR="00FD4539" w:rsidRPr="001B1321" w:rsidRDefault="00FD4539" w:rsidP="009878B6">
            <w:pPr>
              <w:spacing w:beforeLines="50" w:before="120"/>
            </w:pP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000254">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79909E6E" w:rsidR="0095081C" w:rsidRDefault="0095081C" w:rsidP="009878B6">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2484FBF6" w14:textId="63C6E7AA" w:rsidR="0095081C" w:rsidRPr="001B1321" w:rsidRDefault="0095081C" w:rsidP="009878B6">
            <w:pPr>
              <w:spacing w:beforeLines="50" w:before="120"/>
            </w:pP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lastRenderedPageBreak/>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10240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15kHz SCS or 2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40960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w:t>
            </w:r>
            <w:proofErr w:type="gramStart"/>
            <w:r w:rsidRPr="002736BB">
              <w:rPr>
                <w:rFonts w:eastAsia="DengXian"/>
                <w:sz w:val="18"/>
                <w:szCs w:val="18"/>
                <w:lang w:eastAsia="zh-CN"/>
              </w:rPr>
              <w:t>bits</w:t>
            </w:r>
            <w:proofErr w:type="gramEnd"/>
            <w:r w:rsidRPr="002736BB">
              <w:rPr>
                <w:rFonts w:eastAsia="DengXian"/>
                <w:sz w:val="18"/>
                <w:szCs w:val="18"/>
                <w:lang w:eastAsia="zh-CN"/>
              </w:rPr>
              <w:t xml:space="preserve">/repetition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ind w:firstLine="201"/>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77777777" w:rsidR="00667717" w:rsidRDefault="00667717" w:rsidP="009878B6">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2C56144E" w14:textId="77777777" w:rsidR="00667717" w:rsidRPr="001B1321" w:rsidRDefault="00667717" w:rsidP="009878B6">
            <w:pPr>
              <w:spacing w:beforeLines="50" w:before="120"/>
            </w:pP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lastRenderedPageBreak/>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77777777" w:rsidR="000A525E" w:rsidRDefault="000A525E" w:rsidP="009878B6">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613213F8" w14:textId="77777777" w:rsidR="000A525E" w:rsidRPr="001B1321" w:rsidRDefault="000A525E" w:rsidP="009878B6">
            <w:pPr>
              <w:spacing w:beforeLines="50" w:before="120"/>
            </w:pP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Heading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lastRenderedPageBreak/>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255"/>
        <w:gridCol w:w="8100"/>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77777777" w:rsidR="00345AE8" w:rsidRDefault="00345AE8" w:rsidP="009878B6">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3DD14672" w14:textId="77777777" w:rsidR="00345AE8" w:rsidRPr="001B1321" w:rsidRDefault="00345AE8" w:rsidP="009878B6">
            <w:pPr>
              <w:spacing w:beforeLines="50" w:before="120"/>
            </w:pPr>
          </w:p>
        </w:tc>
      </w:tr>
    </w:tbl>
    <w:p w14:paraId="2AF29256" w14:textId="77777777" w:rsidR="00345AE8" w:rsidRDefault="00345AE8" w:rsidP="00345AE8">
      <w:pPr>
        <w:ind w:left="200" w:firstLineChars="0" w:firstLine="0"/>
      </w:pPr>
    </w:p>
    <w:p w14:paraId="4A649352" w14:textId="77777777" w:rsidR="00345AE8" w:rsidRDefault="00345AE8"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bookmarkStart w:id="5" w:name="_GoBack"/>
      <w:bookmarkEnd w:id="5"/>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lastRenderedPageBreak/>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000254">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000254">
            <w:pPr>
              <w:snapToGrid w:val="0"/>
              <w:ind w:firstLineChars="0" w:firstLine="0"/>
              <w:jc w:val="left"/>
              <w:rPr>
                <w:b/>
                <w:sz w:val="18"/>
                <w:szCs w:val="18"/>
              </w:rPr>
            </w:pPr>
            <w:r>
              <w:rPr>
                <w:b/>
                <w:sz w:val="18"/>
                <w:szCs w:val="18"/>
              </w:rPr>
              <w:t>Comments</w:t>
            </w:r>
          </w:p>
        </w:tc>
      </w:tr>
      <w:tr w:rsidR="004010B4" w:rsidRPr="00B70F28" w14:paraId="33F92C28" w14:textId="77777777" w:rsidTr="00000254">
        <w:tc>
          <w:tcPr>
            <w:tcW w:w="1255" w:type="dxa"/>
            <w:tcBorders>
              <w:top w:val="single" w:sz="4" w:space="0" w:color="auto"/>
              <w:left w:val="single" w:sz="4" w:space="0" w:color="auto"/>
              <w:bottom w:val="single" w:sz="4" w:space="0" w:color="auto"/>
              <w:right w:val="single" w:sz="4" w:space="0" w:color="auto"/>
            </w:tcBorders>
          </w:tcPr>
          <w:p w14:paraId="4F121B91" w14:textId="77777777" w:rsidR="004010B4" w:rsidRDefault="004010B4" w:rsidP="00000254">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04B878A6" w14:textId="77777777" w:rsidR="004010B4" w:rsidRPr="001B1321" w:rsidRDefault="004010B4" w:rsidP="00000254">
            <w:pPr>
              <w:spacing w:beforeLines="50" w:before="120"/>
            </w:pP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w:t>
            </w:r>
            <w:proofErr w:type="spellStart"/>
            <w:r w:rsidRPr="00D36D2B">
              <w:rPr>
                <w:rFonts w:cs="Times"/>
                <w:lang w:eastAsia="x-none"/>
              </w:rPr>
              <w:t>subframe</w:t>
            </w:r>
            <w:proofErr w:type="spellEnd"/>
            <w:r w:rsidRPr="00D36D2B">
              <w:rPr>
                <w:rFonts w:cs="Times"/>
                <w:lang w:eastAsia="x-none"/>
              </w:rPr>
              <w:t xml:space="preserve"> for an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1: The required HARQ process number is less than the </w:t>
            </w:r>
            <w:proofErr w:type="spellStart"/>
            <w:r w:rsidRPr="00C9510E">
              <w:rPr>
                <w:rFonts w:cs="Times"/>
                <w:lang w:eastAsia="x-none"/>
              </w:rPr>
              <w:t>subframe</w:t>
            </w:r>
            <w:proofErr w:type="spellEnd"/>
            <w:r w:rsidRPr="00C9510E">
              <w:rPr>
                <w:rFonts w:cs="Times"/>
                <w:lang w:eastAsia="x-none"/>
              </w:rPr>
              <w:t xml:space="preserv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5: Due to the round-trip delay of NTN is much large than 3 </w:t>
            </w:r>
            <w:proofErr w:type="spellStart"/>
            <w:r w:rsidRPr="00C9510E">
              <w:rPr>
                <w:rFonts w:cs="Times"/>
                <w:lang w:eastAsia="x-none"/>
              </w:rPr>
              <w:t>subframes</w:t>
            </w:r>
            <w:proofErr w:type="spellEnd"/>
            <w:r w:rsidRPr="00C9510E">
              <w:rPr>
                <w:rFonts w:cs="Times"/>
                <w:lang w:eastAsia="x-none"/>
              </w:rPr>
              <w:t xml:space="preserve">, the interval of 3 </w:t>
            </w:r>
            <w:proofErr w:type="spellStart"/>
            <w:r w:rsidRPr="00C9510E">
              <w:rPr>
                <w:rFonts w:cs="Times"/>
                <w:lang w:eastAsia="x-none"/>
              </w:rPr>
              <w:t>subframes</w:t>
            </w:r>
            <w:proofErr w:type="spellEnd"/>
            <w:r w:rsidRPr="00C9510E">
              <w:rPr>
                <w:rFonts w:cs="Times"/>
                <w:lang w:eastAsia="x-none"/>
              </w:rPr>
              <w:t xml:space="preserve">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526E5B"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 xml:space="preserve">No HARQ enhancements are necessary to support the required data rates of IoT. However, the reductions in peak data rates due to stalling are substantial, especially for GEO. </w:t>
            </w:r>
            <w:r w:rsidRPr="00B018BE">
              <w:rPr>
                <w:rFonts w:cs="Times"/>
                <w:lang w:eastAsia="x-none"/>
              </w:rPr>
              <w:lastRenderedPageBreak/>
              <w:t>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526E5B"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lastRenderedPageBreak/>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526E5B"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1"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lastRenderedPageBreak/>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lastRenderedPageBreak/>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2"/>
      <w:footerReference w:type="default" r:id="rId33"/>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9E7F" w14:textId="77777777" w:rsidR="00526E5B" w:rsidRDefault="00526E5B" w:rsidP="007378B8">
      <w:r>
        <w:separator/>
      </w:r>
    </w:p>
  </w:endnote>
  <w:endnote w:type="continuationSeparator" w:id="0">
    <w:p w14:paraId="7204B941" w14:textId="77777777" w:rsidR="00526E5B" w:rsidRDefault="00526E5B"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69BE5486" w:rsidR="009878B6" w:rsidRDefault="009878B6">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B6791D">
      <w:rPr>
        <w:rStyle w:val="PageNumber"/>
        <w:i/>
        <w:color w:val="auto"/>
      </w:rPr>
      <w:t>11</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F1EDD" w14:textId="77777777" w:rsidR="00526E5B" w:rsidRDefault="00526E5B" w:rsidP="007378B8">
      <w:r>
        <w:separator/>
      </w:r>
    </w:p>
  </w:footnote>
  <w:footnote w:type="continuationSeparator" w:id="0">
    <w:p w14:paraId="1D9818F5" w14:textId="77777777" w:rsidR="00526E5B" w:rsidRDefault="00526E5B"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9878B6" w:rsidRDefault="009878B6"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1"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4"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2"/>
  </w:num>
  <w:num w:numId="3">
    <w:abstractNumId w:val="12"/>
  </w:num>
  <w:num w:numId="4">
    <w:abstractNumId w:val="28"/>
  </w:num>
  <w:num w:numId="5">
    <w:abstractNumId w:val="1"/>
  </w:num>
  <w:num w:numId="6">
    <w:abstractNumId w:val="6"/>
  </w:num>
  <w:num w:numId="7">
    <w:abstractNumId w:val="38"/>
  </w:num>
  <w:num w:numId="8">
    <w:abstractNumId w:val="2"/>
  </w:num>
  <w:num w:numId="9">
    <w:abstractNumId w:val="7"/>
  </w:num>
  <w:num w:numId="10">
    <w:abstractNumId w:val="34"/>
  </w:num>
  <w:num w:numId="11">
    <w:abstractNumId w:val="22"/>
  </w:num>
  <w:num w:numId="12">
    <w:abstractNumId w:val="24"/>
  </w:num>
  <w:num w:numId="13">
    <w:abstractNumId w:val="36"/>
  </w:num>
  <w:num w:numId="14">
    <w:abstractNumId w:val="10"/>
  </w:num>
  <w:num w:numId="15">
    <w:abstractNumId w:val="35"/>
  </w:num>
  <w:num w:numId="16">
    <w:abstractNumId w:val="16"/>
  </w:num>
  <w:num w:numId="17">
    <w:abstractNumId w:val="3"/>
  </w:num>
  <w:num w:numId="18">
    <w:abstractNumId w:val="15"/>
  </w:num>
  <w:num w:numId="19">
    <w:abstractNumId w:val="33"/>
  </w:num>
  <w:num w:numId="20">
    <w:abstractNumId w:val="40"/>
  </w:num>
  <w:num w:numId="21">
    <w:abstractNumId w:val="37"/>
  </w:num>
  <w:num w:numId="22">
    <w:abstractNumId w:val="19"/>
  </w:num>
  <w:num w:numId="23">
    <w:abstractNumId w:val="29"/>
  </w:num>
  <w:num w:numId="24">
    <w:abstractNumId w:val="17"/>
  </w:num>
  <w:num w:numId="25">
    <w:abstractNumId w:val="27"/>
  </w:num>
  <w:num w:numId="26">
    <w:abstractNumId w:val="21"/>
  </w:num>
  <w:num w:numId="27">
    <w:abstractNumId w:val="41"/>
  </w:num>
  <w:num w:numId="28">
    <w:abstractNumId w:val="23"/>
  </w:num>
  <w:num w:numId="29">
    <w:abstractNumId w:val="23"/>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11"/>
  </w:num>
  <w:num w:numId="34">
    <w:abstractNumId w:val="31"/>
  </w:num>
  <w:num w:numId="35">
    <w:abstractNumId w:val="14"/>
  </w:num>
  <w:num w:numId="36">
    <w:abstractNumId w:val="9"/>
  </w:num>
  <w:num w:numId="37">
    <w:abstractNumId w:val="25"/>
  </w:num>
  <w:num w:numId="38">
    <w:abstractNumId w:val="4"/>
  </w:num>
  <w:num w:numId="39">
    <w:abstractNumId w:val="30"/>
  </w:num>
  <w:num w:numId="40">
    <w:abstractNumId w:val="13"/>
  </w:num>
  <w:num w:numId="41">
    <w:abstractNumId w:val="44"/>
  </w:num>
  <w:num w:numId="42">
    <w:abstractNumId w:val="26"/>
  </w:num>
  <w:num w:numId="43">
    <w:abstractNumId w:val="18"/>
  </w:num>
  <w:num w:numId="44">
    <w:abstractNumId w:val="20"/>
  </w:num>
  <w:num w:numId="45">
    <w:abstractNumId w:val="43"/>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1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073.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0" Type="http://schemas.openxmlformats.org/officeDocument/2006/relationships/hyperlink" Target="file:///C:\Users\wanshic\OneDrive%20-%20Qualcomm\Documents\Standards\3GPP%20Standards\Meeting%20Documents\TSGR1_104b\Docs\R1-2102834.zip" TargetMode="External"/><Relationship Id="rId29" Type="http://schemas.openxmlformats.org/officeDocument/2006/relationships/hyperlink" Target="file:///C:\Users\wanshic\OneDrive%20-%20Qualcomm\Documents\Standards\3GPP%20Standards\Meeting%20Documents\TSGR1_104b\Docs\R1-210332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63.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2975.zip" TargetMode="External"/><Relationship Id="rId28" Type="http://schemas.openxmlformats.org/officeDocument/2006/relationships/hyperlink" Target="file:///C:\Users\wanshic\OneDrive%20-%20Qualcomm\Documents\Standards\3GPP%20Standards\Meeting%20Documents\TSGR1_104b\Docs\R1-210327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wanshic\OneDrive%20-%20Qualcomm\Documents\Standards\3GPP%20Standards\Meeting%20Documents\TSGR1_104b\Docs\R1-21025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269.zip" TargetMode="External"/><Relationship Id="rId30" Type="http://schemas.openxmlformats.org/officeDocument/2006/relationships/hyperlink" Target="file:///C:\Users\wanshic\OneDrive%20-%20Qualcomm\Documents\Standards\3GPP%20Standards\Meeting%20Documents\TSGR1_104b\Docs\R1-2103530.zip" TargetMode="External"/><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FE1B81-03C4-4145-8693-13DAE2E8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19</Pages>
  <Words>7518</Words>
  <Characters>42854</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cp:lastModifiedBy>
  <cp:revision>34</cp:revision>
  <dcterms:created xsi:type="dcterms:W3CDTF">2021-04-12T11:41:00Z</dcterms:created>
  <dcterms:modified xsi:type="dcterms:W3CDTF">2021-04-12T20:18:00Z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