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proofErr w:type="gramStart"/>
      <w:r w:rsidRPr="008573AD">
        <w:rPr>
          <w:rFonts w:eastAsia="MS Mincho" w:cs="Arial"/>
          <w:b/>
          <w:bCs/>
          <w:sz w:val="24"/>
          <w:szCs w:val="24"/>
          <w:lang w:eastAsia="ja-JP"/>
        </w:rPr>
        <w:t>e-Meeting</w:t>
      </w:r>
      <w:proofErr w:type="gramEnd"/>
      <w:r w:rsidRPr="008573AD">
        <w:rPr>
          <w:rFonts w:eastAsia="MS Mincho" w:cs="Arial"/>
          <w:b/>
          <w:bCs/>
          <w:sz w:val="24"/>
          <w:szCs w:val="24"/>
          <w:lang w:eastAsia="ja-JP"/>
        </w:rPr>
        <w:t xml:space="preserve">,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Heading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xml:space="preserve">, a configuration for PUCCH transmission with a link recovery request (LRR) as described in Clause 9.2.4. The UE can transmit in a first PUSCH MAC CE providing </w:t>
            </w:r>
            <w:proofErr w:type="gramStart"/>
            <w:r>
              <w:rPr>
                <w:iCs/>
                <w:sz w:val="20"/>
                <w:szCs w:val="20"/>
                <w:lang w:val="en-GB"/>
              </w:rPr>
              <w:t>index(</w:t>
            </w:r>
            <w:proofErr w:type="spellStart"/>
            <w:proofErr w:type="gramEnd"/>
            <w:r>
              <w:rPr>
                <w:iCs/>
                <w:sz w:val="20"/>
                <w:szCs w:val="20"/>
                <w:lang w:val="en-GB"/>
              </w:rPr>
              <w:t>es</w:t>
            </w:r>
            <w:proofErr w:type="spellEnd"/>
            <w:r>
              <w:rPr>
                <w:iCs/>
                <w:sz w:val="20"/>
                <w:szCs w:val="20"/>
                <w:lang w:val="en-GB"/>
              </w:rPr>
              <w:t>)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w:t>
            </w:r>
            <w:proofErr w:type="spellStart"/>
            <w:r>
              <w:rPr>
                <w:sz w:val="20"/>
                <w:szCs w:val="20"/>
                <w:lang w:val="en-GB" w:eastAsia="en-US"/>
              </w:rPr>
              <w:t>Q</w:t>
            </w:r>
            <w:r>
              <w:rPr>
                <w:sz w:val="20"/>
                <w:szCs w:val="20"/>
                <w:vertAlign w:val="subscript"/>
                <w:lang w:val="en-GB" w:eastAsia="en-US"/>
              </w:rPr>
              <w:t>out,LR</w:t>
            </w:r>
            <w:proofErr w:type="spellEnd"/>
            <w:r>
              <w:rPr>
                <w:iCs/>
                <w:sz w:val="20"/>
                <w:szCs w:val="20"/>
                <w:lang w:val="en-GB"/>
              </w:rPr>
              <w:t xml:space="preserve">, </w:t>
            </w:r>
            <w:r>
              <w:rPr>
                <w:rFonts w:eastAsia="DengXian"/>
                <w:iCs/>
                <w:sz w:val="20"/>
                <w:szCs w:val="20"/>
                <w:lang w:val="en-GB" w:eastAsia="en-US"/>
              </w:rPr>
              <w:t xml:space="preserve">indication(s) of presence of </w:t>
            </w:r>
            <m:oMath>
              <m:sSub>
                <m:sSubPr>
                  <m:ctrlPr>
                    <w:ins w:id="0" w:author="Author">
                      <w:rPr>
                        <w:rFonts w:ascii="Cambria Math" w:hAnsi="Cambria Math"/>
                        <w:i/>
                        <w:iCs/>
                      </w:rPr>
                    </w:ins>
                  </m:ctrlPr>
                </m:sSubPr>
                <m:e>
                  <m:r>
                    <w:rPr>
                      <w:rFonts w:ascii="Cambria Math"/>
                    </w:rPr>
                    <m:t>q</m:t>
                  </m:r>
                </m:e>
                <m:sub>
                  <m:r>
                    <m:rPr>
                      <m:nor/>
                    </m:rPr>
                    <w:rPr>
                      <w:rFonts w:ascii="Cambria Math"/>
                      <w:iCs/>
                    </w:rPr>
                    <m:t>new</m:t>
                  </m:r>
                  <m:ctrlPr>
                    <w:ins w:id="1"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index(</w:t>
            </w:r>
            <w:proofErr w:type="spellStart"/>
            <w:r>
              <w:rPr>
                <w:sz w:val="20"/>
                <w:szCs w:val="20"/>
                <w:lang w:val="en-GB" w:eastAsia="en-US"/>
              </w:rPr>
              <w:t>es</w:t>
            </w:r>
            <w:proofErr w:type="spellEnd"/>
            <w:r>
              <w:rPr>
                <w:sz w:val="20"/>
                <w:szCs w:val="20"/>
                <w:lang w:val="en-GB" w:eastAsia="en-US"/>
              </w:rPr>
              <w:t xml:space="preserve">) </w:t>
            </w:r>
            <m:oMath>
              <m:sSub>
                <m:sSubPr>
                  <m:ctrlPr>
                    <w:ins w:id="2" w:author="Author">
                      <w:rPr>
                        <w:rFonts w:ascii="Cambria Math" w:hAnsi="Cambria Math"/>
                        <w:i/>
                        <w:iCs/>
                      </w:rPr>
                    </w:ins>
                  </m:ctrlPr>
                </m:sSubPr>
                <m:e>
                  <m:r>
                    <w:rPr>
                      <w:rFonts w:ascii="Cambria Math"/>
                    </w:rPr>
                    <m:t>q</m:t>
                  </m:r>
                </m:e>
                <m:sub>
                  <m:r>
                    <m:rPr>
                      <m:nor/>
                    </m:rPr>
                    <w:rPr>
                      <w:rFonts w:ascii="Cambria Math"/>
                      <w:iCs/>
                    </w:rPr>
                    <m:t>new</m:t>
                  </m:r>
                  <m:ctrlPr>
                    <w:ins w:id="3"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w:t>
            </w:r>
            <w:proofErr w:type="spellStart"/>
            <w:r>
              <w:rPr>
                <w:iCs/>
                <w:lang w:val="en-US" w:eastAsia="ja-JP"/>
              </w:rPr>
              <w:t>es</w:t>
            </w:r>
            <w:proofErr w:type="spellEnd"/>
            <w:r>
              <w:rPr>
                <w:iCs/>
                <w:lang w:val="en-US" w:eastAsia="ja-JP"/>
              </w:rPr>
              <w:t>)</w:t>
            </w:r>
            <w:r>
              <w:rPr>
                <w:iCs/>
                <w:lang w:eastAsia="ja-JP"/>
              </w:rPr>
              <w:t xml:space="preserve"> </w:t>
            </w:r>
            <m:oMath>
              <m:sSub>
                <m:sSubPr>
                  <m:ctrlPr>
                    <w:ins w:id="4" w:author="Author">
                      <w:rPr>
                        <w:rFonts w:ascii="Cambria Math" w:hAnsi="Cambria Math"/>
                        <w:i/>
                        <w:iCs/>
                      </w:rPr>
                    </w:ins>
                  </m:ctrlPr>
                </m:sSubPr>
                <m:e>
                  <m:r>
                    <w:rPr>
                      <w:rFonts w:ascii="Cambria Math"/>
                    </w:rPr>
                    <m:t>q</m:t>
                  </m:r>
                </m:e>
                <m:sub>
                  <m:r>
                    <m:rPr>
                      <m:nor/>
                    </m:rPr>
                    <w:rPr>
                      <w:rFonts w:ascii="Cambria Math"/>
                      <w:iCs/>
                    </w:rPr>
                    <m:t>new</m:t>
                  </m:r>
                  <m:ctrlPr>
                    <w:ins w:id="5" w:author="Author">
                      <w:rPr>
                        <w:rFonts w:ascii="Cambria Math" w:hAnsi="Cambria Math"/>
                        <w:iCs/>
                      </w:rPr>
                    </w:ins>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6" w:author="Author">
                      <w:rPr>
                        <w:rFonts w:ascii="Cambria Math" w:hAnsi="Cambria Math"/>
                        <w:i/>
                        <w:iCs/>
                      </w:rPr>
                    </w:ins>
                  </m:ctrlPr>
                </m:sSubPr>
                <m:e>
                  <m:r>
                    <w:rPr>
                      <w:rFonts w:ascii="Cambria Math"/>
                    </w:rPr>
                    <m:t>q</m:t>
                  </m:r>
                </m:e>
                <m:sub>
                  <m:r>
                    <m:rPr>
                      <m:nor/>
                    </m:rPr>
                    <w:rPr>
                      <w:rFonts w:ascii="Cambria Math"/>
                      <w:iCs/>
                    </w:rPr>
                    <m:t>new</m:t>
                  </m:r>
                  <m:ctrlPr>
                    <w:ins w:id="7"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8" w:author="Author">
                      <w:rPr>
                        <w:rFonts w:ascii="Cambria Math" w:hAnsi="Cambria Math"/>
                        <w:i/>
                        <w:iCs/>
                      </w:rPr>
                    </w:ins>
                  </m:ctrlPr>
                </m:sSubPr>
                <m:e>
                  <m:r>
                    <w:rPr>
                      <w:rFonts w:ascii="Cambria Math"/>
                    </w:rPr>
                    <m:t>q</m:t>
                  </m:r>
                </m:e>
                <m:sub>
                  <m:r>
                    <m:rPr>
                      <m:nor/>
                    </m:rPr>
                    <w:rPr>
                      <w:rFonts w:ascii="Cambria Math"/>
                      <w:iCs/>
                    </w:rPr>
                    <m:t>u</m:t>
                  </m:r>
                  <m:ctrlPr>
                    <w:ins w:id="9" w:author="Author">
                      <w:rPr>
                        <w:rFonts w:ascii="Cambria Math" w:hAnsi="Cambria Math"/>
                        <w:iCs/>
                      </w:rPr>
                    </w:ins>
                  </m:ctrlPr>
                </m:sub>
              </m:sSub>
              <m:r>
                <w:rPr>
                  <w:rFonts w:ascii="Cambria Math" w:hAnsi="Cambria Math"/>
                </w:rPr>
                <m:t>=0</m:t>
              </m:r>
            </m:oMath>
            <w:r>
              <w:rPr>
                <w:lang w:val="en-US"/>
              </w:rPr>
              <w:t xml:space="preserve">, </w:t>
            </w:r>
            <m:oMath>
              <m:sSub>
                <m:sSubPr>
                  <m:ctrlPr>
                    <w:ins w:id="10" w:author="Author">
                      <w:rPr>
                        <w:rFonts w:ascii="Cambria Math" w:hAnsi="Cambria Math"/>
                        <w:i/>
                        <w:iCs/>
                      </w:rPr>
                    </w:ins>
                  </m:ctrlPr>
                </m:sSubPr>
                <m:e>
                  <m:sSub>
                    <m:sSubPr>
                      <m:ctrlPr>
                        <w:ins w:id="11" w:author="Author">
                          <w:rPr>
                            <w:rFonts w:ascii="Cambria Math" w:hAnsi="Cambria Math"/>
                            <w:i/>
                            <w:iCs/>
                          </w:rPr>
                        </w:ins>
                      </m:ctrlPr>
                    </m:sSubPr>
                    <m:e>
                      <m:r>
                        <w:rPr>
                          <w:rFonts w:ascii="Cambria Math"/>
                        </w:rPr>
                        <m:t>q</m:t>
                      </m:r>
                    </m:e>
                    <m:sub>
                      <m:r>
                        <m:rPr>
                          <m:nor/>
                        </m:rPr>
                        <w:rPr>
                          <w:rFonts w:ascii="Cambria Math"/>
                          <w:iCs/>
                          <w:lang w:val="en-US"/>
                        </w:rPr>
                        <m:t>d</m:t>
                      </m:r>
                      <m:ctrlPr>
                        <w:ins w:id="12"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13"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 xml:space="preserve">on the PCell or the </w:t>
            </w:r>
            <w:proofErr w:type="spellStart"/>
            <w:r>
              <w:t>PSCell</w:t>
            </w:r>
            <w:proofErr w:type="spellEnd"/>
            <w:r>
              <w:t>,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proofErr w:type="gramStart"/>
            <w:r>
              <w:t>where</w:t>
            </w:r>
            <w:proofErr w:type="gramEnd"/>
            <w:r>
              <w:t xml:space="preserve"> the SCS configuration for the 28 symbols </w:t>
            </w:r>
            <w:ins w:id="14" w:author="Author">
              <w:r>
                <w:t xml:space="preserve">is determined for each SCell indicated by the MAC CE and </w:t>
              </w:r>
            </w:ins>
            <w:r>
              <w:t>is the smallest of the SCS configurations of the active DL BWP for the PDCCH reception and of the active DL BWP</w:t>
            </w:r>
            <w:del w:id="15" w:author="Author">
              <w:r>
                <w:delText>(s</w:delText>
              </w:r>
              <w:r>
                <w:rPr>
                  <w:color w:val="000000" w:themeColor="text1"/>
                </w:rPr>
                <w:delText>)</w:delText>
              </w:r>
            </w:del>
            <w:r>
              <w:rPr>
                <w:color w:val="000000" w:themeColor="text1"/>
              </w:rPr>
              <w:t xml:space="preserve"> of </w:t>
            </w:r>
            <w:del w:id="16" w:author="Author">
              <w:r>
                <w:rPr>
                  <w:color w:val="000000" w:themeColor="text1"/>
                </w:rPr>
                <w:delText xml:space="preserve">the </w:delText>
              </w:r>
              <w:r>
                <w:rPr>
                  <w:color w:val="000000" w:themeColor="text1"/>
                  <w:lang w:val="en-US" w:eastAsia="zh-CN"/>
                </w:rPr>
                <w:delText>at least one SCell</w:delText>
              </w:r>
            </w:del>
            <w:ins w:id="17" w:author="Author">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xml:space="preserve">, a configuration for PUCCH transmission with a link recovery request (LRR) as described in Clause 9.2.4. The UE can transmit in a first PUSCH MAC CE providing </w:t>
            </w:r>
            <w:proofErr w:type="gramStart"/>
            <w:r>
              <w:rPr>
                <w:iCs/>
                <w:sz w:val="20"/>
                <w:szCs w:val="20"/>
                <w:lang w:val="en-GB"/>
              </w:rPr>
              <w:t>index(</w:t>
            </w:r>
            <w:proofErr w:type="spellStart"/>
            <w:proofErr w:type="gramEnd"/>
            <w:r>
              <w:rPr>
                <w:iCs/>
                <w:sz w:val="20"/>
                <w:szCs w:val="20"/>
                <w:lang w:val="en-GB"/>
              </w:rPr>
              <w:t>es</w:t>
            </w:r>
            <w:proofErr w:type="spellEnd"/>
            <w:r>
              <w:rPr>
                <w:iCs/>
                <w:sz w:val="20"/>
                <w:szCs w:val="20"/>
                <w:lang w:val="en-GB"/>
              </w:rPr>
              <w:t>)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w:t>
            </w:r>
            <w:proofErr w:type="spellStart"/>
            <w:r>
              <w:rPr>
                <w:sz w:val="20"/>
                <w:szCs w:val="20"/>
                <w:lang w:val="en-GB" w:eastAsia="en-US"/>
              </w:rPr>
              <w:t>Q</w:t>
            </w:r>
            <w:r>
              <w:rPr>
                <w:sz w:val="20"/>
                <w:szCs w:val="20"/>
                <w:vertAlign w:val="subscript"/>
                <w:lang w:val="en-GB" w:eastAsia="en-US"/>
              </w:rPr>
              <w:t>out,LR</w:t>
            </w:r>
            <w:proofErr w:type="spellEnd"/>
            <w:r>
              <w:rPr>
                <w:iCs/>
                <w:sz w:val="20"/>
                <w:szCs w:val="20"/>
                <w:lang w:val="en-GB"/>
              </w:rPr>
              <w:t xml:space="preserve">, </w:t>
            </w:r>
            <w:r>
              <w:rPr>
                <w:rFonts w:eastAsia="DengXian"/>
                <w:iCs/>
                <w:sz w:val="20"/>
                <w:szCs w:val="20"/>
                <w:lang w:val="en-GB" w:eastAsia="en-US"/>
              </w:rPr>
              <w:t xml:space="preserve">indication(s) of presence of </w:t>
            </w:r>
            <m:oMath>
              <m:sSub>
                <m:sSubPr>
                  <m:ctrlPr>
                    <w:ins w:id="18" w:author="Author">
                      <w:rPr>
                        <w:rFonts w:ascii="Cambria Math" w:hAnsi="Cambria Math"/>
                        <w:i/>
                        <w:iCs/>
                      </w:rPr>
                    </w:ins>
                  </m:ctrlPr>
                </m:sSubPr>
                <m:e>
                  <m:r>
                    <w:rPr>
                      <w:rFonts w:ascii="Cambria Math"/>
                    </w:rPr>
                    <m:t>q</m:t>
                  </m:r>
                </m:e>
                <m:sub>
                  <m:r>
                    <m:rPr>
                      <m:nor/>
                    </m:rPr>
                    <w:rPr>
                      <w:rFonts w:ascii="Cambria Math"/>
                      <w:iCs/>
                    </w:rPr>
                    <m:t>new</m:t>
                  </m:r>
                  <m:ctrlPr>
                    <w:ins w:id="19"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index(</w:t>
            </w:r>
            <w:proofErr w:type="spellStart"/>
            <w:r>
              <w:rPr>
                <w:sz w:val="20"/>
                <w:szCs w:val="20"/>
                <w:lang w:val="en-GB" w:eastAsia="en-US"/>
              </w:rPr>
              <w:t>es</w:t>
            </w:r>
            <w:proofErr w:type="spellEnd"/>
            <w:r>
              <w:rPr>
                <w:sz w:val="20"/>
                <w:szCs w:val="20"/>
                <w:lang w:val="en-GB" w:eastAsia="en-US"/>
              </w:rPr>
              <w:t xml:space="preserve">) </w:t>
            </w:r>
            <m:oMath>
              <m:sSub>
                <m:sSubPr>
                  <m:ctrlPr>
                    <w:ins w:id="20" w:author="Author">
                      <w:rPr>
                        <w:rFonts w:ascii="Cambria Math" w:hAnsi="Cambria Math"/>
                        <w:i/>
                        <w:iCs/>
                      </w:rPr>
                    </w:ins>
                  </m:ctrlPr>
                </m:sSubPr>
                <m:e>
                  <m:r>
                    <w:rPr>
                      <w:rFonts w:ascii="Cambria Math"/>
                    </w:rPr>
                    <m:t>q</m:t>
                  </m:r>
                </m:e>
                <m:sub>
                  <m:r>
                    <m:rPr>
                      <m:nor/>
                    </m:rPr>
                    <w:rPr>
                      <w:rFonts w:ascii="Cambria Math"/>
                      <w:iCs/>
                    </w:rPr>
                    <m:t>new</m:t>
                  </m:r>
                  <m:ctrlPr>
                    <w:ins w:id="21"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w:t>
            </w:r>
            <w:proofErr w:type="spellStart"/>
            <w:r>
              <w:rPr>
                <w:iCs/>
                <w:lang w:val="en-US" w:eastAsia="ja-JP"/>
              </w:rPr>
              <w:t>es</w:t>
            </w:r>
            <w:proofErr w:type="spellEnd"/>
            <w:r>
              <w:rPr>
                <w:iCs/>
                <w:lang w:val="en-US" w:eastAsia="ja-JP"/>
              </w:rPr>
              <w:t>)</w:t>
            </w:r>
            <w:r>
              <w:rPr>
                <w:iCs/>
                <w:lang w:eastAsia="ja-JP"/>
              </w:rPr>
              <w:t xml:space="preserve"> </w:t>
            </w:r>
            <m:oMath>
              <m:sSub>
                <m:sSubPr>
                  <m:ctrlPr>
                    <w:ins w:id="22" w:author="Author">
                      <w:rPr>
                        <w:rFonts w:ascii="Cambria Math" w:hAnsi="Cambria Math"/>
                        <w:i/>
                        <w:iCs/>
                      </w:rPr>
                    </w:ins>
                  </m:ctrlPr>
                </m:sSubPr>
                <m:e>
                  <m:r>
                    <w:rPr>
                      <w:rFonts w:ascii="Cambria Math"/>
                    </w:rPr>
                    <m:t>q</m:t>
                  </m:r>
                </m:e>
                <m:sub>
                  <m:r>
                    <m:rPr>
                      <m:nor/>
                    </m:rPr>
                    <w:rPr>
                      <w:rFonts w:ascii="Cambria Math"/>
                      <w:iCs/>
                    </w:rPr>
                    <m:t>new</m:t>
                  </m:r>
                  <m:ctrlPr>
                    <w:ins w:id="23" w:author="Author">
                      <w:rPr>
                        <w:rFonts w:ascii="Cambria Math" w:hAnsi="Cambria Math"/>
                        <w:iCs/>
                      </w:rPr>
                    </w:ins>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24" w:author="Author">
                      <w:rPr>
                        <w:rFonts w:ascii="Cambria Math" w:hAnsi="Cambria Math"/>
                        <w:i/>
                        <w:iCs/>
                      </w:rPr>
                    </w:ins>
                  </m:ctrlPr>
                </m:sSubPr>
                <m:e>
                  <m:r>
                    <w:rPr>
                      <w:rFonts w:ascii="Cambria Math"/>
                    </w:rPr>
                    <m:t>q</m:t>
                  </m:r>
                </m:e>
                <m:sub>
                  <m:r>
                    <m:rPr>
                      <m:nor/>
                    </m:rPr>
                    <w:rPr>
                      <w:rFonts w:ascii="Cambria Math"/>
                      <w:iCs/>
                    </w:rPr>
                    <m:t>new</m:t>
                  </m:r>
                  <m:ctrlPr>
                    <w:ins w:id="25"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26" w:author="Author">
                      <w:rPr>
                        <w:rFonts w:ascii="Cambria Math" w:hAnsi="Cambria Math"/>
                        <w:i/>
                        <w:iCs/>
                      </w:rPr>
                    </w:ins>
                  </m:ctrlPr>
                </m:sSubPr>
                <m:e>
                  <m:r>
                    <w:rPr>
                      <w:rFonts w:ascii="Cambria Math"/>
                    </w:rPr>
                    <m:t>q</m:t>
                  </m:r>
                </m:e>
                <m:sub>
                  <m:r>
                    <m:rPr>
                      <m:nor/>
                    </m:rPr>
                    <w:rPr>
                      <w:rFonts w:ascii="Cambria Math"/>
                      <w:iCs/>
                    </w:rPr>
                    <m:t>u</m:t>
                  </m:r>
                  <m:ctrlPr>
                    <w:ins w:id="27" w:author="Author">
                      <w:rPr>
                        <w:rFonts w:ascii="Cambria Math" w:hAnsi="Cambria Math"/>
                        <w:iCs/>
                      </w:rPr>
                    </w:ins>
                  </m:ctrlPr>
                </m:sub>
              </m:sSub>
              <m:r>
                <w:rPr>
                  <w:rFonts w:ascii="Cambria Math" w:hAnsi="Cambria Math"/>
                </w:rPr>
                <m:t>=0</m:t>
              </m:r>
            </m:oMath>
            <w:r>
              <w:rPr>
                <w:lang w:val="en-US"/>
              </w:rPr>
              <w:t xml:space="preserve">, </w:t>
            </w:r>
            <m:oMath>
              <m:sSub>
                <m:sSubPr>
                  <m:ctrlPr>
                    <w:ins w:id="28" w:author="Author">
                      <w:rPr>
                        <w:rFonts w:ascii="Cambria Math" w:hAnsi="Cambria Math"/>
                        <w:i/>
                        <w:iCs/>
                      </w:rPr>
                    </w:ins>
                  </m:ctrlPr>
                </m:sSubPr>
                <m:e>
                  <m:sSub>
                    <m:sSubPr>
                      <m:ctrlPr>
                        <w:ins w:id="29" w:author="Author">
                          <w:rPr>
                            <w:rFonts w:ascii="Cambria Math" w:hAnsi="Cambria Math"/>
                            <w:i/>
                            <w:iCs/>
                          </w:rPr>
                        </w:ins>
                      </m:ctrlPr>
                    </m:sSubPr>
                    <m:e>
                      <m:r>
                        <w:rPr>
                          <w:rFonts w:ascii="Cambria Math"/>
                        </w:rPr>
                        <m:t>q</m:t>
                      </m:r>
                    </m:e>
                    <m:sub>
                      <m:r>
                        <m:rPr>
                          <m:nor/>
                        </m:rPr>
                        <w:rPr>
                          <w:rFonts w:ascii="Cambria Math"/>
                          <w:iCs/>
                          <w:lang w:val="en-US"/>
                        </w:rPr>
                        <m:t>d</m:t>
                      </m:r>
                      <m:ctrlPr>
                        <w:ins w:id="30"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31"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 xml:space="preserve">on the PCell or the </w:t>
            </w:r>
            <w:proofErr w:type="spellStart"/>
            <w:r>
              <w:t>PSCell</w:t>
            </w:r>
            <w:proofErr w:type="spellEnd"/>
            <w:r>
              <w:t>,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proofErr w:type="gramStart"/>
            <w:r>
              <w:t>where</w:t>
            </w:r>
            <w:proofErr w:type="gramEnd"/>
            <w:r>
              <w:t xml:space="preserve"> the SCS configuration for the 28 symbols is the smallest of the SCS configurations of the active DL BWP for the PDCCH reception and of the active DL BWP(s</w:t>
            </w:r>
            <w:r>
              <w:rPr>
                <w:color w:val="000000" w:themeColor="text1"/>
              </w:rPr>
              <w:t xml:space="preserve">) of the </w:t>
            </w:r>
            <w:del w:id="32" w:author="Author">
              <w:r>
                <w:rPr>
                  <w:rFonts w:hint="eastAsia"/>
                  <w:color w:val="000000" w:themeColor="text1"/>
                  <w:lang w:val="en-US" w:eastAsia="zh-CN"/>
                </w:rPr>
                <w:delText>at least one SCell</w:delText>
              </w:r>
            </w:del>
            <w:ins w:id="33" w:author="Author">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Either option is fine.</w:t>
            </w:r>
          </w:p>
        </w:tc>
      </w:tr>
      <w:tr w:rsidR="00AD1892" w:rsidRPr="007E289B" w14:paraId="4707925B"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526F94" w14:textId="2BAE12C6" w:rsidR="00AD1892" w:rsidRDefault="00AD1892" w:rsidP="00AD1892">
            <w:pPr>
              <w:pStyle w:val="0Maintext"/>
              <w:spacing w:after="120" w:afterAutospacing="0" w:line="240" w:lineRule="auto"/>
              <w:ind w:firstLine="0"/>
              <w:rPr>
                <w:rFonts w:ascii="Yu Mincho" w:eastAsia="Yu Mincho" w:hAnsi="Yu Mincho"/>
                <w:lang w:val="en-US" w:eastAsia="ja-JP"/>
              </w:rPr>
            </w:pPr>
            <w:r>
              <w:rPr>
                <w:rFonts w:eastAsia="Malgun Gothic"/>
                <w:lang w:val="en-US" w:eastAsia="ko-KR"/>
              </w:rPr>
              <w:t>Intel</w:t>
            </w:r>
          </w:p>
        </w:tc>
        <w:tc>
          <w:tcPr>
            <w:tcW w:w="6321" w:type="dxa"/>
          </w:tcPr>
          <w:p w14:paraId="398F3C42" w14:textId="501300C8" w:rsidR="00AD1892" w:rsidRDefault="00AD1892"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Malgun Gothic"/>
                <w:lang w:val="en-US" w:eastAsia="ko-KR"/>
              </w:rPr>
              <w:t>Slightly prefer Alt 2</w:t>
            </w:r>
          </w:p>
        </w:tc>
      </w:tr>
      <w:tr w:rsidR="00BC10B0" w:rsidRPr="007E289B" w14:paraId="6D72EB82"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A35F480" w14:textId="3457161D" w:rsidR="00BC10B0" w:rsidRDefault="00BC10B0"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6321" w:type="dxa"/>
          </w:tcPr>
          <w:p w14:paraId="62F1B328" w14:textId="4885EE8A" w:rsidR="00BC10B0" w:rsidRDefault="00BC10B0"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Supp</w:t>
            </w:r>
            <w:r>
              <w:rPr>
                <w:rFonts w:eastAsia="Malgun Gothic"/>
                <w:lang w:val="en-US" w:eastAsia="ko-KR"/>
              </w:rPr>
              <w:t>ort Alt2.</w:t>
            </w:r>
          </w:p>
        </w:tc>
      </w:tr>
      <w:tr w:rsidR="0092208E" w:rsidRPr="007E289B" w14:paraId="1DD9638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DF3254" w14:textId="37CB84B7" w:rsidR="0092208E" w:rsidRDefault="0092208E"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ZTE</w:t>
            </w:r>
          </w:p>
        </w:tc>
        <w:tc>
          <w:tcPr>
            <w:tcW w:w="6321" w:type="dxa"/>
          </w:tcPr>
          <w:p w14:paraId="019A7724" w14:textId="51671885" w:rsidR="0092208E" w:rsidRDefault="0092208E"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W</w:t>
            </w:r>
            <w:r>
              <w:rPr>
                <w:rFonts w:eastAsia="Malgun Gothic"/>
                <w:lang w:val="en-US" w:eastAsia="ko-KR"/>
              </w:rPr>
              <w:t>e slightly prefer Alt 2, but we can live with Alt.1.</w:t>
            </w:r>
          </w:p>
        </w:tc>
      </w:tr>
      <w:tr w:rsidR="0033189A" w:rsidRPr="007E289B" w14:paraId="51366A2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1681A6D" w14:textId="2F946EC9" w:rsidR="0033189A" w:rsidRDefault="0033189A" w:rsidP="00AD1892">
            <w:pPr>
              <w:pStyle w:val="0Maintext"/>
              <w:spacing w:after="120" w:afterAutospacing="0" w:line="240" w:lineRule="auto"/>
              <w:ind w:firstLine="0"/>
              <w:rPr>
                <w:rFonts w:eastAsia="Malgun Gothic" w:hint="eastAsia"/>
                <w:lang w:val="en-US" w:eastAsia="ko-KR"/>
              </w:rPr>
            </w:pPr>
            <w:r>
              <w:rPr>
                <w:rFonts w:eastAsia="Malgun Gothic"/>
                <w:lang w:val="en-US" w:eastAsia="ko-KR"/>
              </w:rPr>
              <w:t>CATT</w:t>
            </w:r>
          </w:p>
        </w:tc>
        <w:tc>
          <w:tcPr>
            <w:tcW w:w="6321" w:type="dxa"/>
          </w:tcPr>
          <w:p w14:paraId="01CA83FE" w14:textId="6C6ADA1A" w:rsidR="0033189A" w:rsidRDefault="0033189A"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 xml:space="preserve">Fine with either alternative. </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Heading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lastRenderedPageBreak/>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TableGrid"/>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proofErr w:type="spellStart"/>
            <w:r w:rsidRPr="00FC58A9">
              <w:rPr>
                <w:i/>
                <w:sz w:val="20"/>
                <w:szCs w:val="20"/>
              </w:rPr>
              <w:t>candidateBeamRSListExt</w:t>
            </w:r>
            <w:proofErr w:type="spellEnd"/>
            <w:r w:rsidRPr="00FC58A9">
              <w:rPr>
                <w:i/>
                <w:sz w:val="20"/>
                <w:szCs w:val="20"/>
              </w:rPr>
              <w:t xml:space="preserve"> </w:t>
            </w:r>
            <w:r w:rsidRPr="00FC58A9">
              <w:rPr>
                <w:iCs/>
                <w:sz w:val="20"/>
                <w:szCs w:val="20"/>
              </w:rPr>
              <w:t>or</w:t>
            </w:r>
            <w:r w:rsidRPr="00FC58A9">
              <w:rPr>
                <w:rFonts w:eastAsia="MS Mincho"/>
                <w:sz w:val="20"/>
                <w:szCs w:val="20"/>
                <w:lang w:eastAsia="ja-JP"/>
              </w:rPr>
              <w:t xml:space="preserve"> </w:t>
            </w:r>
            <w:proofErr w:type="spellStart"/>
            <w:r w:rsidRPr="00FC58A9">
              <w:rPr>
                <w:rFonts w:eastAsia="MS Mincho"/>
                <w:i/>
                <w:sz w:val="20"/>
                <w:szCs w:val="20"/>
                <w:lang w:eastAsia="ja-JP"/>
              </w:rPr>
              <w:t>candidateBeamRSSCellList</w:t>
            </w:r>
            <w:proofErr w:type="spellEnd"/>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pt;height:15.5pt;mso-width-percent:0;mso-height-percent:0;mso-width-percent:0;mso-height-percent:0" o:ole="">
                  <v:imagedata r:id="rId10" o:title=""/>
                </v:shape>
                <o:OLEObject Type="Embed" ProgID="Equation.3" ShapeID="_x0000_i1025" DrawAspect="Content" ObjectID="_1679741992" r:id="rId11"/>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proofErr w:type="spellStart"/>
            <w:r w:rsidRPr="00FC58A9">
              <w:rPr>
                <w:i/>
                <w:sz w:val="20"/>
                <w:szCs w:val="20"/>
                <w:lang w:eastAsia="ja-JP"/>
              </w:rPr>
              <w:t>qcl</w:t>
            </w:r>
            <w:proofErr w:type="spellEnd"/>
            <w:r w:rsidRPr="00FC58A9">
              <w:rPr>
                <w:i/>
                <w:sz w:val="20"/>
                <w:szCs w:val="20"/>
                <w:lang w:eastAsia="ja-JP"/>
              </w:rPr>
              <w:t>-Type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4" w:author="Author">
              <w:r w:rsidRPr="00FC58A9">
                <w:rPr>
                  <w:sz w:val="20"/>
                  <w:szCs w:val="20"/>
                </w:rPr>
                <w:t xml:space="preserve">If the UE is not provided </w:t>
              </w:r>
            </w:ins>
            <w:ins w:id="35" w:author="Author">
              <w:r w:rsidR="002846C7" w:rsidRPr="00B470FE">
                <w:rPr>
                  <w:iCs/>
                  <w:noProof/>
                  <w:position w:val="-10"/>
                  <w:sz w:val="20"/>
                  <w:szCs w:val="20"/>
                </w:rPr>
                <w:object w:dxaOrig="240" w:dyaOrig="300" w14:anchorId="4AA2F687">
                  <v:shape id="_x0000_i1026" type="#_x0000_t75" alt="" style="width:15.5pt;height:15.5pt;mso-width-percent:0;mso-height-percent:0;mso-width-percent:0;mso-height-percent:0" o:ole="">
                    <v:imagedata r:id="rId10" o:title=""/>
                  </v:shape>
                  <o:OLEObject Type="Embed" ProgID="Equation.3" ShapeID="_x0000_i1026" DrawAspect="Content" ObjectID="_1679741993" r:id="rId13"/>
                </w:object>
              </w:r>
            </w:ins>
            <w:ins w:id="36"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w:t>
              </w:r>
              <w:proofErr w:type="gramStart"/>
              <w:r w:rsidRPr="00FC58A9">
                <w:rPr>
                  <w:sz w:val="20"/>
                  <w:szCs w:val="20"/>
                </w:rPr>
                <w:t>more than one CORESETs</w:t>
              </w:r>
              <w:proofErr w:type="gramEnd"/>
              <w:r w:rsidRPr="00FC58A9">
                <w:rPr>
                  <w:sz w:val="20"/>
                  <w:szCs w:val="20"/>
                </w:rPr>
                <w:t xml:space="preserve">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proofErr w:type="gramStart"/>
            <w:r w:rsidRPr="00FC58A9">
              <w:rPr>
                <w:iCs/>
                <w:sz w:val="20"/>
                <w:szCs w:val="20"/>
              </w:rPr>
              <w:t xml:space="preserve">set </w:t>
            </w:r>
            <w:proofErr w:type="gramEnd"/>
            <w:r w:rsidRPr="00FC58A9">
              <w:rPr>
                <w:iCs/>
                <w:noProof/>
                <w:position w:val="-10"/>
                <w:sz w:val="20"/>
                <w:szCs w:val="20"/>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w:t>
            </w:r>
            <w:proofErr w:type="gramStart"/>
            <w:r w:rsidRPr="00FC58A9">
              <w:rPr>
                <w:sz w:val="20"/>
                <w:szCs w:val="20"/>
              </w:rPr>
              <w:t xml:space="preserve">set </w:t>
            </w:r>
            <w:proofErr w:type="gramEnd"/>
            <w:r w:rsidRPr="00FC58A9">
              <w:rPr>
                <w:iCs/>
                <w:noProof/>
                <w:position w:val="-10"/>
                <w:sz w:val="20"/>
                <w:szCs w:val="20"/>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TableGrid"/>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proofErr w:type="spellStart"/>
            <w:r w:rsidRPr="00FC58A9">
              <w:rPr>
                <w:i/>
                <w:sz w:val="20"/>
                <w:szCs w:val="20"/>
              </w:rPr>
              <w:t>candidateBeamRSListExt</w:t>
            </w:r>
            <w:proofErr w:type="spellEnd"/>
            <w:r w:rsidRPr="00FC58A9">
              <w:rPr>
                <w:i/>
                <w:sz w:val="20"/>
                <w:szCs w:val="20"/>
              </w:rPr>
              <w:t xml:space="preserve"> </w:t>
            </w:r>
            <w:r w:rsidRPr="00FC58A9">
              <w:rPr>
                <w:iCs/>
                <w:sz w:val="20"/>
                <w:szCs w:val="20"/>
              </w:rPr>
              <w:t>or</w:t>
            </w:r>
            <w:r w:rsidRPr="00FC58A9">
              <w:rPr>
                <w:rFonts w:eastAsia="MS Mincho"/>
                <w:sz w:val="20"/>
                <w:szCs w:val="20"/>
                <w:lang w:eastAsia="ja-JP"/>
              </w:rPr>
              <w:t xml:space="preserve"> </w:t>
            </w:r>
            <w:proofErr w:type="spellStart"/>
            <w:r w:rsidRPr="00FC58A9">
              <w:rPr>
                <w:rFonts w:eastAsia="MS Mincho"/>
                <w:i/>
                <w:sz w:val="20"/>
                <w:szCs w:val="20"/>
                <w:lang w:eastAsia="ja-JP"/>
              </w:rPr>
              <w:t>candidateBeamRSSCellList</w:t>
            </w:r>
            <w:proofErr w:type="spellEnd"/>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5pt;height:15.5pt;mso-width-percent:0;mso-height-percent:0;mso-width-percent:0;mso-height-percent:0" o:ole="">
                  <v:imagedata r:id="rId10" o:title=""/>
                </v:shape>
                <o:OLEObject Type="Embed" ProgID="Equation.3" ShapeID="_x0000_i1027" DrawAspect="Content" ObjectID="_1679741994" r:id="rId14"/>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proofErr w:type="spellStart"/>
            <w:r w:rsidRPr="00FC58A9">
              <w:rPr>
                <w:i/>
                <w:sz w:val="20"/>
                <w:szCs w:val="20"/>
                <w:lang w:eastAsia="ja-JP"/>
              </w:rPr>
              <w:t>qcl</w:t>
            </w:r>
            <w:proofErr w:type="spellEnd"/>
            <w:r w:rsidRPr="00FC58A9">
              <w:rPr>
                <w:i/>
                <w:sz w:val="20"/>
                <w:szCs w:val="20"/>
                <w:lang w:eastAsia="ja-JP"/>
              </w:rPr>
              <w:t>-Type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7" w:author="Author">
              <w:r w:rsidRPr="00FC58A9">
                <w:rPr>
                  <w:sz w:val="20"/>
                  <w:szCs w:val="20"/>
                </w:rPr>
                <w:t xml:space="preserve">If the UE is not provided </w:t>
              </w:r>
            </w:ins>
            <w:ins w:id="38" w:author="Author">
              <w:r w:rsidR="002846C7" w:rsidRPr="00B470FE">
                <w:rPr>
                  <w:iCs/>
                  <w:noProof/>
                  <w:position w:val="-10"/>
                  <w:sz w:val="20"/>
                  <w:szCs w:val="20"/>
                </w:rPr>
                <w:object w:dxaOrig="240" w:dyaOrig="300" w14:anchorId="2341C791">
                  <v:shape id="_x0000_i1028" type="#_x0000_t75" alt="" style="width:15.5pt;height:15.5pt;mso-width-percent:0;mso-height-percent:0;mso-width-percent:0;mso-height-percent:0" o:ole="">
                    <v:imagedata r:id="rId10" o:title=""/>
                  </v:shape>
                  <o:OLEObject Type="Embed" ProgID="Equation.3" ShapeID="_x0000_i1028" DrawAspect="Content" ObjectID="_1679741995" r:id="rId15"/>
                </w:object>
              </w:r>
            </w:ins>
            <w:ins w:id="39"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proofErr w:type="gramStart"/>
            <w:r w:rsidRPr="00FC58A9">
              <w:rPr>
                <w:iCs/>
                <w:sz w:val="20"/>
                <w:szCs w:val="20"/>
              </w:rPr>
              <w:t xml:space="preserve">set </w:t>
            </w:r>
            <w:proofErr w:type="gramEnd"/>
            <w:r w:rsidRPr="00FC58A9">
              <w:rPr>
                <w:iCs/>
                <w:noProof/>
                <w:position w:val="-10"/>
                <w:sz w:val="20"/>
                <w:szCs w:val="20"/>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w:t>
            </w:r>
            <w:proofErr w:type="gramStart"/>
            <w:r w:rsidRPr="00FC58A9">
              <w:rPr>
                <w:sz w:val="20"/>
                <w:szCs w:val="20"/>
              </w:rPr>
              <w:t xml:space="preserve">set </w:t>
            </w:r>
            <w:proofErr w:type="gramEnd"/>
            <w:r w:rsidRPr="00FC58A9">
              <w:rPr>
                <w:iCs/>
                <w:noProof/>
                <w:position w:val="-10"/>
                <w:sz w:val="20"/>
                <w:szCs w:val="20"/>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w:t>
            </w:r>
            <w:proofErr w:type="spellStart"/>
            <w:r>
              <w:rPr>
                <w:rFonts w:eastAsiaTheme="minorEastAsia"/>
                <w:color w:val="FF0000"/>
                <w:lang w:val="en-US" w:eastAsia="zh-CN"/>
              </w:rPr>
              <w:t>D’ed</w:t>
            </w:r>
            <w:proofErr w:type="spellEnd"/>
            <w:r>
              <w:rPr>
                <w:rFonts w:eastAsiaTheme="minorEastAsia"/>
                <w:color w:val="FF0000"/>
                <w:lang w:val="en-US" w:eastAsia="zh-CN"/>
              </w:rPr>
              <w:t xml:space="preserve">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w:t>
            </w:r>
            <w:proofErr w:type="gramStart"/>
            <w:r>
              <w:rPr>
                <w:rFonts w:eastAsia="Malgun Gothic"/>
                <w:lang w:val="en-US" w:eastAsia="ko-KR"/>
              </w:rPr>
              <w:t>Alt3(</w:t>
            </w:r>
            <w:proofErr w:type="gramEnd"/>
            <w:r>
              <w:rPr>
                <w:rFonts w:eastAsia="Malgun Gothic"/>
                <w:lang w:val="en-US" w:eastAsia="ko-KR"/>
              </w:rPr>
              <w:t>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w:t>
            </w:r>
            <w:proofErr w:type="gramStart"/>
            <w:r>
              <w:rPr>
                <w:rFonts w:eastAsia="Yu Mincho" w:hint="eastAsia"/>
                <w:lang w:val="en-US" w:eastAsia="ja-JP"/>
              </w:rPr>
              <w:t>are</w:t>
            </w:r>
            <w:proofErr w:type="gramEnd"/>
            <w:r>
              <w:rPr>
                <w:rFonts w:eastAsia="Yu Mincho" w:hint="eastAsia"/>
                <w:lang w:val="en-US" w:eastAsia="ja-JP"/>
              </w:rPr>
              <w:t xml:space="preserve"> fine with us. </w:t>
            </w:r>
            <w:r w:rsidR="00E9451C">
              <w:rPr>
                <w:rFonts w:eastAsia="Yu Mincho"/>
                <w:lang w:val="en-US" w:eastAsia="ja-JP"/>
              </w:rPr>
              <w:t xml:space="preserve">We prefer Alt.2, because the lowest CORESET ID </w:t>
            </w:r>
            <w:r w:rsidR="00E9451C">
              <w:rPr>
                <w:rFonts w:eastAsia="Yu Mincho"/>
                <w:lang w:val="en-US" w:eastAsia="ja-JP"/>
              </w:rPr>
              <w:lastRenderedPageBreak/>
              <w:t xml:space="preserve">would </w:t>
            </w:r>
            <w:proofErr w:type="spellStart"/>
            <w:proofErr w:type="gramStart"/>
            <w:r w:rsidR="00E9451C">
              <w:rPr>
                <w:rFonts w:eastAsia="Yu Mincho"/>
                <w:lang w:val="en-US" w:eastAsia="ja-JP"/>
              </w:rPr>
              <w:t>used</w:t>
            </w:r>
            <w:proofErr w:type="spellEnd"/>
            <w:proofErr w:type="gramEnd"/>
            <w:r w:rsidR="00E9451C">
              <w:rPr>
                <w:rFonts w:eastAsia="Yu Mincho"/>
                <w:lang w:val="en-US" w:eastAsia="ja-JP"/>
              </w:rPr>
              <w:t xml:space="preserve"> in most of cases for default beams of UL/DL in Rel.16. Our 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lang w:val="en-US" w:eastAsia="ja-JP"/>
              </w:rPr>
            </w:pPr>
            <w:r>
              <w:rPr>
                <w:rFonts w:eastAsia="Yu Mincho"/>
                <w:lang w:val="en-US" w:eastAsia="ja-JP"/>
              </w:rPr>
              <w:lastRenderedPageBreak/>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It would seem natural to reuse the RLM rule (Alt1), since the UE performs that selection anyway.</w:t>
            </w:r>
          </w:p>
        </w:tc>
      </w:tr>
      <w:tr w:rsidR="00C46572" w:rsidRPr="007E289B" w14:paraId="51847907"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A50160" w14:textId="6CB876E6" w:rsidR="00C46572" w:rsidRDefault="00C7743C" w:rsidP="00974C24">
            <w:pPr>
              <w:pStyle w:val="0Maintext"/>
              <w:spacing w:after="120" w:afterAutospacing="0" w:line="240" w:lineRule="auto"/>
              <w:ind w:firstLine="0"/>
              <w:rPr>
                <w:rFonts w:eastAsia="Yu Mincho"/>
                <w:lang w:val="en-US" w:eastAsia="ja-JP"/>
              </w:rPr>
            </w:pPr>
            <w:r>
              <w:rPr>
                <w:rFonts w:eastAsia="Yu Mincho"/>
                <w:lang w:val="en-US" w:eastAsia="ja-JP"/>
              </w:rPr>
              <w:t>Intel</w:t>
            </w:r>
          </w:p>
        </w:tc>
        <w:tc>
          <w:tcPr>
            <w:tcW w:w="6321" w:type="dxa"/>
          </w:tcPr>
          <w:p w14:paraId="2B32A8DA" w14:textId="1AA510E4" w:rsidR="00C46572"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lang w:val="en-US" w:eastAsia="ja-JP"/>
              </w:rPr>
              <w:t xml:space="preserve">Prefer </w:t>
            </w:r>
            <w:r w:rsidR="00C7743C">
              <w:rPr>
                <w:rFonts w:eastAsia="Yu Mincho"/>
                <w:lang w:val="en-US" w:eastAsia="ja-JP"/>
              </w:rPr>
              <w:t xml:space="preserve">Alt </w:t>
            </w:r>
            <w:r w:rsidR="008F7EF4">
              <w:rPr>
                <w:rFonts w:eastAsia="Yu Mincho"/>
                <w:lang w:val="en-US" w:eastAsia="ja-JP"/>
              </w:rPr>
              <w:t>1</w:t>
            </w:r>
            <w:r>
              <w:rPr>
                <w:rFonts w:eastAsia="Yu Mincho"/>
                <w:lang w:val="en-US" w:eastAsia="ja-JP"/>
              </w:rPr>
              <w:t xml:space="preserve">. Also OK with Alt 2. </w:t>
            </w:r>
          </w:p>
        </w:tc>
      </w:tr>
      <w:tr w:rsidR="0016469C" w:rsidRPr="007E289B" w14:paraId="5308833E"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BFFDF31" w14:textId="71DE4CF4" w:rsidR="0016469C" w:rsidRDefault="0016469C" w:rsidP="0016469C">
            <w:pPr>
              <w:pStyle w:val="0Maintext"/>
              <w:spacing w:after="120" w:afterAutospacing="0" w:line="240" w:lineRule="auto"/>
              <w:ind w:firstLine="0"/>
              <w:rPr>
                <w:rFonts w:eastAsia="Yu Mincho"/>
                <w:lang w:val="en-US" w:eastAsia="ja-JP"/>
              </w:rPr>
            </w:pPr>
            <w:r w:rsidRPr="2A67DFD2">
              <w:rPr>
                <w:lang w:val="en-US" w:eastAsia="ko-KR"/>
              </w:rPr>
              <w:t xml:space="preserve">Nokia </w:t>
            </w:r>
          </w:p>
        </w:tc>
        <w:tc>
          <w:tcPr>
            <w:tcW w:w="6321" w:type="dxa"/>
          </w:tcPr>
          <w:p w14:paraId="783B2918" w14:textId="77777777"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i/>
                <w:iCs/>
                <w:lang w:val="en-US" w:eastAsia="zh-CN"/>
              </w:rPr>
            </w:pPr>
            <w:r w:rsidRPr="2A67DFD2">
              <w:rPr>
                <w:b/>
                <w:bCs/>
                <w:i/>
                <w:iCs/>
                <w:lang w:val="en-US" w:eastAsia="zh-CN"/>
              </w:rPr>
              <w:t>Alt1: Reuse the rule of RLM RS selection for BFD RS selection</w:t>
            </w:r>
          </w:p>
          <w:p w14:paraId="62222594" w14:textId="0FD06BE2"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2A67DFD2">
              <w:rPr>
                <w:lang w:val="en-US" w:eastAsia="ko-KR"/>
              </w:rPr>
              <w:t>This rule has been already in rel15 spec so it is preferred that same rule would be used. Otherwise, the selected RS may be different for RLM and BFD in implicit configuration (we see no benefit in that).</w:t>
            </w:r>
          </w:p>
        </w:tc>
      </w:tr>
      <w:tr w:rsidR="00BC10B0" w:rsidRPr="007E289B" w14:paraId="05F6486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2862C6" w14:textId="581FD76B" w:rsidR="00BC10B0" w:rsidRPr="00BC10B0" w:rsidRDefault="00BC10B0" w:rsidP="0016469C">
            <w:pPr>
              <w:pStyle w:val="0Maintext"/>
              <w:spacing w:after="120" w:afterAutospacing="0" w:line="240" w:lineRule="auto"/>
              <w:ind w:firstLine="0"/>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6321" w:type="dxa"/>
          </w:tcPr>
          <w:p w14:paraId="39622A1C" w14:textId="0A16E2A3" w:rsidR="00BC10B0" w:rsidRPr="00BC10B0" w:rsidRDefault="00BC10B0" w:rsidP="0016469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bCs/>
                <w:iCs/>
                <w:lang w:val="en-US" w:eastAsia="ko-KR"/>
              </w:rPr>
            </w:pPr>
            <w:r>
              <w:rPr>
                <w:rFonts w:eastAsia="Malgun Gothic" w:hint="eastAsia"/>
                <w:bCs/>
                <w:iCs/>
                <w:lang w:val="en-US" w:eastAsia="ko-KR"/>
              </w:rPr>
              <w:t>A</w:t>
            </w:r>
            <w:r>
              <w:rPr>
                <w:rFonts w:eastAsia="Malgun Gothic"/>
                <w:bCs/>
                <w:iCs/>
                <w:lang w:val="en-US" w:eastAsia="ko-KR"/>
              </w:rPr>
              <w:t>lt1 or Alt2 is okay with us.</w:t>
            </w:r>
          </w:p>
        </w:tc>
      </w:tr>
      <w:tr w:rsidR="0092208E" w:rsidRPr="007E289B" w14:paraId="3303698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1CEAD41" w14:textId="39DBCD75" w:rsidR="0092208E" w:rsidRDefault="0092208E" w:rsidP="0016469C">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00D97FAB" w14:textId="584B72AF" w:rsidR="0092208E" w:rsidRDefault="0092208E"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bCs/>
                <w:iCs/>
                <w:lang w:val="en-US" w:eastAsia="ko-KR"/>
              </w:rPr>
            </w:pPr>
            <w:r>
              <w:rPr>
                <w:rFonts w:eastAsia="Malgun Gothic"/>
                <w:bCs/>
                <w:iCs/>
                <w:lang w:val="en-US" w:eastAsia="ko-KR"/>
              </w:rPr>
              <w:t xml:space="preserve">We support Alt 2. </w:t>
            </w:r>
            <w:r w:rsidR="000F5D8A">
              <w:rPr>
                <w:rFonts w:eastAsia="Malgun Gothic"/>
                <w:bCs/>
                <w:iCs/>
                <w:lang w:val="en-US" w:eastAsia="ko-KR"/>
              </w:rPr>
              <w:t xml:space="preserve">Besides sharing the same comments as DOCOMO, we also think that </w:t>
            </w:r>
            <w:r>
              <w:rPr>
                <w:rFonts w:eastAsia="Malgun Gothic"/>
                <w:bCs/>
                <w:iCs/>
                <w:lang w:val="en-US" w:eastAsia="ko-KR"/>
              </w:rPr>
              <w:t>Alt 1 is over-design</w:t>
            </w:r>
            <w:r w:rsidR="000F5D8A">
              <w:rPr>
                <w:rFonts w:eastAsia="Malgun Gothic"/>
                <w:bCs/>
                <w:iCs/>
                <w:lang w:val="en-US" w:eastAsia="ko-KR"/>
              </w:rPr>
              <w:t>ed</w:t>
            </w:r>
            <w:r>
              <w:rPr>
                <w:rFonts w:eastAsia="Malgun Gothic"/>
                <w:bCs/>
                <w:iCs/>
                <w:lang w:val="en-US" w:eastAsia="ko-KR"/>
              </w:rPr>
              <w:t>.</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Heading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9010"/>
      </w:tblGrid>
      <w:tr w:rsidR="005D445A" w14:paraId="00760E6B" w14:textId="77777777" w:rsidTr="00FF234E">
        <w:tc>
          <w:tcPr>
            <w:tcW w:w="9010" w:type="dxa"/>
          </w:tcPr>
          <w:p w14:paraId="5A186954" w14:textId="77777777" w:rsidR="005D445A" w:rsidRPr="00B916EC" w:rsidRDefault="005D445A" w:rsidP="00FF234E">
            <w:pPr>
              <w:pStyle w:val="Heading3"/>
              <w:numPr>
                <w:ilvl w:val="0"/>
                <w:numId w:val="0"/>
              </w:numPr>
              <w:ind w:left="720" w:hanging="720"/>
            </w:pPr>
            <w:bookmarkStart w:id="40" w:name="_Ref500774487"/>
            <w:bookmarkStart w:id="41" w:name="_Toc12021446"/>
            <w:bookmarkStart w:id="42" w:name="_Toc20311558"/>
            <w:bookmarkStart w:id="43" w:name="_Toc26719383"/>
            <w:bookmarkStart w:id="44" w:name="_Toc29894814"/>
            <w:bookmarkStart w:id="45" w:name="_Toc29899113"/>
            <w:bookmarkStart w:id="46" w:name="_Toc29899531"/>
            <w:bookmarkStart w:id="47" w:name="_Toc29917268"/>
            <w:bookmarkStart w:id="48" w:name="_Toc36498142"/>
            <w:bookmarkStart w:id="49" w:name="_Toc45699168"/>
            <w:bookmarkStart w:id="50" w:name="_Toc60601285"/>
            <w:bookmarkStart w:id="51" w:name="_Ref497117847"/>
            <w:r w:rsidRPr="00B916EC">
              <w:t>7.1.1</w:t>
            </w:r>
            <w:r w:rsidRPr="00B916EC">
              <w:tab/>
              <w:t xml:space="preserve">UE </w:t>
            </w:r>
            <w:proofErr w:type="spellStart"/>
            <w:r w:rsidRPr="00B916EC">
              <w:t>behaviour</w:t>
            </w:r>
            <w:bookmarkEnd w:id="40"/>
            <w:bookmarkEnd w:id="41"/>
            <w:bookmarkEnd w:id="42"/>
            <w:bookmarkEnd w:id="43"/>
            <w:bookmarkEnd w:id="44"/>
            <w:bookmarkEnd w:id="45"/>
            <w:bookmarkEnd w:id="46"/>
            <w:bookmarkEnd w:id="47"/>
            <w:bookmarkEnd w:id="48"/>
            <w:bookmarkEnd w:id="49"/>
            <w:bookmarkEnd w:id="50"/>
            <w:proofErr w:type="spellEnd"/>
          </w:p>
          <w:bookmarkEnd w:id="51"/>
          <w:p w14:paraId="758D9C3F" w14:textId="77777777" w:rsidR="005D445A" w:rsidRDefault="005D445A" w:rsidP="00FF234E">
            <w:pPr>
              <w:pStyle w:val="0Maintext"/>
              <w:spacing w:after="120" w:afterAutospacing="0" w:line="240" w:lineRule="auto"/>
              <w:ind w:firstLine="0"/>
              <w:rPr>
                <w:lang w:val="en-US" w:eastAsia="zh-CN"/>
              </w:rPr>
            </w:pPr>
            <w:r>
              <w:rPr>
                <w:lang w:val="en-US" w:eastAsia="zh-CN"/>
              </w:rPr>
              <w:t>&lt;unrelated part omitted&gt;</w:t>
            </w:r>
          </w:p>
          <w:p w14:paraId="54B009D5" w14:textId="77777777" w:rsidR="005D445A" w:rsidRDefault="005D445A" w:rsidP="00FF234E">
            <w:pPr>
              <w:pStyle w:val="0Maintext"/>
              <w:spacing w:after="120" w:afterAutospacing="0" w:line="240" w:lineRule="auto"/>
              <w:ind w:firstLine="0"/>
              <w:rPr>
                <w:lang w:val="en-US" w:eastAsia="zh-CN"/>
              </w:rPr>
            </w:pPr>
            <w:r w:rsidRPr="009D5B6D">
              <w:t xml:space="preserve">For a PUSCH transmission configured by </w:t>
            </w:r>
            <w:proofErr w:type="spellStart"/>
            <w:r w:rsidRPr="009D5B6D">
              <w:rPr>
                <w:i/>
                <w:iCs/>
              </w:rPr>
              <w:t>ConfiguredGrantConfig</w:t>
            </w:r>
            <w:proofErr w:type="spellEnd"/>
            <w:r>
              <w:rPr>
                <w:iCs/>
                <w:lang w:val="en-US"/>
              </w:rPr>
              <w:t xml:space="preserve"> that does not include</w:t>
            </w:r>
            <w:r>
              <w:rPr>
                <w:lang w:val="en-US"/>
              </w:rPr>
              <w:t xml:space="preserve"> </w:t>
            </w:r>
            <w:proofErr w:type="spellStart"/>
            <w:r w:rsidRPr="007E3666">
              <w:rPr>
                <w:i/>
                <w:lang w:val="en-US"/>
              </w:rPr>
              <w:t>rrc</w:t>
            </w:r>
            <w:proofErr w:type="spellEnd"/>
            <w:r w:rsidRPr="007E3666">
              <w:rPr>
                <w:i/>
                <w:lang w:val="en-US"/>
              </w:rPr>
              <w:t>-</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zh-CN"/>
              </w:rPr>
              <w:drawing>
                <wp:inline distT="0" distB="0" distL="0" distR="0" wp14:anchorId="4C13D0C6" wp14:editId="2F3D14B9">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zh-CN"/>
              </w:rPr>
              <w:drawing>
                <wp:inline distT="0" distB="0" distL="0" distR="0" wp14:anchorId="5550C583" wp14:editId="16B6174C">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zh-CN"/>
              </w:rPr>
              <w:drawing>
                <wp:inline distT="0" distB="0" distL="0" distR="0" wp14:anchorId="62A876E1" wp14:editId="73E57F62">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proofErr w:type="spellStart"/>
            <w:r w:rsidRPr="004864B4">
              <w:rPr>
                <w:i/>
                <w:iCs/>
              </w:rPr>
              <w:t>pathlossReferenceLinking</w:t>
            </w:r>
            <w:proofErr w:type="spellEnd"/>
          </w:p>
        </w:tc>
      </w:tr>
    </w:tbl>
    <w:p w14:paraId="6D907654" w14:textId="77777777" w:rsidR="005D445A" w:rsidRDefault="005D445A"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Malgun Gothic"/>
                <w:lang w:val="en-US" w:eastAsia="ko-KR"/>
              </w:rPr>
            </w:pPr>
            <w:r>
              <w:rPr>
                <w:rFonts w:eastAsia="Malgun Gothic"/>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Support</w:t>
            </w:r>
            <w:r w:rsidR="00AB130F">
              <w:rPr>
                <w:rFonts w:eastAsia="Malgun Gothic"/>
                <w:lang w:val="en-US" w:eastAsia="ko-KR"/>
              </w:rPr>
              <w:t xml:space="preserve"> the conclusion – it is the natural interpretation of the spec.</w:t>
            </w:r>
          </w:p>
        </w:tc>
      </w:tr>
      <w:tr w:rsidR="00CF7693" w:rsidRPr="00B918B1" w14:paraId="79B30AD6"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A68893" w14:textId="4AA49B40" w:rsidR="00CF7693" w:rsidRDefault="00CF7693" w:rsidP="00974C24">
            <w:pPr>
              <w:pStyle w:val="0Maintext"/>
              <w:spacing w:after="120" w:afterAutospacing="0" w:line="240" w:lineRule="auto"/>
              <w:ind w:firstLine="0"/>
              <w:rPr>
                <w:rFonts w:eastAsia="Malgun Gothic"/>
                <w:lang w:val="en-US" w:eastAsia="ko-KR"/>
              </w:rPr>
            </w:pPr>
            <w:r>
              <w:rPr>
                <w:rFonts w:eastAsia="Malgun Gothic"/>
                <w:lang w:val="en-US" w:eastAsia="ko-KR"/>
              </w:rPr>
              <w:t>Intel</w:t>
            </w:r>
          </w:p>
        </w:tc>
        <w:tc>
          <w:tcPr>
            <w:tcW w:w="6321" w:type="dxa"/>
          </w:tcPr>
          <w:p w14:paraId="6BD2311D" w14:textId="0C3FD453" w:rsidR="00CF7693"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Ok</w:t>
            </w:r>
          </w:p>
        </w:tc>
      </w:tr>
      <w:tr w:rsidR="00BC10B0" w:rsidRPr="00B918B1" w14:paraId="750E633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18CA62B" w14:textId="1B0AF3F9" w:rsidR="00BC10B0" w:rsidRDefault="00BC10B0"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lastRenderedPageBreak/>
              <w:t>Sams</w:t>
            </w:r>
            <w:r>
              <w:rPr>
                <w:rFonts w:eastAsia="Malgun Gothic"/>
                <w:lang w:val="en-US" w:eastAsia="ko-KR"/>
              </w:rPr>
              <w:t>ung</w:t>
            </w:r>
          </w:p>
        </w:tc>
        <w:tc>
          <w:tcPr>
            <w:tcW w:w="6321" w:type="dxa"/>
          </w:tcPr>
          <w:p w14:paraId="4BCF9184" w14:textId="558E279F" w:rsidR="00BC10B0" w:rsidRDefault="00BC10B0"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2208E" w:rsidRPr="00B918B1" w14:paraId="328A3623"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434CA3" w14:textId="72C296C2" w:rsidR="0092208E" w:rsidRDefault="0092208E" w:rsidP="00974C24">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5BDFC4B5" w14:textId="31C9450E" w:rsidR="0092208E" w:rsidRDefault="0092208E" w:rsidP="005D445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Support</w:t>
            </w:r>
          </w:p>
        </w:tc>
      </w:tr>
      <w:tr w:rsidR="0033189A" w:rsidRPr="00B918B1" w14:paraId="6E13747A"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787CAD10" w14:textId="7B686B3F" w:rsidR="0033189A" w:rsidRDefault="0033189A" w:rsidP="00974C24">
            <w:pPr>
              <w:pStyle w:val="0Maintext"/>
              <w:spacing w:after="120" w:afterAutospacing="0" w:line="240" w:lineRule="auto"/>
              <w:ind w:firstLine="0"/>
              <w:rPr>
                <w:rFonts w:eastAsia="Malgun Gothic"/>
                <w:lang w:val="en-US" w:eastAsia="ko-KR"/>
              </w:rPr>
            </w:pPr>
            <w:r>
              <w:rPr>
                <w:rFonts w:eastAsia="Malgun Gothic"/>
                <w:lang w:val="en-US" w:eastAsia="ko-KR"/>
              </w:rPr>
              <w:t>CATT</w:t>
            </w:r>
          </w:p>
        </w:tc>
        <w:tc>
          <w:tcPr>
            <w:tcW w:w="6321" w:type="dxa"/>
          </w:tcPr>
          <w:p w14:paraId="620828D6" w14:textId="6FE7448C" w:rsidR="0033189A" w:rsidRDefault="0033189A" w:rsidP="005D445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bookmarkStart w:id="52" w:name="_GoBack"/>
            <w:bookmarkEnd w:id="52"/>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400DB" w14:textId="77777777" w:rsidR="008C5F61" w:rsidRDefault="008C5F61" w:rsidP="00FD087D">
      <w:r>
        <w:separator/>
      </w:r>
    </w:p>
  </w:endnote>
  <w:endnote w:type="continuationSeparator" w:id="0">
    <w:p w14:paraId="3331E9E5" w14:textId="77777777" w:rsidR="008C5F61" w:rsidRDefault="008C5F61"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6252B" w14:textId="77777777" w:rsidR="008C5F61" w:rsidRDefault="008C5F61" w:rsidP="00FD087D">
      <w:r>
        <w:separator/>
      </w:r>
    </w:p>
  </w:footnote>
  <w:footnote w:type="continuationSeparator" w:id="0">
    <w:p w14:paraId="6CE1C97D" w14:textId="77777777" w:rsidR="008C5F61" w:rsidRDefault="008C5F61" w:rsidP="00FD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24741"/>
    <w:rsid w:val="0033189A"/>
    <w:rsid w:val="0033227D"/>
    <w:rsid w:val="0034266A"/>
    <w:rsid w:val="0034417B"/>
    <w:rsid w:val="00351A93"/>
    <w:rsid w:val="0035494F"/>
    <w:rsid w:val="00354B89"/>
    <w:rsid w:val="00354FA3"/>
    <w:rsid w:val="00356A2B"/>
    <w:rsid w:val="00366F52"/>
    <w:rsid w:val="00391A24"/>
    <w:rsid w:val="003961B2"/>
    <w:rsid w:val="003B54E1"/>
    <w:rsid w:val="003C0E4F"/>
    <w:rsid w:val="003E0B36"/>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5F61"/>
    <w:rsid w:val="008D0789"/>
    <w:rsid w:val="008D6AE1"/>
    <w:rsid w:val="008E5031"/>
    <w:rsid w:val="008F7EF4"/>
    <w:rsid w:val="00905E3A"/>
    <w:rsid w:val="0090635B"/>
    <w:rsid w:val="00911E05"/>
    <w:rsid w:val="00911EFA"/>
    <w:rsid w:val="009131E4"/>
    <w:rsid w:val="009169C4"/>
    <w:rsid w:val="00916E49"/>
    <w:rsid w:val="0092208E"/>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1C4F"/>
    <w:rsid w:val="009D2BB2"/>
    <w:rsid w:val="009E0E57"/>
    <w:rsid w:val="009E13FE"/>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CF7693"/>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0"/>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customStyle="1" w:styleId="GridTable4Accent1">
    <w:name w:val="Grid Table 4 Accent 1"/>
    <w:basedOn w:val="TableNormal"/>
    <w:uiPriority w:val="49"/>
    <w:rsid w:val="00EF6231"/>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0"/>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customStyle="1" w:styleId="GridTable4Accent1">
    <w:name w:val="Grid Table 4 Accent 1"/>
    <w:basedOn w:val="TableNormal"/>
    <w:uiPriority w:val="49"/>
    <w:rsid w:val="00EF6231"/>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11102</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2021-04-12T19:13:00Z</dcterms:created>
  <dcterms:modified xsi:type="dcterms:W3CDTF">2021-04-12T19:13:00Z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관련\RAN1#104b-e\Rel-16 eMIMO\email#1\R1-xxxxxx Summary on eMIMO1 v007_Intel_Nokia.docx</vt:lpwstr>
  </property>
</Properties>
</file>