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D9B79" w14:textId="23393C45" w:rsidR="00AD78D0" w:rsidRPr="00FE0072" w:rsidRDefault="00AD78D0" w:rsidP="00AD78D0">
      <w:pPr>
        <w:pStyle w:val="aff3"/>
        <w:snapToGrid w:val="0"/>
        <w:ind w:left="2384" w:hangingChars="993" w:hanging="2384"/>
        <w:rPr>
          <w:rFonts w:ascii="Arial" w:hAnsi="Arial" w:cs="Arial"/>
          <w:b/>
          <w:bCs/>
          <w:sz w:val="24"/>
          <w:szCs w:val="24"/>
          <w:lang w:val="en-GB"/>
        </w:rPr>
      </w:pPr>
      <w:bookmarkStart w:id="0" w:name="OLE_LINK2"/>
      <w:bookmarkStart w:id="1" w:name="OLE_LINK3"/>
      <w:r w:rsidRPr="00FE0072">
        <w:rPr>
          <w:rFonts w:ascii="Arial" w:hAnsi="Arial" w:cs="Arial"/>
          <w:b/>
          <w:bCs/>
          <w:sz w:val="24"/>
          <w:szCs w:val="24"/>
          <w:lang w:val="en-GB"/>
        </w:rPr>
        <w:t>3GPP TSG RAN WG1 #104b-e</w:t>
      </w:r>
      <w:r w:rsidRPr="00FE0072">
        <w:rPr>
          <w:rFonts w:ascii="Arial" w:hAnsi="Arial" w:cs="Arial"/>
          <w:b/>
          <w:bCs/>
          <w:sz w:val="24"/>
          <w:szCs w:val="24"/>
          <w:lang w:val="en-GB"/>
        </w:rPr>
        <w:tab/>
      </w:r>
      <w:r w:rsidRPr="00FE0072">
        <w:rPr>
          <w:rFonts w:ascii="Arial" w:hAnsi="Arial" w:cs="Arial"/>
          <w:b/>
          <w:bCs/>
          <w:sz w:val="24"/>
          <w:szCs w:val="24"/>
          <w:lang w:val="en-GB"/>
        </w:rPr>
        <w:tab/>
      </w:r>
      <w:r w:rsidRPr="00FE007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C241AE" w:rsidRPr="00C241AE">
        <w:rPr>
          <w:rFonts w:ascii="Arial" w:hAnsi="Arial" w:cs="Arial"/>
          <w:b/>
          <w:bCs/>
          <w:sz w:val="24"/>
          <w:szCs w:val="24"/>
          <w:lang w:val="en-GB"/>
        </w:rPr>
        <w:t>R1-2103526</w:t>
      </w:r>
      <w:bookmarkStart w:id="2" w:name="_GoBack"/>
      <w:bookmarkEnd w:id="2"/>
    </w:p>
    <w:p w14:paraId="78526EFC" w14:textId="77777777" w:rsidR="00AD78D0" w:rsidRDefault="00AD78D0" w:rsidP="00AD78D0">
      <w:pPr>
        <w:pStyle w:val="aff3"/>
        <w:snapToGrid w:val="0"/>
        <w:ind w:left="2384" w:hangingChars="993" w:hanging="2384"/>
        <w:rPr>
          <w:rFonts w:ascii="Arial" w:hAnsi="Arial" w:cs="Arial"/>
          <w:b/>
          <w:bCs/>
          <w:sz w:val="24"/>
          <w:szCs w:val="24"/>
          <w:lang w:val="en-GB"/>
        </w:rPr>
      </w:pPr>
      <w:r w:rsidRPr="00FE0072">
        <w:rPr>
          <w:rFonts w:ascii="Arial" w:hAnsi="Arial" w:cs="Arial"/>
          <w:b/>
          <w:bCs/>
          <w:sz w:val="24"/>
          <w:szCs w:val="24"/>
          <w:lang w:val="en-GB"/>
        </w:rPr>
        <w:t>e-Meeting, April 12th – 20th, 2021</w:t>
      </w:r>
    </w:p>
    <w:p w14:paraId="317E1240" w14:textId="77777777" w:rsidR="006A6600" w:rsidRPr="00AD78D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2EB93F6D"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555378">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73F75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7F312E">
        <w:rPr>
          <w:rFonts w:ascii="Arial" w:eastAsiaTheme="minorEastAsia" w:hAnsi="Arial" w:cs="Arial"/>
          <w:b/>
          <w:bCs/>
          <w:sz w:val="24"/>
          <w:szCs w:val="24"/>
          <w:lang w:val="en-GB" w:eastAsia="zh-CN"/>
        </w:rPr>
        <w:t>CSI</w:t>
      </w:r>
      <w:r w:rsidR="00B65AA6">
        <w:rPr>
          <w:rFonts w:ascii="Arial" w:eastAsiaTheme="minorEastAsia" w:hAnsi="Arial" w:cs="Arial"/>
          <w:b/>
          <w:bCs/>
          <w:sz w:val="24"/>
          <w:szCs w:val="24"/>
          <w:lang w:val="en-GB" w:eastAsia="zh-CN"/>
        </w:rPr>
        <w:t xml:space="preserve"> enhancement</w:t>
      </w:r>
      <w:r w:rsidR="007F312E">
        <w:rPr>
          <w:rFonts w:ascii="Arial" w:eastAsiaTheme="minorEastAsia" w:hAnsi="Arial" w:cs="Arial"/>
          <w:b/>
          <w:bCs/>
          <w:sz w:val="24"/>
          <w:szCs w:val="24"/>
          <w:lang w:val="en-GB" w:eastAsia="zh-CN"/>
        </w:rPr>
        <w:t xml:space="preserve"> for multi-TRP transmission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77D9C19" w14:textId="7C0F1A66" w:rsidR="00DD628B" w:rsidRDefault="00DD628B" w:rsidP="00DD628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187312">
        <w:rPr>
          <w:rFonts w:eastAsia="宋体"/>
          <w:color w:val="000000" w:themeColor="text1"/>
          <w:sz w:val="22"/>
          <w:szCs w:val="22"/>
          <w:lang w:eastAsia="zh-CN"/>
        </w:rPr>
        <w:t>4</w:t>
      </w:r>
      <w:r>
        <w:rPr>
          <w:rFonts w:eastAsia="宋体"/>
          <w:color w:val="000000" w:themeColor="text1"/>
          <w:sz w:val="22"/>
          <w:szCs w:val="22"/>
          <w:lang w:eastAsia="zh-CN"/>
        </w:rPr>
        <w:t xml:space="preserve">e meeting [1], agreement </w:t>
      </w:r>
      <w:r w:rsidR="00B9523E">
        <w:rPr>
          <w:rFonts w:eastAsia="宋体"/>
          <w:color w:val="000000" w:themeColor="text1"/>
          <w:sz w:val="22"/>
          <w:szCs w:val="22"/>
          <w:lang w:eastAsia="zh-CN"/>
        </w:rPr>
        <w:t>of CSI enhancements for multi-TRP</w:t>
      </w:r>
      <w:r>
        <w:rPr>
          <w:rFonts w:eastAsia="宋体"/>
          <w:color w:val="000000" w:themeColor="text1"/>
          <w:sz w:val="22"/>
          <w:szCs w:val="22"/>
          <w:lang w:eastAsia="zh-CN"/>
        </w:rPr>
        <w:t xml:space="preserve"> w</w:t>
      </w:r>
      <w:r w:rsidR="007B64AE">
        <w:rPr>
          <w:rFonts w:eastAsia="宋体"/>
          <w:color w:val="000000" w:themeColor="text1"/>
          <w:sz w:val="22"/>
          <w:szCs w:val="22"/>
          <w:lang w:eastAsia="zh-CN"/>
        </w:rPr>
        <w:t>as</w:t>
      </w:r>
      <w:r>
        <w:rPr>
          <w:rFonts w:eastAsia="宋体"/>
          <w:color w:val="000000" w:themeColor="text1"/>
          <w:sz w:val="22"/>
          <w:szCs w:val="22"/>
          <w:lang w:eastAsia="zh-CN"/>
        </w:rPr>
        <w:t xml:space="preserve"> achieved as:</w:t>
      </w:r>
    </w:p>
    <w:p w14:paraId="40A91ECE" w14:textId="77777777" w:rsidR="00187312" w:rsidRPr="00182A35" w:rsidRDefault="00187312" w:rsidP="00187312">
      <w:pPr>
        <w:snapToGrid w:val="0"/>
        <w:spacing w:after="0"/>
        <w:rPr>
          <w:rFonts w:cs="Times"/>
          <w:b/>
          <w:bCs/>
          <w:highlight w:val="green"/>
          <w:lang w:eastAsia="x-none"/>
        </w:rPr>
      </w:pPr>
      <w:bookmarkStart w:id="7" w:name="OLE_LINK9"/>
      <w:bookmarkStart w:id="8" w:name="OLE_LINK10"/>
      <w:r w:rsidRPr="00182A35">
        <w:rPr>
          <w:b/>
          <w:bCs/>
          <w:highlight w:val="green"/>
          <w:lang w:eastAsia="x-none"/>
        </w:rPr>
        <w:t>Agreement</w:t>
      </w:r>
    </w:p>
    <w:p w14:paraId="330FA259" w14:textId="77777777" w:rsidR="00187312" w:rsidRPr="00182A35" w:rsidRDefault="00187312" w:rsidP="00187312">
      <w:pPr>
        <w:snapToGrid w:val="0"/>
        <w:spacing w:after="0"/>
        <w:jc w:val="both"/>
        <w:rPr>
          <w:iCs/>
        </w:rPr>
      </w:pPr>
      <w:r w:rsidRPr="00182A35">
        <w:rPr>
          <w:iCs/>
        </w:rPr>
        <w:t>For CSI measurement associated to a reporting setting CSI-ReportConfig for NCJT, the UE can be configured with K</w:t>
      </w:r>
      <w:r w:rsidRPr="00182A35">
        <w:rPr>
          <w:iCs/>
          <w:vertAlign w:val="subscript"/>
        </w:rPr>
        <w:t>s</w:t>
      </w:r>
      <w:r w:rsidRPr="00182A35">
        <w:rPr>
          <w:iCs/>
        </w:rPr>
        <w:t xml:space="preserve"> ≥ 2 NZP CSI-RS resources in a CSI-RS resource set for CMR and N ≥ 1 NZP CSI-RS resource pairs whereas each pair is used for a NCJT measurement hypothesis </w:t>
      </w:r>
    </w:p>
    <w:p w14:paraId="79D3FE2E" w14:textId="77777777" w:rsidR="00187312" w:rsidRPr="00182A35" w:rsidRDefault="00187312" w:rsidP="00187312">
      <w:pPr>
        <w:pStyle w:val="a7"/>
        <w:numPr>
          <w:ilvl w:val="0"/>
          <w:numId w:val="25"/>
        </w:numPr>
        <w:autoSpaceDE w:val="0"/>
        <w:autoSpaceDN w:val="0"/>
        <w:adjustRightInd w:val="0"/>
        <w:snapToGrid w:val="0"/>
        <w:spacing w:after="0" w:line="276" w:lineRule="auto"/>
        <w:contextualSpacing w:val="0"/>
        <w:jc w:val="both"/>
        <w:rPr>
          <w:rFonts w:eastAsia="Malgun Gothic"/>
          <w:iCs/>
        </w:rPr>
      </w:pPr>
      <w:r w:rsidRPr="00182A35">
        <w:rPr>
          <w:rFonts w:eastAsia="Malgun Gothic"/>
          <w:iCs/>
        </w:rPr>
        <w:t>Configure UE with two CMR groups with K</w:t>
      </w:r>
      <w:r w:rsidRPr="00182A35">
        <w:rPr>
          <w:rFonts w:eastAsia="Malgun Gothic"/>
          <w:iCs/>
          <w:vertAlign w:val="subscript"/>
        </w:rPr>
        <w:t>s</w:t>
      </w:r>
      <w:r>
        <w:rPr>
          <w:rFonts w:eastAsia="Malgun Gothic"/>
          <w:iCs/>
        </w:rPr>
        <w:t>=</w:t>
      </w:r>
      <w:r w:rsidRPr="00182A35">
        <w:rPr>
          <w:rFonts w:eastAsia="Malgun Gothic"/>
          <w:iCs/>
        </w:rPr>
        <w:t>K</w:t>
      </w:r>
      <w:r w:rsidRPr="00182A35">
        <w:rPr>
          <w:rFonts w:eastAsia="Malgun Gothic"/>
          <w:iCs/>
          <w:vertAlign w:val="subscript"/>
        </w:rPr>
        <w:t>1</w:t>
      </w:r>
      <w:r w:rsidRPr="00182A35">
        <w:rPr>
          <w:rFonts w:eastAsia="Malgun Gothic"/>
          <w:iCs/>
        </w:rPr>
        <w:t>+K</w:t>
      </w:r>
      <w:r w:rsidRPr="00182A35">
        <w:rPr>
          <w:rFonts w:eastAsia="Malgun Gothic"/>
          <w:iCs/>
          <w:vertAlign w:val="subscript"/>
        </w:rPr>
        <w:t xml:space="preserve">2 </w:t>
      </w:r>
      <w:r w:rsidRPr="00182A35">
        <w:rPr>
          <w:rFonts w:eastAsia="Malgun Gothic"/>
          <w:iCs/>
        </w:rPr>
        <w:t xml:space="preserve">CMRs. CMR pairs are determined from two CMR groups by following method(s). </w:t>
      </w:r>
    </w:p>
    <w:p w14:paraId="54CB2059" w14:textId="77777777" w:rsidR="00187312" w:rsidRPr="00182A35" w:rsidRDefault="00187312" w:rsidP="00187312">
      <w:pPr>
        <w:numPr>
          <w:ilvl w:val="1"/>
          <w:numId w:val="25"/>
        </w:numPr>
        <w:snapToGrid w:val="0"/>
        <w:spacing w:after="0" w:line="276" w:lineRule="auto"/>
        <w:rPr>
          <w:rFonts w:eastAsia="Malgun Gothic"/>
          <w:iCs/>
        </w:rPr>
      </w:pPr>
      <w:r w:rsidRPr="00182A35">
        <w:rPr>
          <w:rFonts w:eastAsia="Malgun Gothic"/>
          <w:iCs/>
        </w:rPr>
        <w:t>K</w:t>
      </w:r>
      <w:r w:rsidRPr="00182A35">
        <w:rPr>
          <w:rFonts w:eastAsia="Malgun Gothic"/>
          <w:iCs/>
          <w:vertAlign w:val="subscript"/>
        </w:rPr>
        <w:t>1</w:t>
      </w:r>
      <w:r w:rsidRPr="00182A35">
        <w:rPr>
          <w:rFonts w:eastAsia="Malgun Gothic"/>
          <w:iCs/>
        </w:rPr>
        <w:t xml:space="preserve"> and K</w:t>
      </w:r>
      <w:r w:rsidRPr="00182A35">
        <w:rPr>
          <w:rFonts w:eastAsia="Malgun Gothic"/>
          <w:iCs/>
          <w:vertAlign w:val="subscript"/>
        </w:rPr>
        <w:t>2</w:t>
      </w:r>
      <w:r w:rsidRPr="00182A35">
        <w:rPr>
          <w:rFonts w:eastAsia="Malgun Gothic"/>
          <w:iCs/>
        </w:rPr>
        <w:t xml:space="preserve"> are the number of CMRs in two groups respectively. FFS K</w:t>
      </w:r>
      <w:r w:rsidRPr="00182A35">
        <w:rPr>
          <w:rFonts w:eastAsia="Malgun Gothic"/>
          <w:iCs/>
          <w:vertAlign w:val="subscript"/>
        </w:rPr>
        <w:t>1</w:t>
      </w:r>
      <w:r w:rsidRPr="00182A35">
        <w:rPr>
          <w:rFonts w:eastAsia="Malgun Gothic"/>
          <w:iCs/>
        </w:rPr>
        <w:t>=K</w:t>
      </w:r>
      <w:r w:rsidRPr="00182A35">
        <w:rPr>
          <w:rFonts w:eastAsia="Malgun Gothic"/>
          <w:iCs/>
          <w:vertAlign w:val="subscript"/>
        </w:rPr>
        <w:t>2</w:t>
      </w:r>
      <w:r w:rsidRPr="00182A35">
        <w:rPr>
          <w:rFonts w:eastAsia="Malgun Gothic"/>
          <w:iCs/>
        </w:rPr>
        <w:t xml:space="preserve"> or different K</w:t>
      </w:r>
      <w:r w:rsidRPr="00182A35">
        <w:rPr>
          <w:rFonts w:eastAsia="Malgun Gothic"/>
          <w:iCs/>
          <w:vertAlign w:val="subscript"/>
        </w:rPr>
        <w:t>1</w:t>
      </w:r>
      <w:r w:rsidRPr="00182A35">
        <w:rPr>
          <w:rFonts w:eastAsia="Malgun Gothic"/>
          <w:iCs/>
        </w:rPr>
        <w:t>/K</w:t>
      </w:r>
      <w:r w:rsidRPr="00182A35">
        <w:rPr>
          <w:rFonts w:eastAsia="Malgun Gothic"/>
          <w:iCs/>
          <w:vertAlign w:val="subscript"/>
        </w:rPr>
        <w:t>2</w:t>
      </w:r>
      <w:r w:rsidRPr="00182A35">
        <w:rPr>
          <w:rFonts w:eastAsia="Malgun Gothic"/>
          <w:iCs/>
        </w:rPr>
        <w:t>.</w:t>
      </w:r>
    </w:p>
    <w:p w14:paraId="0FA4D711" w14:textId="77777777" w:rsidR="00187312" w:rsidRPr="00182A35" w:rsidRDefault="00187312" w:rsidP="00187312">
      <w:pPr>
        <w:numPr>
          <w:ilvl w:val="1"/>
          <w:numId w:val="25"/>
        </w:numPr>
        <w:snapToGrid w:val="0"/>
        <w:spacing w:after="0" w:line="276" w:lineRule="auto"/>
        <w:rPr>
          <w:rFonts w:eastAsia="Malgun Gothic"/>
          <w:iCs/>
        </w:rPr>
      </w:pPr>
      <w:r w:rsidRPr="00182A35">
        <w:rPr>
          <w:rFonts w:eastAsia="Malgun Gothic"/>
          <w:iCs/>
        </w:rPr>
        <w:t>Note that CMRs in each CMR group can be used for both NCJT and Single-TRP measurement hypotheses</w:t>
      </w:r>
    </w:p>
    <w:p w14:paraId="41DB6DC2" w14:textId="77777777" w:rsidR="00187312" w:rsidRPr="00182A35" w:rsidRDefault="00187312" w:rsidP="00187312">
      <w:pPr>
        <w:numPr>
          <w:ilvl w:val="1"/>
          <w:numId w:val="25"/>
        </w:numPr>
        <w:snapToGrid w:val="0"/>
        <w:spacing w:after="0" w:line="276" w:lineRule="auto"/>
        <w:rPr>
          <w:rFonts w:eastAsia="Malgun Gothic"/>
          <w:iCs/>
        </w:rPr>
      </w:pPr>
      <w:r w:rsidRPr="00182A35">
        <w:rPr>
          <w:rFonts w:eastAsia="Malgun Gothic"/>
          <w:iCs/>
        </w:rPr>
        <w:t>N CMR pairs are higher-layer configured by selecting from all possible pairs</w:t>
      </w:r>
    </w:p>
    <w:p w14:paraId="1A0E895D" w14:textId="77777777" w:rsidR="00187312" w:rsidRPr="00182A35" w:rsidRDefault="00187312" w:rsidP="00187312">
      <w:pPr>
        <w:pStyle w:val="a7"/>
        <w:numPr>
          <w:ilvl w:val="2"/>
          <w:numId w:val="25"/>
        </w:numPr>
        <w:snapToGrid w:val="0"/>
        <w:spacing w:after="0"/>
        <w:contextualSpacing w:val="0"/>
        <w:rPr>
          <w:rFonts w:eastAsia="Malgun Gothic"/>
          <w:iCs/>
          <w:lang w:eastAsia="ko-KR"/>
        </w:rPr>
      </w:pPr>
      <w:r w:rsidRPr="00182A35">
        <w:rPr>
          <w:rFonts w:eastAsia="Malgun Gothic"/>
          <w:iCs/>
          <w:lang w:eastAsia="ko-KR"/>
        </w:rPr>
        <w:t>signalling mechanism can be discussed further, e.g. using a bitmap</w:t>
      </w:r>
    </w:p>
    <w:p w14:paraId="3AB87F1D" w14:textId="77777777" w:rsidR="00187312" w:rsidRPr="00182A35" w:rsidRDefault="00187312" w:rsidP="00187312">
      <w:pPr>
        <w:pStyle w:val="a7"/>
        <w:numPr>
          <w:ilvl w:val="2"/>
          <w:numId w:val="25"/>
        </w:numPr>
        <w:snapToGrid w:val="0"/>
        <w:spacing w:after="0"/>
        <w:contextualSpacing w:val="0"/>
        <w:rPr>
          <w:rFonts w:eastAsia="Malgun Gothic"/>
          <w:iCs/>
          <w:lang w:eastAsia="ko-KR"/>
        </w:rPr>
      </w:pPr>
      <w:r w:rsidRPr="00182A35">
        <w:rPr>
          <w:rFonts w:eastAsia="Malgun Gothic"/>
          <w:iCs/>
          <w:lang w:eastAsia="ko-KR"/>
        </w:rPr>
        <w:t>FFS: Whether MAC-CE or RRC+MAC CE indication is needed</w:t>
      </w:r>
    </w:p>
    <w:p w14:paraId="52F15C91" w14:textId="77777777" w:rsidR="00187312" w:rsidRPr="00182A35" w:rsidRDefault="00187312" w:rsidP="00187312">
      <w:pPr>
        <w:pStyle w:val="a7"/>
        <w:numPr>
          <w:ilvl w:val="2"/>
          <w:numId w:val="25"/>
        </w:numPr>
        <w:snapToGrid w:val="0"/>
        <w:spacing w:after="0"/>
        <w:contextualSpacing w:val="0"/>
        <w:rPr>
          <w:rFonts w:eastAsia="Malgun Gothic"/>
          <w:iCs/>
          <w:lang w:eastAsia="ko-KR"/>
        </w:rPr>
      </w:pPr>
      <w:r w:rsidRPr="00182A35">
        <w:rPr>
          <w:rFonts w:eastAsia="Malgun Gothic"/>
          <w:iCs/>
          <w:lang w:eastAsia="ko-KR"/>
        </w:rPr>
        <w:t>FFS: how to support NCJT measurement hypotheses in FR2</w:t>
      </w:r>
    </w:p>
    <w:p w14:paraId="10790923" w14:textId="77777777" w:rsidR="00187312" w:rsidRPr="00182A35" w:rsidRDefault="00187312" w:rsidP="00187312">
      <w:pPr>
        <w:pStyle w:val="a7"/>
        <w:numPr>
          <w:ilvl w:val="0"/>
          <w:numId w:val="25"/>
        </w:numPr>
        <w:autoSpaceDE w:val="0"/>
        <w:autoSpaceDN w:val="0"/>
        <w:adjustRightInd w:val="0"/>
        <w:snapToGrid w:val="0"/>
        <w:spacing w:after="0" w:line="276" w:lineRule="auto"/>
        <w:contextualSpacing w:val="0"/>
        <w:jc w:val="both"/>
        <w:rPr>
          <w:rFonts w:eastAsia="Malgun Gothic"/>
          <w:iCs/>
        </w:rPr>
      </w:pPr>
      <w:r w:rsidRPr="00182A35">
        <w:rPr>
          <w:rFonts w:eastAsia="Malgun Gothic"/>
          <w:iCs/>
        </w:rPr>
        <w:t>Support N=1 and Ks =2, FFS other maximal values of N&gt;1 and K</w:t>
      </w:r>
      <w:r w:rsidRPr="00182A35">
        <w:rPr>
          <w:rFonts w:eastAsia="Malgun Gothic"/>
          <w:iCs/>
          <w:vertAlign w:val="subscript"/>
        </w:rPr>
        <w:t>s</w:t>
      </w:r>
      <w:r w:rsidRPr="00182A35">
        <w:rPr>
          <w:rFonts w:eastAsia="Malgun Gothic"/>
          <w:iCs/>
        </w:rPr>
        <w:t xml:space="preserve">&gt;2  </w:t>
      </w:r>
    </w:p>
    <w:p w14:paraId="0E602AC1" w14:textId="77777777" w:rsidR="00187312" w:rsidRPr="00182A35" w:rsidRDefault="00187312" w:rsidP="00187312">
      <w:pPr>
        <w:pStyle w:val="a7"/>
        <w:numPr>
          <w:ilvl w:val="0"/>
          <w:numId w:val="25"/>
        </w:numPr>
        <w:autoSpaceDE w:val="0"/>
        <w:autoSpaceDN w:val="0"/>
        <w:adjustRightInd w:val="0"/>
        <w:snapToGrid w:val="0"/>
        <w:spacing w:after="0" w:line="276" w:lineRule="auto"/>
        <w:contextualSpacing w:val="0"/>
        <w:jc w:val="both"/>
        <w:rPr>
          <w:rFonts w:eastAsia="Malgun Gothic"/>
          <w:iCs/>
        </w:rPr>
      </w:pPr>
      <w:r w:rsidRPr="00182A35">
        <w:rPr>
          <w:rFonts w:eastAsia="Malgun Gothic"/>
          <w:iCs/>
        </w:rPr>
        <w:t>Note: for CPU/resource/port occupation, NCJT hypothesis is considered separately from single TRP hypothesis</w:t>
      </w:r>
    </w:p>
    <w:p w14:paraId="4905657F" w14:textId="77777777" w:rsidR="00187312" w:rsidRPr="00182A35" w:rsidRDefault="00187312" w:rsidP="00187312">
      <w:pPr>
        <w:snapToGrid w:val="0"/>
        <w:spacing w:after="0"/>
        <w:rPr>
          <w:b/>
          <w:bCs/>
          <w:lang w:eastAsia="x-none"/>
        </w:rPr>
      </w:pPr>
      <w:r w:rsidRPr="00182A35">
        <w:rPr>
          <w:b/>
          <w:bCs/>
          <w:highlight w:val="green"/>
          <w:lang w:eastAsia="x-none"/>
        </w:rPr>
        <w:t>Agreement</w:t>
      </w:r>
    </w:p>
    <w:p w14:paraId="6F1395E5" w14:textId="77777777" w:rsidR="00187312" w:rsidRPr="00182A35" w:rsidRDefault="00187312" w:rsidP="00187312">
      <w:pPr>
        <w:pStyle w:val="a7"/>
        <w:numPr>
          <w:ilvl w:val="0"/>
          <w:numId w:val="27"/>
        </w:numPr>
        <w:snapToGrid w:val="0"/>
        <w:spacing w:after="0"/>
        <w:contextualSpacing w:val="0"/>
        <w:rPr>
          <w:iCs/>
          <w:szCs w:val="22"/>
        </w:rPr>
      </w:pPr>
      <w:r w:rsidRPr="00182A35">
        <w:rPr>
          <w:iCs/>
          <w:szCs w:val="22"/>
        </w:rPr>
        <w:t xml:space="preserve">Strive to agree at most one of the following options, if needed </w:t>
      </w:r>
    </w:p>
    <w:p w14:paraId="5D6A6D72" w14:textId="77777777" w:rsidR="00187312" w:rsidRPr="00182A35" w:rsidRDefault="00187312" w:rsidP="00187312">
      <w:pPr>
        <w:pStyle w:val="a7"/>
        <w:numPr>
          <w:ilvl w:val="1"/>
          <w:numId w:val="27"/>
        </w:numPr>
        <w:snapToGrid w:val="0"/>
        <w:spacing w:after="0"/>
        <w:contextualSpacing w:val="0"/>
        <w:rPr>
          <w:iCs/>
          <w:szCs w:val="22"/>
        </w:rPr>
      </w:pPr>
      <w:r w:rsidRPr="00182A35">
        <w:rPr>
          <w:iCs/>
          <w:szCs w:val="22"/>
        </w:rPr>
        <w:t xml:space="preserve">Option 1: Confirm the Working Assumption from RAN1 103e. </w:t>
      </w:r>
    </w:p>
    <w:p w14:paraId="56F5A6F9" w14:textId="77777777" w:rsidR="00187312" w:rsidRPr="00182A35" w:rsidRDefault="00187312" w:rsidP="00187312">
      <w:pPr>
        <w:pStyle w:val="a7"/>
        <w:numPr>
          <w:ilvl w:val="1"/>
          <w:numId w:val="27"/>
        </w:numPr>
        <w:snapToGrid w:val="0"/>
        <w:spacing w:after="0"/>
        <w:contextualSpacing w:val="0"/>
        <w:rPr>
          <w:iCs/>
          <w:szCs w:val="22"/>
        </w:rPr>
      </w:pPr>
      <w:r w:rsidRPr="00182A35">
        <w:rPr>
          <w:iCs/>
          <w:szCs w:val="22"/>
        </w:rPr>
        <w:t>Option 2: The UE can be expected to report one RI, one PMI, one LI and one CQI per TRP, up to 2 TRPs, for Multi-DCI based NCJT</w:t>
      </w:r>
    </w:p>
    <w:p w14:paraId="29138243" w14:textId="77777777" w:rsidR="00187312" w:rsidRPr="00182A35" w:rsidRDefault="00187312" w:rsidP="00187312">
      <w:pPr>
        <w:pStyle w:val="a7"/>
        <w:numPr>
          <w:ilvl w:val="0"/>
          <w:numId w:val="27"/>
        </w:numPr>
        <w:snapToGrid w:val="0"/>
        <w:spacing w:after="0"/>
        <w:contextualSpacing w:val="0"/>
        <w:rPr>
          <w:iCs/>
          <w:szCs w:val="22"/>
        </w:rPr>
      </w:pPr>
      <w:r w:rsidRPr="00182A35">
        <w:rPr>
          <w:iCs/>
          <w:szCs w:val="22"/>
        </w:rPr>
        <w:t>The time of decision is RAN1</w:t>
      </w:r>
      <w:r>
        <w:rPr>
          <w:iCs/>
          <w:szCs w:val="22"/>
        </w:rPr>
        <w:t>#</w:t>
      </w:r>
      <w:r w:rsidRPr="00182A35">
        <w:rPr>
          <w:iCs/>
          <w:szCs w:val="22"/>
        </w:rPr>
        <w:t>105e (May 2021)</w:t>
      </w:r>
    </w:p>
    <w:p w14:paraId="7D372000" w14:textId="77777777" w:rsidR="00187312" w:rsidRPr="00310E2E" w:rsidRDefault="00187312" w:rsidP="00187312">
      <w:pPr>
        <w:snapToGrid w:val="0"/>
        <w:spacing w:after="0"/>
        <w:rPr>
          <w:b/>
          <w:bCs/>
          <w:highlight w:val="green"/>
          <w:lang w:eastAsia="x-none"/>
        </w:rPr>
      </w:pPr>
      <w:r w:rsidRPr="00310E2E">
        <w:rPr>
          <w:b/>
          <w:bCs/>
          <w:highlight w:val="green"/>
          <w:lang w:eastAsia="x-none"/>
        </w:rPr>
        <w:t>Agreement</w:t>
      </w:r>
    </w:p>
    <w:p w14:paraId="46D3A034" w14:textId="77777777" w:rsidR="00187312" w:rsidRPr="00310E2E" w:rsidRDefault="00187312" w:rsidP="00187312">
      <w:pPr>
        <w:snapToGrid w:val="0"/>
        <w:spacing w:after="0"/>
        <w:jc w:val="both"/>
        <w:rPr>
          <w:rFonts w:cs="Times"/>
        </w:rPr>
      </w:pPr>
      <w:r w:rsidRPr="00310E2E">
        <w:rPr>
          <w:rFonts w:cs="Times"/>
        </w:rPr>
        <w:t>For a CSI report associated with a Multi-TRP/panel NCJT measurement hypothesis configured by single CSI reporting setting, support following two options:</w:t>
      </w:r>
    </w:p>
    <w:p w14:paraId="3FB5BCA3" w14:textId="77777777" w:rsidR="00187312" w:rsidRPr="00310E2E" w:rsidRDefault="00187312" w:rsidP="00187312">
      <w:pPr>
        <w:pStyle w:val="a7"/>
        <w:numPr>
          <w:ilvl w:val="0"/>
          <w:numId w:val="27"/>
        </w:numPr>
        <w:snapToGrid w:val="0"/>
        <w:spacing w:after="0"/>
        <w:contextualSpacing w:val="0"/>
        <w:rPr>
          <w:iCs/>
          <w:szCs w:val="22"/>
        </w:rPr>
      </w:pPr>
      <w:r w:rsidRPr="00310E2E">
        <w:rPr>
          <w:iCs/>
          <w:szCs w:val="22"/>
        </w:rPr>
        <w:t>Option 1: the UE can be configured to report X CSIs associated with single-TRP measurement hypotheses and one CSI associated with NCJT measurement hypothesis</w:t>
      </w:r>
    </w:p>
    <w:p w14:paraId="3A129993" w14:textId="77777777" w:rsidR="00187312" w:rsidRPr="00310E2E" w:rsidRDefault="00187312" w:rsidP="00187312">
      <w:pPr>
        <w:pStyle w:val="a7"/>
        <w:numPr>
          <w:ilvl w:val="1"/>
          <w:numId w:val="27"/>
        </w:numPr>
        <w:snapToGrid w:val="0"/>
        <w:spacing w:after="0"/>
        <w:contextualSpacing w:val="0"/>
        <w:rPr>
          <w:iCs/>
          <w:szCs w:val="22"/>
        </w:rPr>
      </w:pPr>
      <w:r w:rsidRPr="00310E2E">
        <w:rPr>
          <w:iCs/>
          <w:szCs w:val="22"/>
        </w:rPr>
        <w:t>X = 0, 1, 2</w:t>
      </w:r>
    </w:p>
    <w:p w14:paraId="769A6681" w14:textId="77777777" w:rsidR="00187312" w:rsidRPr="00310E2E" w:rsidRDefault="00187312" w:rsidP="00187312">
      <w:pPr>
        <w:pStyle w:val="a7"/>
        <w:numPr>
          <w:ilvl w:val="2"/>
          <w:numId w:val="27"/>
        </w:numPr>
        <w:snapToGrid w:val="0"/>
        <w:spacing w:after="0"/>
        <w:contextualSpacing w:val="0"/>
        <w:rPr>
          <w:iCs/>
          <w:szCs w:val="22"/>
        </w:rPr>
      </w:pPr>
      <w:r w:rsidRPr="00310E2E">
        <w:rPr>
          <w:iCs/>
          <w:szCs w:val="22"/>
        </w:rPr>
        <w:t>If X=2, two CSIs are associated with two different single-TRP measurement hypotheses with CMRs from different CMR groups</w:t>
      </w:r>
    </w:p>
    <w:p w14:paraId="1C5B555B" w14:textId="77777777" w:rsidR="00187312" w:rsidRPr="00310E2E" w:rsidRDefault="00187312" w:rsidP="00187312">
      <w:pPr>
        <w:pStyle w:val="a7"/>
        <w:numPr>
          <w:ilvl w:val="2"/>
          <w:numId w:val="27"/>
        </w:numPr>
        <w:snapToGrid w:val="0"/>
        <w:spacing w:after="0"/>
        <w:contextualSpacing w:val="0"/>
        <w:rPr>
          <w:iCs/>
          <w:szCs w:val="22"/>
        </w:rPr>
      </w:pPr>
      <w:r w:rsidRPr="00310E2E">
        <w:rPr>
          <w:iCs/>
          <w:szCs w:val="22"/>
        </w:rPr>
        <w:t>Support of X=1,2 is UE optional for the UE supporting option 1</w:t>
      </w:r>
    </w:p>
    <w:p w14:paraId="76E64C83" w14:textId="77777777" w:rsidR="00187312" w:rsidRPr="00310E2E" w:rsidRDefault="00187312" w:rsidP="00187312">
      <w:pPr>
        <w:pStyle w:val="a7"/>
        <w:numPr>
          <w:ilvl w:val="1"/>
          <w:numId w:val="27"/>
        </w:numPr>
        <w:snapToGrid w:val="0"/>
        <w:spacing w:after="0"/>
        <w:contextualSpacing w:val="0"/>
        <w:rPr>
          <w:iCs/>
          <w:szCs w:val="22"/>
        </w:rPr>
      </w:pPr>
      <w:r w:rsidRPr="00310E2E">
        <w:rPr>
          <w:iCs/>
          <w:szCs w:val="22"/>
        </w:rPr>
        <w:t>FFS omission of CSI associated with NCJT measurement hypothesis</w:t>
      </w:r>
    </w:p>
    <w:p w14:paraId="7C12303A" w14:textId="77777777" w:rsidR="00187312" w:rsidRPr="00310E2E" w:rsidRDefault="00187312" w:rsidP="00187312">
      <w:pPr>
        <w:pStyle w:val="a7"/>
        <w:numPr>
          <w:ilvl w:val="0"/>
          <w:numId w:val="27"/>
        </w:numPr>
        <w:snapToGrid w:val="0"/>
        <w:spacing w:after="0"/>
        <w:contextualSpacing w:val="0"/>
        <w:rPr>
          <w:iCs/>
          <w:szCs w:val="22"/>
        </w:rPr>
      </w:pPr>
      <w:r w:rsidRPr="00310E2E">
        <w:rPr>
          <w:iCs/>
          <w:szCs w:val="22"/>
        </w:rPr>
        <w:t>Option 2: the UE can be configured to report one CSI associated with the best one among NCJT and single-TRP measurement hypotheses</w:t>
      </w:r>
    </w:p>
    <w:p w14:paraId="60D11DF9" w14:textId="77777777" w:rsidR="00187312" w:rsidRPr="00310E2E" w:rsidRDefault="00187312" w:rsidP="00187312">
      <w:pPr>
        <w:pStyle w:val="a7"/>
        <w:numPr>
          <w:ilvl w:val="1"/>
          <w:numId w:val="27"/>
        </w:numPr>
        <w:snapToGrid w:val="0"/>
        <w:spacing w:after="0"/>
        <w:contextualSpacing w:val="0"/>
        <w:rPr>
          <w:iCs/>
          <w:szCs w:val="22"/>
        </w:rPr>
      </w:pPr>
      <w:r w:rsidRPr="00310E2E">
        <w:rPr>
          <w:iCs/>
          <w:szCs w:val="22"/>
        </w:rPr>
        <w:t>FFS how to report recommended measurement hypothesis associated with that CSI report</w:t>
      </w:r>
    </w:p>
    <w:p w14:paraId="4B1E7DEA" w14:textId="7B0A130E"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w:t>
      </w:r>
      <w:r w:rsidR="0093165E">
        <w:rPr>
          <w:rFonts w:eastAsiaTheme="minorEastAsia"/>
          <w:color w:val="000000" w:themeColor="text1"/>
          <w:sz w:val="22"/>
          <w:szCs w:val="22"/>
          <w:lang w:val="en-US" w:eastAsia="zh-CN"/>
        </w:rPr>
        <w:t xml:space="preserve">CSI </w:t>
      </w:r>
      <w:r w:rsidR="006A792E">
        <w:rPr>
          <w:rFonts w:eastAsiaTheme="minorEastAsia"/>
          <w:color w:val="000000" w:themeColor="text1"/>
          <w:sz w:val="22"/>
          <w:szCs w:val="22"/>
          <w:lang w:val="en-US" w:eastAsia="zh-CN"/>
        </w:rPr>
        <w:t>enhancement</w:t>
      </w:r>
      <w:r w:rsidR="0093165E">
        <w:rPr>
          <w:rFonts w:eastAsiaTheme="minorEastAsia"/>
          <w:color w:val="000000" w:themeColor="text1"/>
          <w:sz w:val="22"/>
          <w:szCs w:val="22"/>
          <w:lang w:val="en-US" w:eastAsia="zh-CN"/>
        </w:rPr>
        <w:t xml:space="preserve"> for multi-TRP transmission</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2B8952BD" w14:textId="372AB7CA" w:rsidR="006C3468" w:rsidRDefault="00EA1CBF" w:rsidP="003D08F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CSI measurement and reporting enhancement based on multi-TRP, </w:t>
      </w:r>
      <w:r w:rsidR="003D08F1">
        <w:rPr>
          <w:rFonts w:eastAsiaTheme="minorEastAsia"/>
          <w:color w:val="000000" w:themeColor="text1"/>
          <w:sz w:val="22"/>
          <w:szCs w:val="22"/>
          <w:lang w:val="en-US" w:eastAsia="zh-CN"/>
        </w:rPr>
        <w:t>two CMR groups were agreed, and regarding the CSI report associated with a multi-TRP/panel NCJT measurement hypothesis,</w:t>
      </w:r>
      <w:r w:rsidR="005B4761">
        <w:rPr>
          <w:rFonts w:eastAsiaTheme="minorEastAsia"/>
          <w:color w:val="000000" w:themeColor="text1"/>
          <w:sz w:val="22"/>
          <w:szCs w:val="22"/>
          <w:lang w:val="en-US" w:eastAsia="zh-CN"/>
        </w:rPr>
        <w:t xml:space="preserve"> </w:t>
      </w:r>
      <w:r w:rsidR="003D08F1">
        <w:rPr>
          <w:rFonts w:eastAsiaTheme="minorEastAsia"/>
          <w:color w:val="000000" w:themeColor="text1"/>
          <w:sz w:val="22"/>
          <w:szCs w:val="22"/>
          <w:lang w:val="en-US" w:eastAsia="zh-CN"/>
        </w:rPr>
        <w:t xml:space="preserve">there may be </w:t>
      </w:r>
      <w:r w:rsidR="005B4761">
        <w:rPr>
          <w:rFonts w:eastAsiaTheme="minorEastAsia"/>
          <w:color w:val="000000" w:themeColor="text1"/>
          <w:sz w:val="22"/>
          <w:szCs w:val="22"/>
          <w:lang w:val="en-US" w:eastAsia="zh-CN"/>
        </w:rPr>
        <w:t xml:space="preserve">one or more CSIs are related to single TRP </w:t>
      </w:r>
      <w:r w:rsidR="00296FE8">
        <w:rPr>
          <w:rFonts w:eastAsiaTheme="minorEastAsia"/>
          <w:color w:val="000000" w:themeColor="text1"/>
          <w:sz w:val="22"/>
          <w:szCs w:val="22"/>
          <w:lang w:val="en-US" w:eastAsia="zh-CN"/>
        </w:rPr>
        <w:t>measurement</w:t>
      </w:r>
      <w:r w:rsidR="005B4761">
        <w:rPr>
          <w:rFonts w:eastAsiaTheme="minorEastAsia"/>
          <w:color w:val="000000" w:themeColor="text1"/>
          <w:sz w:val="22"/>
          <w:szCs w:val="22"/>
          <w:lang w:val="en-US" w:eastAsia="zh-CN"/>
        </w:rPr>
        <w:t xml:space="preserve"> hypothesis or NCJT hypothesis.</w:t>
      </w:r>
      <w:r w:rsidR="00DF6A90">
        <w:rPr>
          <w:rFonts w:eastAsiaTheme="minorEastAsia"/>
          <w:color w:val="000000" w:themeColor="text1"/>
          <w:sz w:val="22"/>
          <w:szCs w:val="22"/>
          <w:lang w:val="en-US" w:eastAsia="zh-CN"/>
        </w:rPr>
        <w:t xml:space="preserve"> In current spec, dynamic switching between single-TRP and multi-TRP transmission schemes</w:t>
      </w:r>
      <w:r w:rsidR="006C3468">
        <w:rPr>
          <w:rFonts w:eastAsiaTheme="minorEastAsia"/>
          <w:color w:val="000000" w:themeColor="text1"/>
          <w:sz w:val="22"/>
          <w:szCs w:val="22"/>
          <w:lang w:val="en-US" w:eastAsia="zh-CN"/>
        </w:rPr>
        <w:t xml:space="preserve"> is supported</w:t>
      </w:r>
      <w:r w:rsidR="00DF6A90">
        <w:rPr>
          <w:rFonts w:eastAsiaTheme="minorEastAsia"/>
          <w:color w:val="000000" w:themeColor="text1"/>
          <w:sz w:val="22"/>
          <w:szCs w:val="22"/>
          <w:lang w:val="en-US" w:eastAsia="zh-CN"/>
        </w:rPr>
        <w:t>. And c</w:t>
      </w:r>
      <w:r w:rsidR="005B4761">
        <w:rPr>
          <w:rFonts w:eastAsiaTheme="minorEastAsia"/>
          <w:color w:val="000000" w:themeColor="text1"/>
          <w:sz w:val="22"/>
          <w:szCs w:val="22"/>
          <w:lang w:val="en-US" w:eastAsia="zh-CN"/>
        </w:rPr>
        <w:t>onsidering</w:t>
      </w:r>
      <w:r w:rsidR="0097773C">
        <w:rPr>
          <w:rFonts w:eastAsiaTheme="minorEastAsia"/>
          <w:color w:val="000000" w:themeColor="text1"/>
          <w:sz w:val="22"/>
          <w:szCs w:val="22"/>
          <w:lang w:val="en-US" w:eastAsia="zh-CN"/>
        </w:rPr>
        <w:t xml:space="preserve"> </w:t>
      </w:r>
      <w:r w:rsidR="008023F0">
        <w:rPr>
          <w:rFonts w:eastAsiaTheme="minorEastAsia"/>
          <w:color w:val="000000" w:themeColor="text1"/>
          <w:sz w:val="22"/>
          <w:szCs w:val="22"/>
          <w:lang w:val="en-US" w:eastAsia="zh-CN"/>
        </w:rPr>
        <w:t xml:space="preserve">the variable propagation environment and </w:t>
      </w:r>
      <w:r w:rsidR="00DF6A90">
        <w:rPr>
          <w:rFonts w:eastAsiaTheme="minorEastAsia"/>
          <w:color w:val="000000" w:themeColor="text1"/>
          <w:sz w:val="22"/>
          <w:szCs w:val="22"/>
          <w:lang w:val="en-US" w:eastAsia="zh-CN"/>
        </w:rPr>
        <w:t xml:space="preserve">scheduling requirement, </w:t>
      </w:r>
      <w:r w:rsidR="008023F0">
        <w:rPr>
          <w:rFonts w:eastAsiaTheme="minorEastAsia"/>
          <w:color w:val="000000" w:themeColor="text1"/>
          <w:sz w:val="22"/>
          <w:szCs w:val="22"/>
          <w:lang w:val="en-US" w:eastAsia="zh-CN"/>
        </w:rPr>
        <w:t>at least two CSIs are needed for CSI reporting,</w:t>
      </w:r>
      <w:r w:rsidR="00DF6A90">
        <w:rPr>
          <w:rFonts w:eastAsiaTheme="minorEastAsia"/>
          <w:color w:val="000000" w:themeColor="text1"/>
          <w:sz w:val="22"/>
          <w:szCs w:val="22"/>
          <w:lang w:val="en-US" w:eastAsia="zh-CN"/>
        </w:rPr>
        <w:t xml:space="preserve"> and one CSI is for single-TRP </w:t>
      </w:r>
      <w:r w:rsidR="00296FE8">
        <w:rPr>
          <w:rFonts w:eastAsiaTheme="minorEastAsia"/>
          <w:color w:val="000000" w:themeColor="text1"/>
          <w:sz w:val="22"/>
          <w:szCs w:val="22"/>
          <w:lang w:val="en-US" w:eastAsia="zh-CN"/>
        </w:rPr>
        <w:t xml:space="preserve">measurement </w:t>
      </w:r>
      <w:r w:rsidR="00DF6A90">
        <w:rPr>
          <w:rFonts w:eastAsiaTheme="minorEastAsia"/>
          <w:color w:val="000000" w:themeColor="text1"/>
          <w:sz w:val="22"/>
          <w:szCs w:val="22"/>
          <w:lang w:val="en-US" w:eastAsia="zh-CN"/>
        </w:rPr>
        <w:t xml:space="preserve">hypothesis, and the other one </w:t>
      </w:r>
      <w:r w:rsidR="00DF6A90">
        <w:rPr>
          <w:rFonts w:eastAsiaTheme="minorEastAsia" w:hint="eastAsia"/>
          <w:color w:val="000000" w:themeColor="text1"/>
          <w:sz w:val="22"/>
          <w:szCs w:val="22"/>
          <w:lang w:val="en-US" w:eastAsia="zh-CN"/>
        </w:rPr>
        <w:t>CSI</w:t>
      </w:r>
      <w:r w:rsidR="00DF6A90">
        <w:rPr>
          <w:rFonts w:eastAsiaTheme="minorEastAsia"/>
          <w:color w:val="000000" w:themeColor="text1"/>
          <w:sz w:val="22"/>
          <w:szCs w:val="22"/>
          <w:lang w:val="en-US" w:eastAsia="zh-CN"/>
        </w:rPr>
        <w:t xml:space="preserve"> is for NCJT hypothesis</w:t>
      </w:r>
      <w:r w:rsidR="0097773C">
        <w:rPr>
          <w:rFonts w:eastAsiaTheme="minorEastAsia"/>
          <w:color w:val="000000" w:themeColor="text1"/>
          <w:sz w:val="22"/>
          <w:szCs w:val="22"/>
          <w:lang w:val="en-US" w:eastAsia="zh-CN"/>
        </w:rPr>
        <w:t>.</w:t>
      </w:r>
      <w:r w:rsidR="006C3468">
        <w:rPr>
          <w:rFonts w:eastAsiaTheme="minorEastAsia"/>
          <w:color w:val="000000" w:themeColor="text1"/>
          <w:sz w:val="22"/>
          <w:szCs w:val="22"/>
          <w:lang w:val="en-US" w:eastAsia="zh-CN"/>
        </w:rPr>
        <w:t xml:space="preserve"> In addition, CSIs for both two single-TRP transmission hypotheses can provide</w:t>
      </w:r>
      <w:r w:rsidR="0097773C">
        <w:rPr>
          <w:rFonts w:eastAsiaTheme="minorEastAsia"/>
          <w:color w:val="000000" w:themeColor="text1"/>
          <w:sz w:val="22"/>
          <w:szCs w:val="22"/>
          <w:lang w:val="en-US" w:eastAsia="zh-CN"/>
        </w:rPr>
        <w:t xml:space="preserve"> </w:t>
      </w:r>
      <w:r w:rsidR="006C3468">
        <w:rPr>
          <w:rFonts w:eastAsiaTheme="minorEastAsia"/>
          <w:color w:val="000000" w:themeColor="text1"/>
          <w:sz w:val="22"/>
          <w:szCs w:val="22"/>
          <w:lang w:val="en-US" w:eastAsia="zh-CN"/>
        </w:rPr>
        <w:t xml:space="preserve">more flexibility for network </w:t>
      </w:r>
      <w:r w:rsidR="006C3468">
        <w:rPr>
          <w:rFonts w:eastAsiaTheme="minorEastAsia"/>
          <w:color w:val="000000" w:themeColor="text1"/>
          <w:sz w:val="22"/>
          <w:szCs w:val="22"/>
          <w:lang w:val="en-US" w:eastAsia="zh-CN"/>
        </w:rPr>
        <w:lastRenderedPageBreak/>
        <w:t xml:space="preserve">scheduling, for example, network can consider overload between TRPs, while the overhead for CSI report is larger. </w:t>
      </w:r>
      <w:r w:rsidR="003D08F1">
        <w:rPr>
          <w:rFonts w:eastAsiaTheme="minorEastAsia"/>
          <w:color w:val="000000" w:themeColor="text1"/>
          <w:sz w:val="22"/>
          <w:szCs w:val="22"/>
          <w:lang w:val="en-US" w:eastAsia="zh-CN"/>
        </w:rPr>
        <w:t>To efficiently utilize the multi-TRP measurement, we support configurable number of CSIs associated with single-TRP measurement hypothesis and one CSI associated with NCJT measurement hypothesis (i.e. Option 1).</w:t>
      </w:r>
      <w:r w:rsidR="006C3468">
        <w:rPr>
          <w:rFonts w:eastAsiaTheme="minorEastAsia"/>
          <w:color w:val="000000" w:themeColor="text1"/>
          <w:sz w:val="22"/>
          <w:szCs w:val="22"/>
          <w:lang w:val="en-US" w:eastAsia="zh-CN"/>
        </w:rPr>
        <w:t xml:space="preserve"> </w:t>
      </w:r>
    </w:p>
    <w:p w14:paraId="009B9857" w14:textId="6D14A8E1" w:rsidR="00330E31" w:rsidRDefault="00330E31" w:rsidP="00330E3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052384">
        <w:rPr>
          <w:rFonts w:eastAsiaTheme="minorEastAsia"/>
          <w:b/>
          <w:i/>
          <w:sz w:val="22"/>
          <w:szCs w:val="22"/>
          <w:lang w:val="en-US" w:eastAsia="zh-CN"/>
        </w:rPr>
        <w:t>1</w:t>
      </w:r>
      <w:r w:rsidRPr="00D373F8">
        <w:rPr>
          <w:rFonts w:eastAsiaTheme="minorEastAsia" w:hint="eastAsia"/>
          <w:b/>
          <w:i/>
          <w:sz w:val="22"/>
          <w:szCs w:val="22"/>
          <w:lang w:val="en-US" w:eastAsia="zh-CN"/>
        </w:rPr>
        <w:t>:</w:t>
      </w:r>
      <w:r w:rsidR="003D08F1">
        <w:rPr>
          <w:rFonts w:eastAsiaTheme="minorEastAsia"/>
          <w:b/>
          <w:i/>
          <w:sz w:val="22"/>
          <w:szCs w:val="22"/>
          <w:lang w:val="en-US" w:eastAsia="zh-CN"/>
        </w:rPr>
        <w:t xml:space="preserve"> For a CSI report </w:t>
      </w:r>
      <w:r w:rsidR="003D08F1" w:rsidRPr="003D08F1">
        <w:rPr>
          <w:rFonts w:eastAsiaTheme="minorEastAsia"/>
          <w:b/>
          <w:i/>
          <w:sz w:val="22"/>
          <w:szCs w:val="22"/>
          <w:lang w:val="en-US" w:eastAsia="zh-CN"/>
        </w:rPr>
        <w:t>associated with a Multi-TRP/panel NCJT measurement hypothesis</w:t>
      </w:r>
      <w:r>
        <w:rPr>
          <w:rFonts w:eastAsiaTheme="minorEastAsia"/>
          <w:b/>
          <w:i/>
          <w:sz w:val="22"/>
          <w:szCs w:val="22"/>
          <w:lang w:val="en-US" w:eastAsia="zh-CN"/>
        </w:rPr>
        <w:t xml:space="preserve">, </w:t>
      </w:r>
      <w:r w:rsidR="003D08F1">
        <w:rPr>
          <w:rFonts w:eastAsiaTheme="minorEastAsia"/>
          <w:b/>
          <w:i/>
          <w:sz w:val="22"/>
          <w:szCs w:val="22"/>
          <w:lang w:val="en-US" w:eastAsia="zh-CN"/>
        </w:rPr>
        <w:t>support Option 1 (</w:t>
      </w:r>
      <w:r w:rsidR="003D08F1" w:rsidRPr="003D08F1">
        <w:rPr>
          <w:rFonts w:eastAsiaTheme="minorEastAsia"/>
          <w:b/>
          <w:i/>
          <w:sz w:val="22"/>
          <w:szCs w:val="22"/>
          <w:lang w:val="en-US" w:eastAsia="zh-CN"/>
        </w:rPr>
        <w:t>the UE can be configured to report X CSIs associated with single-TRP measurement hypotheses and one CSI associated with NCJT measurement hypothesis</w:t>
      </w:r>
      <w:r w:rsidR="003D08F1">
        <w:rPr>
          <w:rFonts w:eastAsiaTheme="minorEastAsia"/>
          <w:b/>
          <w:i/>
          <w:sz w:val="22"/>
          <w:szCs w:val="22"/>
          <w:lang w:val="en-US" w:eastAsia="zh-CN"/>
        </w:rPr>
        <w:t>)</w:t>
      </w:r>
      <w:r>
        <w:rPr>
          <w:rFonts w:eastAsiaTheme="minorEastAsia"/>
          <w:b/>
          <w:i/>
          <w:sz w:val="22"/>
          <w:szCs w:val="22"/>
          <w:lang w:val="en-US" w:eastAsia="zh-CN"/>
        </w:rPr>
        <w:t>.</w:t>
      </w:r>
    </w:p>
    <w:p w14:paraId="3501D8A6" w14:textId="2BF66BBF" w:rsidR="003A35EB" w:rsidRDefault="00AE1018"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the</w:t>
      </w:r>
      <w:r w:rsidR="00531E5C">
        <w:rPr>
          <w:rFonts w:eastAsiaTheme="minorEastAsia"/>
          <w:color w:val="000000" w:themeColor="text1"/>
          <w:sz w:val="22"/>
          <w:szCs w:val="22"/>
          <w:lang w:val="en-US" w:eastAsia="zh-CN"/>
        </w:rPr>
        <w:t xml:space="preserve"> CSI reporting enhancement, first thing is the</w:t>
      </w:r>
      <w:r>
        <w:rPr>
          <w:rFonts w:eastAsiaTheme="minorEastAsia"/>
          <w:color w:val="000000" w:themeColor="text1"/>
          <w:sz w:val="22"/>
          <w:szCs w:val="22"/>
          <w:lang w:val="en-US" w:eastAsia="zh-CN"/>
        </w:rPr>
        <w:t xml:space="preserve"> CRI reporting, </w:t>
      </w:r>
      <w:r w:rsidR="00531E5C">
        <w:rPr>
          <w:rFonts w:eastAsiaTheme="minorEastAsia"/>
          <w:color w:val="000000" w:themeColor="text1"/>
          <w:sz w:val="22"/>
          <w:szCs w:val="22"/>
          <w:lang w:val="en-US" w:eastAsia="zh-CN"/>
        </w:rPr>
        <w:t xml:space="preserve">the payload size for CRI may be impacted </w:t>
      </w:r>
      <w:r w:rsidR="003E62EE">
        <w:rPr>
          <w:rFonts w:eastAsiaTheme="minorEastAsia"/>
          <w:color w:val="000000" w:themeColor="text1"/>
          <w:sz w:val="22"/>
          <w:szCs w:val="22"/>
          <w:lang w:val="en-US" w:eastAsia="zh-CN"/>
        </w:rPr>
        <w:t>based on the</w:t>
      </w:r>
      <w:r w:rsidR="00052384">
        <w:rPr>
          <w:rFonts w:eastAsiaTheme="minorEastAsia"/>
          <w:color w:val="000000" w:themeColor="text1"/>
          <w:sz w:val="22"/>
          <w:szCs w:val="22"/>
          <w:lang w:val="en-US" w:eastAsia="zh-CN"/>
        </w:rPr>
        <w:t xml:space="preserve"> agreed</w:t>
      </w:r>
      <w:r w:rsidR="003E62EE">
        <w:rPr>
          <w:rFonts w:eastAsiaTheme="minorEastAsia"/>
          <w:color w:val="000000" w:themeColor="text1"/>
          <w:sz w:val="22"/>
          <w:szCs w:val="22"/>
          <w:lang w:val="en-US" w:eastAsia="zh-CN"/>
        </w:rPr>
        <w:t xml:space="preserve"> structure of </w:t>
      </w:r>
      <w:r w:rsidR="00052384">
        <w:rPr>
          <w:rFonts w:eastAsiaTheme="minorEastAsia"/>
          <w:color w:val="000000" w:themeColor="text1"/>
          <w:sz w:val="22"/>
          <w:szCs w:val="22"/>
          <w:lang w:val="en-US" w:eastAsia="zh-CN"/>
        </w:rPr>
        <w:t>two CMR groups</w:t>
      </w:r>
      <w:r w:rsidR="00531E5C">
        <w:rPr>
          <w:rFonts w:eastAsiaTheme="minorEastAsia"/>
          <w:color w:val="000000" w:themeColor="text1"/>
          <w:sz w:val="22"/>
          <w:szCs w:val="22"/>
          <w:lang w:val="en-US" w:eastAsia="zh-CN"/>
        </w:rPr>
        <w:t>.</w:t>
      </w:r>
      <w:r w:rsidR="00546EE8">
        <w:rPr>
          <w:rFonts w:eastAsiaTheme="minorEastAsia"/>
          <w:color w:val="000000" w:themeColor="text1"/>
          <w:sz w:val="22"/>
          <w:szCs w:val="22"/>
          <w:lang w:val="en-US" w:eastAsia="zh-CN"/>
        </w:rPr>
        <w:t xml:space="preserve"> </w:t>
      </w:r>
      <w:r w:rsidR="00296FE8">
        <w:rPr>
          <w:rFonts w:eastAsiaTheme="minorEastAsia"/>
          <w:color w:val="000000" w:themeColor="text1"/>
          <w:sz w:val="22"/>
          <w:szCs w:val="22"/>
          <w:lang w:val="en-US" w:eastAsia="zh-CN"/>
        </w:rPr>
        <w:t xml:space="preserve">For NCJT hypothesis, </w:t>
      </w:r>
      <w:r w:rsidR="00052384">
        <w:rPr>
          <w:rFonts w:eastAsiaTheme="minorEastAsia"/>
          <w:color w:val="000000" w:themeColor="text1"/>
          <w:sz w:val="22"/>
          <w:szCs w:val="22"/>
          <w:lang w:val="en-US" w:eastAsia="zh-CN"/>
        </w:rPr>
        <w:t xml:space="preserve">report of one from N CMR pairs is enough. And regarding single-TRP measurement hypothesis, the payload size depends on the number of CSIs, for example, if X = 1, </w:t>
      </w:r>
      <w:r w:rsidR="003A35EB">
        <w:rPr>
          <w:rFonts w:eastAsiaTheme="minorEastAsia"/>
          <w:color w:val="000000" w:themeColor="text1"/>
          <w:sz w:val="22"/>
          <w:szCs w:val="22"/>
          <w:lang w:val="en-US" w:eastAsia="zh-CN"/>
        </w:rPr>
        <w:t xml:space="preserve">only one CRI is needed for a CSI. </w:t>
      </w:r>
      <w:r w:rsidR="00052384">
        <w:rPr>
          <w:rFonts w:eastAsiaTheme="minorEastAsia"/>
          <w:color w:val="000000" w:themeColor="text1"/>
          <w:sz w:val="22"/>
          <w:szCs w:val="22"/>
          <w:lang w:val="en-US" w:eastAsia="zh-CN"/>
        </w:rPr>
        <w:t>And t</w:t>
      </w:r>
      <w:r w:rsidR="00E047BB">
        <w:rPr>
          <w:rFonts w:eastAsiaTheme="minorEastAsia"/>
          <w:color w:val="000000" w:themeColor="text1"/>
          <w:sz w:val="22"/>
          <w:szCs w:val="22"/>
          <w:lang w:val="en-US" w:eastAsia="zh-CN"/>
        </w:rPr>
        <w:t>he payload size for the CRI doesn’t need to be dependent on the number of CSI-RS resources in the whole CSI-RS res</w:t>
      </w:r>
      <w:r w:rsidR="00052384">
        <w:rPr>
          <w:rFonts w:eastAsiaTheme="minorEastAsia"/>
          <w:color w:val="000000" w:themeColor="text1"/>
          <w:sz w:val="22"/>
          <w:szCs w:val="22"/>
          <w:lang w:val="en-US" w:eastAsia="zh-CN"/>
        </w:rPr>
        <w:t>ource set, which can be based</w:t>
      </w:r>
      <w:r w:rsidR="00E047BB">
        <w:rPr>
          <w:rFonts w:eastAsiaTheme="minorEastAsia"/>
          <w:color w:val="000000" w:themeColor="text1"/>
          <w:sz w:val="22"/>
          <w:szCs w:val="22"/>
          <w:lang w:val="en-US" w:eastAsia="zh-CN"/>
        </w:rPr>
        <w:t xml:space="preserve"> on the maximum one between the two numbers of CSI-RS resources in two </w:t>
      </w:r>
      <w:r w:rsidR="00052384">
        <w:rPr>
          <w:rFonts w:eastAsiaTheme="minorEastAsia"/>
          <w:color w:val="000000" w:themeColor="text1"/>
          <w:sz w:val="22"/>
          <w:szCs w:val="22"/>
          <w:lang w:val="en-US" w:eastAsia="zh-CN"/>
        </w:rPr>
        <w:t>CMR groups</w:t>
      </w:r>
      <w:r w:rsidR="00E047BB">
        <w:rPr>
          <w:rFonts w:eastAsiaTheme="minorEastAsia"/>
          <w:color w:val="000000" w:themeColor="text1"/>
          <w:sz w:val="22"/>
          <w:szCs w:val="22"/>
          <w:lang w:val="en-US" w:eastAsia="zh-CN"/>
        </w:rPr>
        <w:t xml:space="preserve">. And </w:t>
      </w:r>
      <w:r w:rsidR="00052384">
        <w:rPr>
          <w:rFonts w:eastAsiaTheme="minorEastAsia"/>
          <w:color w:val="000000" w:themeColor="text1"/>
          <w:sz w:val="22"/>
          <w:szCs w:val="22"/>
          <w:lang w:val="en-US" w:eastAsia="zh-CN"/>
        </w:rPr>
        <w:t>if X=</w:t>
      </w:r>
      <w:r w:rsidR="00E047BB">
        <w:rPr>
          <w:rFonts w:eastAsiaTheme="minorEastAsia"/>
          <w:color w:val="000000" w:themeColor="text1"/>
          <w:sz w:val="22"/>
          <w:szCs w:val="22"/>
          <w:lang w:val="en-US" w:eastAsia="zh-CN"/>
        </w:rPr>
        <w:t xml:space="preserve">2, there are two CSIs for single-TRP hypothesis, then for each CRI, the payload size depending on number of CSI-RS resources in corresponding </w:t>
      </w:r>
      <w:r w:rsidR="00052384">
        <w:rPr>
          <w:rFonts w:eastAsiaTheme="minorEastAsia"/>
          <w:color w:val="000000" w:themeColor="text1"/>
          <w:sz w:val="22"/>
          <w:szCs w:val="22"/>
          <w:lang w:val="en-US" w:eastAsia="zh-CN"/>
        </w:rPr>
        <w:t>CMR group</w:t>
      </w:r>
      <w:r w:rsidR="00E047BB">
        <w:rPr>
          <w:rFonts w:eastAsiaTheme="minorEastAsia"/>
          <w:color w:val="000000" w:themeColor="text1"/>
          <w:sz w:val="22"/>
          <w:szCs w:val="22"/>
          <w:lang w:val="en-US" w:eastAsia="zh-CN"/>
        </w:rPr>
        <w:t>. In this way, the reporting payload can be reduced.</w:t>
      </w:r>
      <w:r w:rsidR="003A35EB">
        <w:rPr>
          <w:rFonts w:eastAsiaTheme="minorEastAsia"/>
          <w:color w:val="000000" w:themeColor="text1"/>
          <w:sz w:val="22"/>
          <w:szCs w:val="22"/>
          <w:lang w:val="en-US" w:eastAsia="zh-CN"/>
        </w:rPr>
        <w:t xml:space="preserve"> </w:t>
      </w:r>
    </w:p>
    <w:p w14:paraId="1DA60F9C" w14:textId="5F96E138" w:rsidR="00296FE8" w:rsidRDefault="00296FE8" w:rsidP="00296FE8">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052384">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00E047BB">
        <w:rPr>
          <w:rFonts w:eastAsiaTheme="minorEastAsia"/>
          <w:b/>
          <w:i/>
          <w:sz w:val="22"/>
          <w:szCs w:val="22"/>
          <w:lang w:val="en-US" w:eastAsia="zh-CN"/>
        </w:rPr>
        <w:t xml:space="preserve">Payload for CRI reporting can be reduced based on the structure of two </w:t>
      </w:r>
      <w:r w:rsidR="00052384">
        <w:rPr>
          <w:rFonts w:eastAsiaTheme="minorEastAsia"/>
          <w:b/>
          <w:i/>
          <w:sz w:val="22"/>
          <w:szCs w:val="22"/>
          <w:lang w:val="en-US" w:eastAsia="zh-CN"/>
        </w:rPr>
        <w:t>CMR groups</w:t>
      </w:r>
      <w:r>
        <w:rPr>
          <w:rFonts w:eastAsiaTheme="minorEastAsia"/>
          <w:b/>
          <w:i/>
          <w:sz w:val="22"/>
          <w:szCs w:val="22"/>
          <w:lang w:val="en-US" w:eastAsia="zh-CN"/>
        </w:rPr>
        <w:t>.</w:t>
      </w:r>
      <w:r w:rsidR="00E047BB">
        <w:rPr>
          <w:rFonts w:eastAsiaTheme="minorEastAsia"/>
          <w:b/>
          <w:i/>
          <w:sz w:val="22"/>
          <w:szCs w:val="22"/>
          <w:lang w:val="en-US" w:eastAsia="zh-CN"/>
        </w:rPr>
        <w:t xml:space="preserve"> And for </w:t>
      </w:r>
      <w:r w:rsidR="00052384">
        <w:rPr>
          <w:rFonts w:eastAsiaTheme="minorEastAsia"/>
          <w:b/>
          <w:i/>
          <w:sz w:val="22"/>
          <w:szCs w:val="22"/>
          <w:lang w:val="en-US" w:eastAsia="zh-CN"/>
        </w:rPr>
        <w:t>single-TRP measurement</w:t>
      </w:r>
      <w:r w:rsidR="00E047BB">
        <w:rPr>
          <w:rFonts w:eastAsiaTheme="minorEastAsia"/>
          <w:b/>
          <w:i/>
          <w:sz w:val="22"/>
          <w:szCs w:val="22"/>
          <w:lang w:val="en-US" w:eastAsia="zh-CN"/>
        </w:rPr>
        <w:t xml:space="preserve"> hypothesis, </w:t>
      </w:r>
      <w:r w:rsidR="00052384">
        <w:rPr>
          <w:rFonts w:eastAsiaTheme="minorEastAsia"/>
          <w:b/>
          <w:i/>
          <w:sz w:val="22"/>
          <w:szCs w:val="22"/>
          <w:lang w:val="en-US" w:eastAsia="zh-CN"/>
        </w:rPr>
        <w:t>CRI payload size should be separately defined in case of different number of CSI (i.e. different values of X)</w:t>
      </w:r>
      <w:r w:rsidR="00E047BB">
        <w:rPr>
          <w:rFonts w:eastAsiaTheme="minorEastAsia"/>
          <w:b/>
          <w:i/>
          <w:sz w:val="22"/>
          <w:szCs w:val="22"/>
          <w:lang w:val="en-US" w:eastAsia="zh-CN"/>
        </w:rPr>
        <w:t>.</w:t>
      </w:r>
    </w:p>
    <w:p w14:paraId="782759B1" w14:textId="1EC9486C" w:rsidR="008769D5" w:rsidRDefault="00503682"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NCJT hypothesis, it was agreed that two PMIs and two RIs are reported in the CSI</w:t>
      </w:r>
      <w:r w:rsidR="008D205F">
        <w:rPr>
          <w:rFonts w:eastAsiaTheme="minorEastAsia"/>
          <w:color w:val="000000" w:themeColor="text1"/>
          <w:sz w:val="22"/>
          <w:szCs w:val="22"/>
          <w:lang w:val="en-US" w:eastAsia="zh-CN"/>
        </w:rPr>
        <w:t xml:space="preserve"> at least for single-DCI based multi-TRP transmission</w:t>
      </w:r>
      <w:r>
        <w:rPr>
          <w:rFonts w:eastAsiaTheme="minorEastAsia"/>
          <w:color w:val="000000" w:themeColor="text1"/>
          <w:sz w:val="22"/>
          <w:szCs w:val="22"/>
          <w:lang w:val="en-US" w:eastAsia="zh-CN"/>
        </w:rPr>
        <w:t xml:space="preserve">, and in current spec, CBSR and RI restriction are designed, which can reduce the UE complexity and reporting overhead. While the CBSR and RI restriction in current spec is only for single TRP measurement hypothesis, for NCJT hypothesis, it’s typical that precoders from different TRPs are different. </w:t>
      </w:r>
      <w:r w:rsidR="000069D2">
        <w:rPr>
          <w:rFonts w:eastAsiaTheme="minorEastAsia"/>
          <w:color w:val="000000" w:themeColor="text1"/>
          <w:sz w:val="22"/>
          <w:szCs w:val="22"/>
          <w:lang w:val="en-US" w:eastAsia="zh-CN"/>
        </w:rPr>
        <w:t>F</w:t>
      </w:r>
      <w:r>
        <w:rPr>
          <w:rFonts w:eastAsiaTheme="minorEastAsia"/>
          <w:color w:val="000000" w:themeColor="text1"/>
          <w:sz w:val="22"/>
          <w:szCs w:val="22"/>
          <w:lang w:val="en-US" w:eastAsia="zh-CN"/>
        </w:rPr>
        <w:t xml:space="preserve">or NCJT measurement, </w:t>
      </w:r>
      <w:r w:rsidR="000069D2">
        <w:rPr>
          <w:rFonts w:eastAsiaTheme="minorEastAsia"/>
          <w:color w:val="000000" w:themeColor="text1"/>
          <w:sz w:val="22"/>
          <w:szCs w:val="22"/>
          <w:lang w:val="en-US" w:eastAsia="zh-CN"/>
        </w:rPr>
        <w:t>pairing of the precoders from different TRPs will exponentially increase the complexity. In this case, TRP specific CBSR can be quite helpful to reduce the UE complexity. In addition, for different measurement hypotheses, precoder restriction may also be different, which should also be considered for CBSR design. Similarly, TRP specific RI restriction is also quite helpful considering complexity. And in case of NCJT, RI for each TRP can not exceed 4, then 4 bits for each RI restriction are enough.</w:t>
      </w:r>
    </w:p>
    <w:p w14:paraId="6CE9E4C3" w14:textId="1FD44B9E" w:rsidR="000069D2" w:rsidRDefault="000069D2" w:rsidP="000069D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F1319">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CBSR and RI restriction can reduce the UE complexity considerably, which should be introduced at least for NCJT measurement hypothesis.</w:t>
      </w:r>
    </w:p>
    <w:p w14:paraId="1254FC7D" w14:textId="429E0A6C" w:rsidR="007F312E" w:rsidRPr="00CE13B8" w:rsidRDefault="007F312E" w:rsidP="007F312E">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Furthermore, </w:t>
      </w:r>
      <w:r w:rsidR="00E40C86">
        <w:rPr>
          <w:rFonts w:eastAsiaTheme="minorEastAsia"/>
          <w:color w:val="000000" w:themeColor="text1"/>
          <w:sz w:val="22"/>
          <w:szCs w:val="22"/>
          <w:lang w:val="en-US" w:eastAsia="zh-CN"/>
        </w:rPr>
        <w:t xml:space="preserve">regarding the two RIs reporting for NCJT hypothesis, </w:t>
      </w:r>
      <w:r>
        <w:rPr>
          <w:rFonts w:eastAsiaTheme="minorEastAsia" w:hint="eastAsia"/>
          <w:color w:val="000000" w:themeColor="text1"/>
          <w:sz w:val="22"/>
          <w:szCs w:val="22"/>
          <w:lang w:val="en-US" w:eastAsia="zh-CN"/>
        </w:rPr>
        <w:t xml:space="preserve">among the possible values of RI1 and RI2, some values are impossible under the restriction of maximum number of layers and codewords supported for one UE. In addition, considering the typical case for multi-TRP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the two links should be matched, </w:t>
      </w:r>
      <w:r w:rsidR="004046FC">
        <w:rPr>
          <w:rFonts w:eastAsiaTheme="minorEastAsia"/>
          <w:color w:val="000000" w:themeColor="text1"/>
          <w:sz w:val="22"/>
          <w:szCs w:val="22"/>
          <w:lang w:val="en-US" w:eastAsia="zh-CN"/>
        </w:rPr>
        <w:t xml:space="preserve">i.e. the difference between values of RIs for two TPRs should not be too much, </w:t>
      </w:r>
      <w:r>
        <w:rPr>
          <w:rFonts w:eastAsiaTheme="minorEastAsia" w:hint="eastAsia"/>
          <w:color w:val="000000" w:themeColor="text1"/>
          <w:sz w:val="22"/>
          <w:szCs w:val="22"/>
          <w:lang w:val="en-US" w:eastAsia="zh-CN"/>
        </w:rPr>
        <w:t>for example, it</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s </w:t>
      </w:r>
      <w:r w:rsidR="004046FC">
        <w:rPr>
          <w:rFonts w:eastAsiaTheme="minorEastAsia"/>
          <w:color w:val="000000" w:themeColor="text1"/>
          <w:sz w:val="22"/>
          <w:szCs w:val="22"/>
          <w:lang w:val="en-US" w:eastAsia="zh-CN"/>
        </w:rPr>
        <w:t>not useful</w:t>
      </w:r>
      <w:r>
        <w:rPr>
          <w:rFonts w:eastAsiaTheme="minorEastAsia" w:hint="eastAsia"/>
          <w:color w:val="000000" w:themeColor="text1"/>
          <w:sz w:val="22"/>
          <w:szCs w:val="22"/>
          <w:lang w:val="en-US" w:eastAsia="zh-CN"/>
        </w:rPr>
        <w:t xml:space="preserve"> case of RI=1 and RI2=5.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 xml:space="preserve">ased on this, </w:t>
      </w:r>
      <w:r w:rsidR="00E40C86">
        <w:rPr>
          <w:rFonts w:eastAsiaTheme="minorEastAsia"/>
          <w:color w:val="000000" w:themeColor="text1"/>
          <w:sz w:val="22"/>
          <w:szCs w:val="22"/>
          <w:lang w:val="en-US" w:eastAsia="zh-CN"/>
        </w:rPr>
        <w:t xml:space="preserve">restriction on possible values of the two reported RIs can be considered to reduce </w:t>
      </w:r>
      <w:r>
        <w:rPr>
          <w:rFonts w:eastAsiaTheme="minorEastAsia" w:hint="eastAsia"/>
          <w:color w:val="000000" w:themeColor="text1"/>
          <w:sz w:val="22"/>
          <w:szCs w:val="22"/>
          <w:lang w:val="en-US" w:eastAsia="zh-CN"/>
        </w:rPr>
        <w:t>the overhead.</w:t>
      </w:r>
      <w:r w:rsidR="005F65D5">
        <w:rPr>
          <w:rFonts w:eastAsiaTheme="minorEastAsia"/>
          <w:color w:val="000000" w:themeColor="text1"/>
          <w:sz w:val="22"/>
          <w:szCs w:val="22"/>
          <w:lang w:val="en-US" w:eastAsia="zh-CN"/>
        </w:rPr>
        <w:t xml:space="preserve"> For example, differential RI report can be considered.</w:t>
      </w:r>
    </w:p>
    <w:p w14:paraId="6166F869" w14:textId="5694017D" w:rsidR="007F312E" w:rsidRDefault="007F312E" w:rsidP="007F312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F1319">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E40C86">
        <w:rPr>
          <w:rFonts w:eastAsiaTheme="minorEastAsia"/>
          <w:b/>
          <w:i/>
          <w:sz w:val="22"/>
          <w:szCs w:val="22"/>
          <w:lang w:val="en-US" w:eastAsia="zh-CN"/>
        </w:rPr>
        <w:t>Restriction on possible values of the two reported RIs should be considered to reduce the overhead.</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84FCA1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12E">
        <w:rPr>
          <w:rFonts w:eastAsia="宋体"/>
          <w:color w:val="000000" w:themeColor="text1"/>
          <w:sz w:val="22"/>
          <w:szCs w:val="22"/>
          <w:lang w:eastAsia="zh-CN"/>
        </w:rPr>
        <w:t>CSI</w:t>
      </w:r>
      <w:r w:rsidR="00841A18">
        <w:rPr>
          <w:rFonts w:eastAsia="宋体"/>
          <w:color w:val="000000" w:themeColor="text1"/>
          <w:sz w:val="22"/>
          <w:szCs w:val="22"/>
          <w:lang w:eastAsia="zh-CN"/>
        </w:rPr>
        <w:t xml:space="preserve"> </w:t>
      </w:r>
      <w:r w:rsidR="00EE5414">
        <w:rPr>
          <w:rFonts w:eastAsia="宋体"/>
          <w:color w:val="000000" w:themeColor="text1"/>
          <w:sz w:val="22"/>
          <w:szCs w:val="22"/>
          <w:lang w:eastAsia="zh-CN"/>
        </w:rPr>
        <w:t>enhancement</w:t>
      </w:r>
      <w:r w:rsidR="007F312E">
        <w:rPr>
          <w:rFonts w:eastAsia="宋体"/>
          <w:color w:val="000000" w:themeColor="text1"/>
          <w:sz w:val="22"/>
          <w:szCs w:val="22"/>
          <w:lang w:eastAsia="zh-CN"/>
        </w:rPr>
        <w:t xml:space="preserve"> for multi-TRP transmission</w:t>
      </w:r>
      <w:r>
        <w:rPr>
          <w:rFonts w:eastAsia="宋体" w:hint="eastAsia"/>
          <w:color w:val="000000" w:themeColor="text1"/>
          <w:sz w:val="22"/>
          <w:szCs w:val="22"/>
          <w:lang w:eastAsia="zh-CN"/>
        </w:rPr>
        <w:t>, and we proposed that:</w:t>
      </w:r>
    </w:p>
    <w:p w14:paraId="2681142F" w14:textId="77777777" w:rsidR="008F1319" w:rsidRDefault="008F1319" w:rsidP="008F131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For a CSI report </w:t>
      </w:r>
      <w:r w:rsidRPr="003D08F1">
        <w:rPr>
          <w:rFonts w:eastAsiaTheme="minorEastAsia"/>
          <w:b/>
          <w:i/>
          <w:sz w:val="22"/>
          <w:szCs w:val="22"/>
          <w:lang w:val="en-US" w:eastAsia="zh-CN"/>
        </w:rPr>
        <w:t>associated with a Multi-TRP/panel NCJT measurement hypothesis</w:t>
      </w:r>
      <w:r>
        <w:rPr>
          <w:rFonts w:eastAsiaTheme="minorEastAsia"/>
          <w:b/>
          <w:i/>
          <w:sz w:val="22"/>
          <w:szCs w:val="22"/>
          <w:lang w:val="en-US" w:eastAsia="zh-CN"/>
        </w:rPr>
        <w:t>, support Option 1 (</w:t>
      </w:r>
      <w:r w:rsidRPr="003D08F1">
        <w:rPr>
          <w:rFonts w:eastAsiaTheme="minorEastAsia"/>
          <w:b/>
          <w:i/>
          <w:sz w:val="22"/>
          <w:szCs w:val="22"/>
          <w:lang w:val="en-US" w:eastAsia="zh-CN"/>
        </w:rPr>
        <w:t>the UE can be configured to report X CSIs associated with single-TRP measurement hypotheses and one CSI associated with NCJT measurement hypothesis</w:t>
      </w:r>
      <w:r>
        <w:rPr>
          <w:rFonts w:eastAsiaTheme="minorEastAsia"/>
          <w:b/>
          <w:i/>
          <w:sz w:val="22"/>
          <w:szCs w:val="22"/>
          <w:lang w:val="en-US" w:eastAsia="zh-CN"/>
        </w:rPr>
        <w:t>).</w:t>
      </w:r>
    </w:p>
    <w:p w14:paraId="42719CD6" w14:textId="77777777" w:rsidR="008F1319" w:rsidRDefault="008F1319" w:rsidP="008F131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Payload for CRI reporting can be reduced based on the structure of two CMR groups. And for single-TRP measurement hypothesis, CRI payload size should be separately defined in case of different number of CSI (i.e. different values of X).</w:t>
      </w:r>
    </w:p>
    <w:p w14:paraId="78E1903E" w14:textId="3FAA92B9" w:rsidR="008D205F" w:rsidRDefault="008D205F" w:rsidP="008D205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F1319">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CBSR and RI restriction can reduce the UE complexity considerably, which should be introduced at least for NCJT measurement hypothesis.</w:t>
      </w:r>
    </w:p>
    <w:p w14:paraId="3BAB5E30" w14:textId="3807305F" w:rsidR="008D205F" w:rsidRDefault="008D205F" w:rsidP="008D205F">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sidR="008F1319">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Restriction on possible values of the two reported RIs should be considered to reduce the overhead.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65E3EA78" w14:textId="77777777" w:rsidR="00255FC7" w:rsidRPr="00EA14AD" w:rsidRDefault="00255FC7" w:rsidP="00255FC7">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RAN1#104-e, </w:t>
      </w:r>
      <w:r w:rsidRPr="00915745">
        <w:rPr>
          <w:rFonts w:eastAsia="宋体"/>
          <w:color w:val="000000"/>
          <w:lang w:eastAsia="zh-CN"/>
        </w:rPr>
        <w:t>January 25th – February 5th, 2021</w:t>
      </w:r>
      <w:r>
        <w:rPr>
          <w:rFonts w:eastAsia="宋体"/>
          <w:color w:val="000000"/>
          <w:lang w:eastAsia="zh-CN"/>
        </w:rPr>
        <w:t>.</w:t>
      </w:r>
    </w:p>
    <w:sectPr w:rsidR="00255FC7"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9B8E7" w14:textId="77777777" w:rsidR="006A0BE0" w:rsidRPr="00D733E0" w:rsidRDefault="006A0BE0" w:rsidP="00D400AF">
      <w:pPr>
        <w:spacing w:after="0"/>
        <w:rPr>
          <w:rFonts w:ascii="Arial" w:eastAsia="宋体" w:hAnsi="Arial" w:cs="Arial"/>
          <w:color w:val="0000FF"/>
          <w:kern w:val="2"/>
          <w:lang w:val="en-US" w:eastAsia="zh-CN"/>
        </w:rPr>
      </w:pPr>
      <w:r>
        <w:separator/>
      </w:r>
    </w:p>
  </w:endnote>
  <w:endnote w:type="continuationSeparator" w:id="0">
    <w:p w14:paraId="55161378" w14:textId="77777777" w:rsidR="006A0BE0" w:rsidRPr="00D733E0" w:rsidRDefault="006A0BE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9E05BD6" w:rsidR="00503682" w:rsidRPr="007A56A3" w:rsidRDefault="00503682">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241AE" w:rsidRPr="00C241AE">
          <w:rPr>
            <w:noProof/>
            <w:sz w:val="21"/>
            <w:lang w:val="zh-CN" w:eastAsia="zh-CN"/>
          </w:rPr>
          <w:t>1</w:t>
        </w:r>
        <w:r w:rsidRPr="007A56A3">
          <w:rPr>
            <w:sz w:val="21"/>
          </w:rPr>
          <w:fldChar w:fldCharType="end"/>
        </w:r>
      </w:p>
    </w:sdtContent>
  </w:sdt>
  <w:p w14:paraId="55D08AE3" w14:textId="77777777" w:rsidR="00503682" w:rsidRDefault="00503682"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E8F90" w14:textId="77777777" w:rsidR="006A0BE0" w:rsidRPr="00D733E0" w:rsidRDefault="006A0BE0" w:rsidP="00D400AF">
      <w:pPr>
        <w:spacing w:after="0"/>
        <w:rPr>
          <w:rFonts w:ascii="Arial" w:eastAsia="宋体" w:hAnsi="Arial" w:cs="Arial"/>
          <w:color w:val="0000FF"/>
          <w:kern w:val="2"/>
          <w:lang w:val="en-US" w:eastAsia="zh-CN"/>
        </w:rPr>
      </w:pPr>
      <w:r>
        <w:separator/>
      </w:r>
    </w:p>
  </w:footnote>
  <w:footnote w:type="continuationSeparator" w:id="0">
    <w:p w14:paraId="5C8AE5BF" w14:textId="77777777" w:rsidR="006A0BE0" w:rsidRPr="00D733E0" w:rsidRDefault="006A0BE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3"/>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4"/>
  </w:num>
  <w:num w:numId="10">
    <w:abstractNumId w:val="21"/>
  </w:num>
  <w:num w:numId="11">
    <w:abstractNumId w:val="4"/>
  </w:num>
  <w:num w:numId="12">
    <w:abstractNumId w:val="1"/>
  </w:num>
  <w:num w:numId="13">
    <w:abstractNumId w:val="11"/>
  </w:num>
  <w:num w:numId="14">
    <w:abstractNumId w:val="9"/>
  </w:num>
  <w:num w:numId="15">
    <w:abstractNumId w:val="5"/>
  </w:num>
  <w:num w:numId="16">
    <w:abstractNumId w:val="6"/>
  </w:num>
  <w:num w:numId="17">
    <w:abstractNumId w:val="18"/>
  </w:num>
  <w:num w:numId="18">
    <w:abstractNumId w:val="12"/>
  </w:num>
  <w:num w:numId="19">
    <w:abstractNumId w:val="10"/>
  </w:num>
  <w:num w:numId="20">
    <w:abstractNumId w:val="16"/>
  </w:num>
  <w:num w:numId="21">
    <w:abstractNumId w:val="15"/>
  </w:num>
  <w:num w:numId="22">
    <w:abstractNumId w:val="17"/>
  </w:num>
  <w:num w:numId="23">
    <w:abstractNumId w:val="13"/>
  </w:num>
  <w:num w:numId="24">
    <w:abstractNumId w:val="7"/>
  </w:num>
  <w:num w:numId="25">
    <w:abstractNumId w:val="22"/>
  </w:num>
  <w:num w:numId="26">
    <w:abstractNumId w:val="24"/>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69D2"/>
    <w:rsid w:val="00013AB2"/>
    <w:rsid w:val="000140A2"/>
    <w:rsid w:val="000148A6"/>
    <w:rsid w:val="0001540B"/>
    <w:rsid w:val="00016683"/>
    <w:rsid w:val="000202A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2384"/>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9CC"/>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312"/>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C49"/>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5FC7"/>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FE8"/>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0E31"/>
    <w:rsid w:val="00331200"/>
    <w:rsid w:val="00333D75"/>
    <w:rsid w:val="00334088"/>
    <w:rsid w:val="00334AD9"/>
    <w:rsid w:val="00336273"/>
    <w:rsid w:val="003373D8"/>
    <w:rsid w:val="00337850"/>
    <w:rsid w:val="00340CCD"/>
    <w:rsid w:val="00341730"/>
    <w:rsid w:val="00342573"/>
    <w:rsid w:val="0034264C"/>
    <w:rsid w:val="00343B0E"/>
    <w:rsid w:val="00344DE1"/>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5EB"/>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08F1"/>
    <w:rsid w:val="003D2922"/>
    <w:rsid w:val="003D4A8B"/>
    <w:rsid w:val="003D57D9"/>
    <w:rsid w:val="003D640C"/>
    <w:rsid w:val="003E241D"/>
    <w:rsid w:val="003E2912"/>
    <w:rsid w:val="003E2BCF"/>
    <w:rsid w:val="003E2DBA"/>
    <w:rsid w:val="003E4A82"/>
    <w:rsid w:val="003E50E7"/>
    <w:rsid w:val="003E5B6C"/>
    <w:rsid w:val="003E62EE"/>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6FC"/>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3682"/>
    <w:rsid w:val="0050415E"/>
    <w:rsid w:val="00504F42"/>
    <w:rsid w:val="0050680A"/>
    <w:rsid w:val="005077FE"/>
    <w:rsid w:val="005122EA"/>
    <w:rsid w:val="00516226"/>
    <w:rsid w:val="00516A8D"/>
    <w:rsid w:val="005236C9"/>
    <w:rsid w:val="0052577E"/>
    <w:rsid w:val="005260B7"/>
    <w:rsid w:val="0052686C"/>
    <w:rsid w:val="00530FAE"/>
    <w:rsid w:val="00531E5C"/>
    <w:rsid w:val="005327AB"/>
    <w:rsid w:val="00532831"/>
    <w:rsid w:val="0053297F"/>
    <w:rsid w:val="0053331C"/>
    <w:rsid w:val="00535AD0"/>
    <w:rsid w:val="00536128"/>
    <w:rsid w:val="00536AF4"/>
    <w:rsid w:val="00537473"/>
    <w:rsid w:val="00543A7F"/>
    <w:rsid w:val="00543BF9"/>
    <w:rsid w:val="0054489E"/>
    <w:rsid w:val="0054498A"/>
    <w:rsid w:val="0054571C"/>
    <w:rsid w:val="005469BE"/>
    <w:rsid w:val="00546DC0"/>
    <w:rsid w:val="00546EE8"/>
    <w:rsid w:val="00553629"/>
    <w:rsid w:val="00553AC1"/>
    <w:rsid w:val="00554AA6"/>
    <w:rsid w:val="00554F8A"/>
    <w:rsid w:val="005552DC"/>
    <w:rsid w:val="00555378"/>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4761"/>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5D5"/>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70"/>
    <w:rsid w:val="006978FD"/>
    <w:rsid w:val="006A0BE0"/>
    <w:rsid w:val="006A404B"/>
    <w:rsid w:val="006A4196"/>
    <w:rsid w:val="006A4DEB"/>
    <w:rsid w:val="006A5E4B"/>
    <w:rsid w:val="006A620E"/>
    <w:rsid w:val="006A6600"/>
    <w:rsid w:val="006A71F8"/>
    <w:rsid w:val="006A726B"/>
    <w:rsid w:val="006A792E"/>
    <w:rsid w:val="006C1395"/>
    <w:rsid w:val="006C3468"/>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17FF0"/>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64AE"/>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111"/>
    <w:rsid w:val="007E7F8B"/>
    <w:rsid w:val="007F2B16"/>
    <w:rsid w:val="007F312E"/>
    <w:rsid w:val="007F3387"/>
    <w:rsid w:val="007F3C89"/>
    <w:rsid w:val="007F46DC"/>
    <w:rsid w:val="00801104"/>
    <w:rsid w:val="00801C13"/>
    <w:rsid w:val="008023F0"/>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D5"/>
    <w:rsid w:val="008368FC"/>
    <w:rsid w:val="008373AD"/>
    <w:rsid w:val="00841173"/>
    <w:rsid w:val="0084179F"/>
    <w:rsid w:val="00841A18"/>
    <w:rsid w:val="00841ED1"/>
    <w:rsid w:val="00843F6A"/>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769D5"/>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05F"/>
    <w:rsid w:val="008D2239"/>
    <w:rsid w:val="008D5C02"/>
    <w:rsid w:val="008D6D1B"/>
    <w:rsid w:val="008D7114"/>
    <w:rsid w:val="008D79F8"/>
    <w:rsid w:val="008E0460"/>
    <w:rsid w:val="008E0B73"/>
    <w:rsid w:val="008E0CCE"/>
    <w:rsid w:val="008E1908"/>
    <w:rsid w:val="008E236A"/>
    <w:rsid w:val="008E3529"/>
    <w:rsid w:val="008E4E79"/>
    <w:rsid w:val="008F0594"/>
    <w:rsid w:val="008F1319"/>
    <w:rsid w:val="008F259F"/>
    <w:rsid w:val="008F28CE"/>
    <w:rsid w:val="008F3633"/>
    <w:rsid w:val="008F541E"/>
    <w:rsid w:val="008F6A87"/>
    <w:rsid w:val="0090025A"/>
    <w:rsid w:val="00900560"/>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D78D0"/>
    <w:rsid w:val="00AE03C3"/>
    <w:rsid w:val="00AE1018"/>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395A"/>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74E"/>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312C"/>
    <w:rsid w:val="00B64CCA"/>
    <w:rsid w:val="00B65AA6"/>
    <w:rsid w:val="00B669AF"/>
    <w:rsid w:val="00B66F1C"/>
    <w:rsid w:val="00B67F9B"/>
    <w:rsid w:val="00B72399"/>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23E"/>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1AE"/>
    <w:rsid w:val="00C24285"/>
    <w:rsid w:val="00C245B2"/>
    <w:rsid w:val="00C249DC"/>
    <w:rsid w:val="00C25A2A"/>
    <w:rsid w:val="00C2607F"/>
    <w:rsid w:val="00C26959"/>
    <w:rsid w:val="00C30FB4"/>
    <w:rsid w:val="00C316A4"/>
    <w:rsid w:val="00C32103"/>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C7500"/>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41CD"/>
    <w:rsid w:val="00DD628B"/>
    <w:rsid w:val="00DD69F4"/>
    <w:rsid w:val="00DE05DB"/>
    <w:rsid w:val="00DE22E4"/>
    <w:rsid w:val="00DE3706"/>
    <w:rsid w:val="00DE4F3C"/>
    <w:rsid w:val="00DE73CF"/>
    <w:rsid w:val="00DF2995"/>
    <w:rsid w:val="00DF32FB"/>
    <w:rsid w:val="00DF34B3"/>
    <w:rsid w:val="00DF3A14"/>
    <w:rsid w:val="00DF47DE"/>
    <w:rsid w:val="00DF6A90"/>
    <w:rsid w:val="00DF70E4"/>
    <w:rsid w:val="00DF75D4"/>
    <w:rsid w:val="00E0180E"/>
    <w:rsid w:val="00E01A4B"/>
    <w:rsid w:val="00E02665"/>
    <w:rsid w:val="00E0298F"/>
    <w:rsid w:val="00E047BB"/>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0C86"/>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1CBF"/>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7DE"/>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F71F0-21B7-4E3B-AA1A-C2DCBBFE8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TotalTime>
  <Pages>3</Pages>
  <Words>1162</Words>
  <Characters>6628</Characters>
  <Application>Microsoft Office Word</Application>
  <DocSecurity>0</DocSecurity>
  <Lines>55</Lines>
  <Paragraphs>15</Paragraphs>
  <ScaleCrop>false</ScaleCrop>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152</cp:revision>
  <dcterms:created xsi:type="dcterms:W3CDTF">2019-09-25T05:48:00Z</dcterms:created>
  <dcterms:modified xsi:type="dcterms:W3CDTF">2021-04-06T07:44:00Z</dcterms:modified>
</cp:coreProperties>
</file>