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D1867" w:rsidRDefault="00320532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4</w:t>
      </w:r>
      <w:r>
        <w:rPr>
          <w:rFonts w:ascii="Arial" w:hAnsi="Arial" w:cs="Arial" w:hint="eastAsia"/>
          <w:b/>
          <w:bCs/>
          <w:sz w:val="22"/>
          <w:szCs w:val="22"/>
        </w:rPr>
        <w:t>bis</w:t>
      </w:r>
      <w:r>
        <w:rPr>
          <w:rFonts w:ascii="Arial" w:hAnsi="Arial" w:cs="Arial" w:hint="eastAsia"/>
          <w:b/>
          <w:bCs/>
          <w:sz w:val="22"/>
          <w:szCs w:val="22"/>
        </w:rPr>
        <w:t>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 w:rsidR="00F12302">
        <w:rPr>
          <w:rFonts w:ascii="Arial" w:hAnsi="Arial" w:cs="Arial" w:hint="eastAsia"/>
          <w:b/>
          <w:bCs/>
          <w:sz w:val="22"/>
          <w:szCs w:val="22"/>
        </w:rPr>
        <w:t>3501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-M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April 12th – 20th, 202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 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D18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1867" w:rsidRDefault="003205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D186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1867" w:rsidRDefault="003205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186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1867" w:rsidRDefault="00AD18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20532">
                <w:rPr>
                  <w:b/>
                  <w:sz w:val="28"/>
                </w:rPr>
                <w:t>38.21</w:t>
              </w:r>
              <w:r w:rsidR="00320532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AD1867" w:rsidRDefault="003205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1867" w:rsidRDefault="00AD1867">
            <w:pPr>
              <w:pStyle w:val="CRCoverPage"/>
              <w:spacing w:after="0"/>
            </w:pPr>
            <w:fldSimple w:instr=" DOCPROPERTY  Cr#  \* MERGEFORMAT ">
              <w:r w:rsidR="00320532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AD1867" w:rsidRDefault="003205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D1867" w:rsidRDefault="003205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1867" w:rsidRDefault="00AD1867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320532">
                <w:rPr>
                  <w:b/>
                  <w:sz w:val="28"/>
                </w:rPr>
                <w:t>16.</w:t>
              </w:r>
              <w:r w:rsidR="00320532"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</w:fldSimple>
            <w:r w:rsidR="00320532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</w:pPr>
          </w:p>
        </w:tc>
      </w:tr>
      <w:tr w:rsidR="00AD186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</w:pPr>
          </w:p>
        </w:tc>
      </w:tr>
      <w:tr w:rsidR="00AD186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1867" w:rsidRDefault="003205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1867">
        <w:tc>
          <w:tcPr>
            <w:tcW w:w="9641" w:type="dxa"/>
            <w:gridSpan w:val="9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1867" w:rsidRDefault="00AD1867" w:rsidP="00F12302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D1867">
        <w:tc>
          <w:tcPr>
            <w:tcW w:w="2835" w:type="dxa"/>
          </w:tcPr>
          <w:p w:rsidR="00AD1867" w:rsidRDefault="00320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D1867" w:rsidRDefault="003205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1867" w:rsidRDefault="00AD18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D1867" w:rsidRDefault="003205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AD1867" w:rsidRDefault="003205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1867" w:rsidRDefault="00AD18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1867" w:rsidRDefault="00AD1867" w:rsidP="00F12302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D1867">
        <w:tc>
          <w:tcPr>
            <w:tcW w:w="9640" w:type="dxa"/>
            <w:gridSpan w:val="11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</w:pPr>
            <w:r>
              <w:t>Correction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on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sidelink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ja-JP"/>
              </w:rPr>
              <w:t>resource allocation mode 1</w:t>
            </w:r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AD1867" w:rsidRDefault="00AD186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AD1867" w:rsidRDefault="003205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2021-0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AD1867" w:rsidRDefault="00AD186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AD1867" w:rsidRDefault="003205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D186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867" w:rsidRDefault="003205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1867" w:rsidRDefault="003205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1867" w:rsidRDefault="00320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D1867">
        <w:tc>
          <w:tcPr>
            <w:tcW w:w="1843" w:type="dxa"/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Editorial corrections based on agreements made in RAN1</w:t>
            </w:r>
            <w:r>
              <w:rPr>
                <w:rFonts w:eastAsia="宋体" w:hint="eastAsia"/>
                <w:lang w:val="en-US" w:eastAsia="zh-CN"/>
              </w:rPr>
              <w:t xml:space="preserve"> and RAN2</w:t>
            </w: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1, </w:t>
            </w:r>
            <w:r>
              <w:t xml:space="preserve">Modify </w:t>
            </w:r>
            <w:r>
              <w:rPr>
                <w:rFonts w:hint="eastAsia"/>
              </w:rPr>
              <w:t>quote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to</w:t>
            </w:r>
            <w:r>
              <w:rPr>
                <w:rFonts w:eastAsia="宋体" w:hint="eastAsia"/>
                <w:lang w:val="en-US" w:eastAsia="zh-CN"/>
              </w:rPr>
              <w:t xml:space="preserve"> the correct clause.</w:t>
            </w:r>
          </w:p>
          <w:p w:rsidR="00AD1867" w:rsidRDefault="0032053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2, Add the missing DCI field description.</w:t>
            </w:r>
            <w:r>
              <w:t xml:space="preserve"> </w:t>
            </w:r>
          </w:p>
          <w:p w:rsidR="00AD1867" w:rsidRDefault="003205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3, Align the IE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  <w:r>
              <w:rPr>
                <w:i/>
                <w:iCs/>
              </w:rPr>
              <w:t>-RSRP-List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defined in RRC(TS 38.331).</w:t>
            </w: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</w:pPr>
            <w:r>
              <w:t xml:space="preserve">Unclear specification for </w:t>
            </w:r>
            <w:r>
              <w:rPr>
                <w:lang w:val="en-US" w:eastAsia="ja-JP"/>
              </w:rPr>
              <w:t>resource allocation mode 1</w:t>
            </w:r>
            <w:r>
              <w:t>.</w:t>
            </w:r>
          </w:p>
        </w:tc>
      </w:tr>
      <w:tr w:rsidR="00AD1867">
        <w:tc>
          <w:tcPr>
            <w:tcW w:w="2694" w:type="dxa"/>
            <w:gridSpan w:val="2"/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8.1.2</w:t>
            </w:r>
            <w: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>8.1.4</w:t>
            </w: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D1867" w:rsidRDefault="00AD18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  <w:ind w:left="99"/>
            </w:pP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D1867" w:rsidRDefault="00AD18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D1867" w:rsidRDefault="003205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D1867" w:rsidRDefault="00AD18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D1867" w:rsidRDefault="003205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3205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D1867" w:rsidRDefault="00AD18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D1867" w:rsidRDefault="003205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D1867" w:rsidRDefault="003205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1867" w:rsidRDefault="00AD18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867" w:rsidRDefault="00AD1867">
            <w:pPr>
              <w:pStyle w:val="CRCoverPage"/>
              <w:spacing w:after="0"/>
            </w:pPr>
          </w:p>
        </w:tc>
      </w:tr>
      <w:tr w:rsidR="00AD186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1867" w:rsidRDefault="00AD1867">
            <w:pPr>
              <w:pStyle w:val="CRCoverPage"/>
              <w:spacing w:after="0"/>
              <w:ind w:left="100"/>
            </w:pPr>
          </w:p>
        </w:tc>
      </w:tr>
      <w:tr w:rsidR="00AD186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1867" w:rsidRDefault="00AD1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AD1867" w:rsidRDefault="00AD18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1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1867" w:rsidRDefault="0032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</w:t>
            </w:r>
            <w:r>
              <w:rPr>
                <w:b/>
                <w:i/>
              </w:rPr>
              <w:t xml:space="preserve">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1867" w:rsidRDefault="00AD1867">
            <w:pPr>
              <w:pStyle w:val="CRCoverPage"/>
              <w:spacing w:after="0"/>
              <w:ind w:left="100"/>
            </w:pPr>
          </w:p>
        </w:tc>
      </w:tr>
    </w:tbl>
    <w:p w:rsidR="00AD1867" w:rsidRDefault="00AD1867">
      <w:pPr>
        <w:pStyle w:val="CRCoverPage"/>
        <w:spacing w:after="0"/>
        <w:rPr>
          <w:sz w:val="8"/>
          <w:szCs w:val="8"/>
        </w:rPr>
      </w:pPr>
    </w:p>
    <w:p w:rsidR="00AD1867" w:rsidRDefault="00AD1867" w:rsidP="00F12302">
      <w:pPr>
        <w:spacing w:before="120" w:after="120"/>
        <w:sectPr w:rsidR="00AD1867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D1867" w:rsidRDefault="00320532" w:rsidP="00F1230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AD1867" w:rsidRDefault="00320532" w:rsidP="00F12302">
      <w:pPr>
        <w:pStyle w:val="3"/>
        <w:numPr>
          <w:ilvl w:val="2"/>
          <w:numId w:val="0"/>
        </w:numPr>
        <w:spacing w:after="120"/>
        <w:ind w:right="210"/>
        <w:rPr>
          <w:color w:val="000000"/>
        </w:rPr>
      </w:pPr>
      <w:bookmarkStart w:id="0" w:name="_Toc29673377"/>
      <w:bookmarkStart w:id="1" w:name="_Toc36645600"/>
      <w:bookmarkStart w:id="2" w:name="_Toc29673236"/>
      <w:bookmarkStart w:id="3" w:name="_Toc29674370"/>
      <w:bookmarkStart w:id="4" w:name="_Toc45810649"/>
      <w:bookmarkStart w:id="5" w:name="_Toc60777225"/>
      <w:r>
        <w:rPr>
          <w:color w:val="000000"/>
        </w:rPr>
        <w:t>8.1.2</w:t>
      </w:r>
      <w:r>
        <w:rPr>
          <w:color w:val="000000"/>
        </w:rPr>
        <w:tab/>
        <w:t>Resource allocation</w:t>
      </w:r>
      <w:bookmarkEnd w:id="0"/>
      <w:bookmarkEnd w:id="1"/>
      <w:bookmarkEnd w:id="2"/>
      <w:bookmarkEnd w:id="3"/>
      <w:bookmarkEnd w:id="4"/>
      <w:bookmarkEnd w:id="5"/>
    </w:p>
    <w:p w:rsidR="00AD1867" w:rsidRDefault="00320532" w:rsidP="00F12302">
      <w:pPr>
        <w:spacing w:before="120" w:after="120"/>
        <w:rPr>
          <w:lang w:eastAsia="ja-JP"/>
        </w:rPr>
      </w:pPr>
      <w:r>
        <w:rPr>
          <w:lang w:eastAsia="ja-JP"/>
        </w:rPr>
        <w:t xml:space="preserve">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resource allocation mode 1:</w:t>
      </w:r>
    </w:p>
    <w:p w:rsidR="00AD1867" w:rsidRDefault="00320532" w:rsidP="00F12302">
      <w:pPr>
        <w:pStyle w:val="B1"/>
        <w:spacing w:before="120" w:after="120"/>
        <w:rPr>
          <w:color w:val="FF0000"/>
        </w:rPr>
      </w:pPr>
      <w:r>
        <w:t>-</w:t>
      </w:r>
      <w:r>
        <w:tab/>
        <w:t>f</w:t>
      </w:r>
      <w:r>
        <w:rPr>
          <w:lang w:eastAsia="ja-JP"/>
        </w:rPr>
        <w:t>or PSSCH and PSCCH transmission, dynamic grant,</w:t>
      </w:r>
      <w:r>
        <w:rPr>
          <w:lang w:eastAsia="ja-JP"/>
        </w:rPr>
        <w:t xml:space="preserve"> configured grant type 1 and configured grant type 2 are supported.</w:t>
      </w:r>
      <w:r>
        <w:rPr>
          <w:lang w:eastAsia="ja-JP"/>
        </w:rPr>
        <w:t xml:space="preserve"> </w:t>
      </w:r>
      <w:r>
        <w:rPr>
          <w:lang w:eastAsia="ja-JP"/>
        </w:rPr>
        <w:t xml:space="preserve">The configured grant Type 2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 is semi-persistently scheduled by a SL grant in a valid activation DCI according to </w:t>
      </w:r>
      <w:r>
        <w:rPr>
          <w:lang w:eastAsia="ja-JP"/>
        </w:rPr>
        <w:t>Clause 10.</w:t>
      </w:r>
      <w:r>
        <w:rPr>
          <w:strike/>
          <w:color w:val="FF0000"/>
          <w:lang w:eastAsia="ja-JP"/>
        </w:rPr>
        <w:t>3</w:t>
      </w:r>
      <w:r>
        <w:rPr>
          <w:rFonts w:hint="eastAsia"/>
          <w:color w:val="FF0000"/>
        </w:rPr>
        <w:t>2A</w:t>
      </w:r>
      <w:r>
        <w:rPr>
          <w:lang w:eastAsia="ja-JP"/>
        </w:rPr>
        <w:t xml:space="preserve"> of [6, TS 38.213]</w:t>
      </w:r>
      <w:r>
        <w:rPr>
          <w:lang w:eastAsia="ja-JP"/>
        </w:rPr>
        <w:t>.</w:t>
      </w:r>
    </w:p>
    <w:p w:rsidR="00AD1867" w:rsidRDefault="00320532" w:rsidP="00F1230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</w:t>
      </w:r>
      <w:r>
        <w:rPr>
          <w:b/>
          <w:color w:val="FF0000"/>
        </w:rPr>
        <w:t>ted&gt;</w:t>
      </w:r>
    </w:p>
    <w:p w:rsidR="00AD1867" w:rsidRDefault="00AD1867" w:rsidP="00F12302">
      <w:pPr>
        <w:spacing w:before="120" w:after="120"/>
        <w:jc w:val="center"/>
        <w:rPr>
          <w:b/>
          <w:color w:val="FF0000"/>
        </w:rPr>
      </w:pPr>
    </w:p>
    <w:p w:rsidR="00AD1867" w:rsidRDefault="00320532" w:rsidP="00F1230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AD1867" w:rsidRDefault="00320532">
      <w:pPr>
        <w:pStyle w:val="4"/>
        <w:numPr>
          <w:ilvl w:val="2"/>
          <w:numId w:val="0"/>
        </w:numPr>
        <w:overflowPunct w:val="0"/>
        <w:autoSpaceDE w:val="0"/>
        <w:autoSpaceDN w:val="0"/>
        <w:adjustRightInd w:val="0"/>
        <w:spacing w:after="120"/>
        <w:ind w:right="210"/>
        <w:textAlignment w:val="baseline"/>
        <w:rPr>
          <w:color w:val="000000"/>
        </w:rPr>
      </w:pPr>
      <w:r>
        <w:rPr>
          <w:color w:val="000000"/>
        </w:rPr>
        <w:t>8.1.2.1</w:t>
      </w:r>
      <w:r>
        <w:rPr>
          <w:color w:val="000000"/>
        </w:rPr>
        <w:tab/>
        <w:t>Resource allocation in time domain</w:t>
      </w:r>
    </w:p>
    <w:p w:rsidR="00AD1867" w:rsidRDefault="00320532">
      <w:pPr>
        <w:overflowPunct w:val="0"/>
        <w:autoSpaceDE w:val="0"/>
        <w:autoSpaceDN w:val="0"/>
        <w:adjustRightInd w:val="0"/>
        <w:spacing w:before="120" w:after="120"/>
        <w:textAlignment w:val="baseline"/>
      </w:pPr>
      <w:r>
        <w:rPr>
          <w:rFonts w:hint="eastAsia"/>
        </w:rPr>
        <w:t>...</w:t>
      </w:r>
    </w:p>
    <w:p w:rsidR="00AD1867" w:rsidRDefault="0032053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ja-JP"/>
        </w:rPr>
      </w:pPr>
      <w:r>
        <w:rPr>
          <w:lang w:eastAsia="ja-JP"/>
        </w:rPr>
        <w:t xml:space="preserve">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resource allocation mode 1:</w:t>
      </w:r>
    </w:p>
    <w:p w:rsidR="00AD1867" w:rsidRDefault="00320532">
      <w:pPr>
        <w:pStyle w:val="B1"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dynamic grant, the PSSCH transmission is scheduled by a DCI format 3_0. </w:t>
      </w:r>
    </w:p>
    <w:p w:rsidR="00AD1867" w:rsidRDefault="00320532">
      <w:pPr>
        <w:pStyle w:val="B1"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configured grant type 2, the </w:t>
      </w:r>
      <w:r>
        <w:rPr>
          <w:lang w:eastAsia="ja-JP"/>
        </w:rPr>
        <w:t>configured grant is activated</w:t>
      </w:r>
      <w:r>
        <w:rPr>
          <w:rFonts w:hint="eastAsia"/>
        </w:rPr>
        <w:t xml:space="preserve"> </w:t>
      </w:r>
      <w:r>
        <w:rPr>
          <w:lang w:eastAsia="ja-JP"/>
        </w:rPr>
        <w:t xml:space="preserve">by a DCI format 3_0. </w:t>
      </w:r>
    </w:p>
    <w:p w:rsidR="00AD1867" w:rsidRDefault="00320532">
      <w:pPr>
        <w:pStyle w:val="B1"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dynamic grant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configured grant type 2:</w:t>
      </w:r>
    </w:p>
    <w:p w:rsidR="00AD1867" w:rsidRDefault="00320532">
      <w:pPr>
        <w:pStyle w:val="B2"/>
        <w:overflowPunct w:val="0"/>
        <w:autoSpaceDE w:val="0"/>
        <w:autoSpaceDN w:val="0"/>
        <w:adjustRightInd w:val="0"/>
        <w:spacing w:before="120" w:after="120"/>
        <w:textAlignment w:val="baseline"/>
      </w:pPr>
      <w:r>
        <w:rPr>
          <w:lang w:eastAsia="ja-JP"/>
        </w:rPr>
        <w:t>-</w:t>
      </w:r>
      <w:r>
        <w:rPr>
          <w:lang w:eastAsia="ja-JP"/>
        </w:rPr>
        <w:tab/>
        <w:t xml:space="preserve">The "Time gap" </w:t>
      </w:r>
      <w:r>
        <w:t xml:space="preserve">field value </w:t>
      </w:r>
      <w:r>
        <w:rPr>
          <w:i/>
        </w:rPr>
        <w:t>m</w:t>
      </w:r>
      <w:r>
        <w:t xml:space="preserve"> of the DCI format 3_0 provides an index </w:t>
      </w:r>
      <w:r>
        <w:rPr>
          <w:i/>
        </w:rPr>
        <w:t>m</w:t>
      </w:r>
      <w:r>
        <w:t xml:space="preserve"> + 1 into a slot offset table. That table is given by higher layer parameter </w:t>
      </w:r>
      <w:proofErr w:type="spellStart"/>
      <w:r>
        <w:rPr>
          <w:i/>
        </w:rPr>
        <w:t>timeGapFirstSidelinkTransmission</w:t>
      </w:r>
      <w:proofErr w:type="spellEnd"/>
      <w:r>
        <w:t xml:space="preserve"> and the table value at index </w:t>
      </w:r>
      <w:r>
        <w:rPr>
          <w:i/>
        </w:rPr>
        <w:t>m</w:t>
      </w:r>
      <w:r>
        <w:t xml:space="preserve"> + 1 will be referred to as slot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>.</w:t>
      </w:r>
    </w:p>
    <w:p w:rsidR="00AD1867" w:rsidRDefault="00320532">
      <w:pPr>
        <w:pStyle w:val="B2"/>
        <w:overflowPunct w:val="0"/>
        <w:autoSpaceDE w:val="0"/>
        <w:autoSpaceDN w:val="0"/>
        <w:adjustRightInd w:val="0"/>
        <w:spacing w:before="120" w:after="120"/>
        <w:textAlignment w:val="baseline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The slot of the first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transmission scheduled by the DCI i</w:t>
      </w:r>
      <w:r>
        <w:rPr>
          <w:bCs/>
        </w:rPr>
        <w:t xml:space="preserve">s the first SL slot of the corresponding resource pool that starts not earlier than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slot</m:t>
            </m:r>
          </m:sub>
        </m:sSub>
      </m:oMath>
      <w:r>
        <w:rPr>
          <w:bCs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DL</m:t>
            </m:r>
          </m:sub>
        </m:sSub>
      </m:oMath>
      <w:r>
        <w:rPr>
          <w:bCs/>
        </w:rPr>
        <w:t xml:space="preserve"> is starting time of the downlink slot carrying the corresponding DCI,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TA</m:t>
            </m:r>
          </m:sub>
        </m:sSub>
      </m:oMath>
      <w:r>
        <w:rPr>
          <w:bCs/>
        </w:rPr>
        <w:t xml:space="preserve"> is the timing advance value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bCs/>
        </w:rPr>
        <w:t>is the slot offset be</w:t>
      </w:r>
      <w:proofErr w:type="spellStart"/>
      <w:r>
        <w:rPr>
          <w:bCs/>
        </w:rPr>
        <w:t>tween</w:t>
      </w:r>
      <w:proofErr w:type="spellEnd"/>
      <w:r>
        <w:rPr>
          <w:bCs/>
        </w:rPr>
        <w:t xml:space="preserve"> the slot DCI and the first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transmission scheduled by DCI,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>
        <w:rPr>
          <w:bCs/>
        </w:rPr>
        <w:t xml:space="preserve"> is as defined in 38.211,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slot</m:t>
            </m:r>
          </m:sub>
        </m:sSub>
      </m:oMath>
      <w:r>
        <w:rPr>
          <w:bCs/>
          <w:vertAlign w:val="subscript"/>
        </w:rPr>
        <w:t>t</w:t>
      </w:r>
      <w:r>
        <w:rPr>
          <w:bCs/>
        </w:rPr>
        <w:t xml:space="preserve"> is the SL slot duration.</w:t>
      </w:r>
    </w:p>
    <w:p w:rsidR="00AD1867" w:rsidRDefault="00320532">
      <w:pPr>
        <w:pStyle w:val="B1"/>
        <w:overflowPunct w:val="0"/>
        <w:autoSpaceDE w:val="0"/>
        <w:autoSpaceDN w:val="0"/>
        <w:adjustRightInd w:val="0"/>
        <w:spacing w:before="120" w:after="120"/>
        <w:ind w:leftChars="270" w:left="777" w:hangingChars="100" w:hanging="210"/>
        <w:textAlignment w:val="baseline"/>
        <w:rPr>
          <w:rFonts w:eastAsia="Batang"/>
          <w:bCs/>
          <w:color w:val="FF0000"/>
        </w:rPr>
      </w:pPr>
      <w:r>
        <w:rPr>
          <w:rFonts w:eastAsia="Batang" w:hint="eastAsia"/>
          <w:bCs/>
          <w:color w:val="FF0000"/>
          <w:lang w:eastAsia="ja-JP"/>
        </w:rPr>
        <w:t>-</w:t>
      </w:r>
      <w:r>
        <w:rPr>
          <w:rFonts w:eastAsia="Batang" w:hint="eastAsia"/>
          <w:bCs/>
          <w:color w:val="FF0000"/>
          <w:lang w:eastAsia="ja-JP"/>
        </w:rPr>
        <w:tab/>
        <w:t xml:space="preserve">The "Configuration index" field </w:t>
      </w:r>
      <w:r>
        <w:rPr>
          <w:rFonts w:eastAsia="Batang" w:hint="eastAsia"/>
          <w:bCs/>
          <w:color w:val="FF0000"/>
        </w:rPr>
        <w:t xml:space="preserve">, if </w:t>
      </w:r>
      <w:r>
        <w:rPr>
          <w:rFonts w:eastAsia="Batang" w:hint="eastAsia"/>
          <w:bCs/>
          <w:color w:val="FF0000"/>
          <w:lang w:eastAsia="ja-JP"/>
        </w:rPr>
        <w:t>provide</w:t>
      </w:r>
      <w:r>
        <w:rPr>
          <w:rFonts w:eastAsia="Batang" w:hint="eastAsia"/>
          <w:bCs/>
          <w:color w:val="FF0000"/>
        </w:rPr>
        <w:t>d, in</w:t>
      </w:r>
      <w:r>
        <w:rPr>
          <w:rFonts w:eastAsia="Batang" w:hint="eastAsia"/>
          <w:bCs/>
          <w:color w:val="FF0000"/>
          <w:lang w:eastAsia="ja-JP"/>
        </w:rPr>
        <w:t xml:space="preserve"> the</w:t>
      </w:r>
      <w:bookmarkStart w:id="6" w:name="_GoBack"/>
      <w:bookmarkEnd w:id="6"/>
      <w:r>
        <w:rPr>
          <w:rFonts w:eastAsia="Batang" w:hint="eastAsia"/>
          <w:bCs/>
          <w:color w:val="FF0000"/>
          <w:lang w:eastAsia="ja-JP"/>
        </w:rPr>
        <w:t xml:space="preserve"> DCI format 3_0</w:t>
      </w:r>
      <w:r>
        <w:rPr>
          <w:rFonts w:eastAsia="Batang" w:hint="eastAsia"/>
          <w:bCs/>
          <w:color w:val="FF0000"/>
        </w:rPr>
        <w:t xml:space="preserve"> indicates an index of a configured SL grant </w:t>
      </w:r>
      <w:r>
        <w:rPr>
          <w:rFonts w:hint="eastAsia"/>
          <w:bCs/>
          <w:color w:val="FF0000"/>
        </w:rPr>
        <w:t xml:space="preserve">provided </w:t>
      </w:r>
      <w:r>
        <w:rPr>
          <w:rFonts w:eastAsia="Batang" w:hint="eastAsia"/>
          <w:bCs/>
          <w:color w:val="FF0000"/>
        </w:rPr>
        <w:t>by high layer.</w:t>
      </w:r>
    </w:p>
    <w:p w:rsidR="00AD1867" w:rsidRDefault="00320532" w:rsidP="00F12302">
      <w:pPr>
        <w:pStyle w:val="B1"/>
        <w:spacing w:before="120"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configured grant type 1:</w:t>
      </w:r>
    </w:p>
    <w:p w:rsidR="00AD1867" w:rsidRDefault="00320532" w:rsidP="00F12302">
      <w:pPr>
        <w:pStyle w:val="B2"/>
        <w:spacing w:before="120" w:after="120"/>
      </w:pPr>
      <w:r>
        <w:t>-</w:t>
      </w:r>
      <w:r>
        <w:tab/>
        <w:t xml:space="preserve">The slot of the first </w:t>
      </w:r>
      <w:proofErr w:type="spellStart"/>
      <w:r>
        <w:t>sidelink</w:t>
      </w:r>
      <w:proofErr w:type="spellEnd"/>
      <w:r>
        <w:t xml:space="preserve"> transmissions follows the higher layer configuration according to [10, TS 38.321].</w:t>
      </w:r>
    </w:p>
    <w:p w:rsidR="00AD1867" w:rsidRDefault="00320532" w:rsidP="00F1230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AD1867" w:rsidRDefault="00AD1867" w:rsidP="00F12302">
      <w:pPr>
        <w:spacing w:before="120" w:after="120"/>
        <w:jc w:val="center"/>
      </w:pPr>
    </w:p>
    <w:p w:rsidR="00AD1867" w:rsidRDefault="00AD1867" w:rsidP="00F12302">
      <w:pPr>
        <w:spacing w:before="120" w:after="120"/>
        <w:jc w:val="center"/>
      </w:pPr>
    </w:p>
    <w:p w:rsidR="00AD1867" w:rsidRDefault="00320532" w:rsidP="00F1230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AD1867" w:rsidRDefault="00320532" w:rsidP="00F12302">
      <w:pPr>
        <w:pStyle w:val="3"/>
        <w:numPr>
          <w:ilvl w:val="2"/>
          <w:numId w:val="0"/>
        </w:numPr>
        <w:spacing w:after="120"/>
        <w:ind w:right="210"/>
        <w:rPr>
          <w:color w:val="000000"/>
        </w:rPr>
      </w:pPr>
      <w:bookmarkStart w:id="7" w:name="_Toc60777231"/>
      <w:bookmarkStart w:id="8" w:name="_Toc29673383"/>
      <w:bookmarkStart w:id="9" w:name="_Toc45810655"/>
      <w:bookmarkStart w:id="10" w:name="_Toc29673242"/>
      <w:bookmarkStart w:id="11" w:name="_Toc29674376"/>
      <w:bookmarkStart w:id="12" w:name="_Toc36645606"/>
      <w:r>
        <w:rPr>
          <w:color w:val="000000"/>
        </w:rPr>
        <w:lastRenderedPageBreak/>
        <w:t>8.1.4</w:t>
      </w:r>
      <w:r>
        <w:rPr>
          <w:color w:val="000000"/>
        </w:rPr>
        <w:tab/>
        <w:t>UE procedure for</w:t>
      </w:r>
      <w:r>
        <w:rPr>
          <w:color w:val="000000"/>
        </w:rPr>
        <w:t xml:space="preserve"> determining the subset of resources to be reported to higher layers in PSSCH resource selection in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resource allocation mode 2</w:t>
      </w:r>
      <w:bookmarkEnd w:id="7"/>
      <w:bookmarkEnd w:id="8"/>
      <w:bookmarkEnd w:id="9"/>
      <w:bookmarkEnd w:id="10"/>
      <w:bookmarkEnd w:id="11"/>
      <w:bookmarkEnd w:id="12"/>
    </w:p>
    <w:p w:rsidR="00AD1867" w:rsidRDefault="00320532" w:rsidP="00F1230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en-GB"/>
        </w:rPr>
      </w:pPr>
      <w:r>
        <w:rPr>
          <w:lang w:eastAsia="en-GB"/>
        </w:rPr>
        <w:t>In resource allocation mode 2, the higher layer can request the UE to determine a subset of resources from which the hig</w:t>
      </w:r>
      <w:r>
        <w:rPr>
          <w:lang w:eastAsia="en-GB"/>
        </w:rPr>
        <w:t xml:space="preserve">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:rsidR="00AD1867" w:rsidRDefault="00320532" w:rsidP="00F12302">
      <w:pPr>
        <w:pStyle w:val="B1"/>
        <w:spacing w:before="120" w:after="120"/>
      </w:pPr>
      <w:r>
        <w:t>-</w:t>
      </w:r>
      <w:r>
        <w:tab/>
        <w:t>the resource pool from which the resources are to be reported;</w:t>
      </w:r>
    </w:p>
    <w:p w:rsidR="00AD1867" w:rsidRDefault="00320532" w:rsidP="00F12302">
      <w:pPr>
        <w:pStyle w:val="B1"/>
        <w:spacing w:before="120" w:after="12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L1 </w:t>
      </w:r>
      <w:r>
        <w:rPr>
          <w:rFonts w:eastAsia="Calibri"/>
        </w:rPr>
        <w:t xml:space="preserve">priority, </w:t>
      </w:r>
      <m:oMath>
        <m:r>
          <w:rPr>
            <w:rFonts w:ascii="Cambria Math" w:eastAsia="Calibri" w:hAnsi="Cambria Math"/>
          </w:rPr>
          <m:t>pri</m:t>
        </m:r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o</m:t>
            </m:r>
          </m:e>
          <m:sub>
            <m:r>
              <w:rPr>
                <w:rFonts w:ascii="Cambria Math" w:eastAsia="Calibri" w:hAnsi="Cambria Math"/>
              </w:rPr>
              <m:t>TX</m:t>
            </m:r>
          </m:sub>
        </m:sSub>
      </m:oMath>
      <w:r>
        <w:rPr>
          <w:rFonts w:eastAsia="Calibri"/>
        </w:rPr>
        <w:t>;</w:t>
      </w:r>
    </w:p>
    <w:p w:rsidR="00AD1867" w:rsidRDefault="00320532" w:rsidP="00F12302">
      <w:pPr>
        <w:pStyle w:val="B1"/>
        <w:spacing w:before="120" w:after="12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the remaining packet delay budget;</w:t>
      </w:r>
    </w:p>
    <w:p w:rsidR="00AD1867" w:rsidRDefault="00320532" w:rsidP="00F12302">
      <w:pPr>
        <w:pStyle w:val="B1"/>
        <w:spacing w:before="120" w:after="12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number of sub-channels to be used for the PSSCH/PSCCH transmission in a slot,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</w:rPr>
              <m:t>subCH</m:t>
            </m:r>
            <m:ctrlPr>
              <w:rPr>
                <w:rFonts w:ascii="Cambria Math" w:eastAsia="Calibri" w:hAnsi="Cambria Math"/>
              </w:rPr>
            </m:ctrlPr>
          </m:sub>
        </m:sSub>
      </m:oMath>
      <w:r>
        <w:rPr>
          <w:rFonts w:eastAsia="Calibri"/>
        </w:rPr>
        <w:t>;</w:t>
      </w:r>
    </w:p>
    <w:p w:rsidR="00AD1867" w:rsidRDefault="00320532" w:rsidP="00F12302">
      <w:pPr>
        <w:pStyle w:val="B1"/>
        <w:spacing w:before="120" w:after="12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optionally, 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</w:rPr>
              <m:t>rsvp_TX</m:t>
            </m:r>
            <m:ctrlPr>
              <w:rPr>
                <w:rFonts w:ascii="Cambria Math" w:eastAsia="Calibri" w:hAnsi="Cambria Math"/>
              </w:rPr>
            </m:ctrlPr>
          </m:sub>
        </m:sSub>
      </m:oMath>
      <w:r>
        <w:rPr>
          <w:rFonts w:eastAsia="Calibri"/>
        </w:rPr>
        <w:t xml:space="preserve">, in units of msec. </w:t>
      </w:r>
    </w:p>
    <w:p w:rsidR="00AD1867" w:rsidRDefault="00320532" w:rsidP="00F12302">
      <w:pPr>
        <w:pStyle w:val="B1"/>
        <w:spacing w:before="120" w:after="120"/>
      </w:pPr>
      <w:r>
        <w:t>-</w:t>
      </w:r>
      <w:r>
        <w:tab/>
      </w:r>
      <w:r>
        <w:t xml:space="preserve">if the higher layer requests </w:t>
      </w:r>
      <w:r>
        <w:rPr>
          <w:lang w:eastAsia="en-GB"/>
        </w:rPr>
        <w:t>the UE to determine a subset of resources from which the higher layer will select resources for PSSCH/PSCCH transmission</w:t>
      </w:r>
      <w:r>
        <w:t xml:space="preserve"> as part of re-evaluation or pre-emption procedure, the higher layer provides a set of resources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which may be subject to re-evaluation and a set of resources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>which may be subject to pre-emption.</w:t>
      </w:r>
    </w:p>
    <w:p w:rsidR="00AD1867" w:rsidRDefault="00320532" w:rsidP="00F12302">
      <w:pPr>
        <w:pStyle w:val="B2"/>
        <w:spacing w:before="120" w:after="120"/>
        <w:rPr>
          <w:rFonts w:eastAsiaTheme="minorHAnsi"/>
          <w:sz w:val="18"/>
        </w:rPr>
      </w:pPr>
      <w:r>
        <w:t>-</w:t>
      </w:r>
      <w:r>
        <w:tab/>
      </w:r>
      <w:r>
        <w:rPr>
          <w:rFonts w:eastAsiaTheme="minorHAnsi"/>
        </w:rPr>
        <w:t xml:space="preserve">it is up to UE implementation </w:t>
      </w:r>
      <w:r>
        <w:rPr>
          <w:lang w:eastAsia="en-GB"/>
        </w:rPr>
        <w:t>to determine the subset of resources as requested by higher layers</w:t>
      </w:r>
      <w:r>
        <w:t xml:space="preserve"> before or after the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is the slot with the smallest slot index among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and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, </w:t>
      </w:r>
      <w:r>
        <w:rPr>
          <w:iCs/>
          <w:szCs w:val="22"/>
        </w:rPr>
        <w:t>where</w:t>
      </w:r>
      <w:r>
        <w:rPr>
          <w:i/>
          <w:iCs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proc,1</m:t>
            </m:r>
          </m:sub>
          <m:sup>
            <m:r>
              <w:rPr>
                <w:rFonts w:ascii="Cambria Math" w:hAnsi="Cambria Math"/>
                <w:szCs w:val="22"/>
              </w:rPr>
              <m:t>SL</m:t>
            </m:r>
          </m:sup>
        </m:sSubSup>
        <m:r>
          <w:rPr>
            <w:rFonts w:ascii="Cambria Math" w:hAnsi="Cambria Math"/>
            <w:szCs w:val="22"/>
          </w:rPr>
          <m:t xml:space="preserve"> </m:t>
        </m:r>
      </m:oMath>
      <w:r>
        <w:rPr>
          <w:i/>
          <w:iCs/>
          <w:szCs w:val="22"/>
        </w:rPr>
        <w:t> </w:t>
      </w:r>
      <w:r>
        <w:rPr>
          <w:iCs/>
          <w:szCs w:val="22"/>
        </w:rPr>
        <w:t>is defined in slots in Table 8.1.4-2 where</w:t>
      </w:r>
      <w:r>
        <w:rPr>
          <w:i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SL</m:t>
            </m:r>
          </m:sub>
        </m:sSub>
      </m:oMath>
      <w:r>
        <w:rPr>
          <w:i/>
          <w:iCs/>
          <w:szCs w:val="22"/>
        </w:rPr>
        <w:t xml:space="preserve"> </w:t>
      </w:r>
      <w:r>
        <w:rPr>
          <w:iCs/>
          <w:szCs w:val="22"/>
        </w:rPr>
        <w:t>is the SCS configuration of the SL BWP</w:t>
      </w:r>
      <w:r>
        <w:rPr>
          <w:iCs/>
          <w:szCs w:val="22"/>
        </w:rPr>
        <w:t>.</w:t>
      </w:r>
    </w:p>
    <w:p w:rsidR="00AD1867" w:rsidRDefault="00AD1867" w:rsidP="00F12302">
      <w:pPr>
        <w:spacing w:before="120" w:after="120"/>
        <w:jc w:val="center"/>
        <w:rPr>
          <w:b/>
          <w:color w:val="FF0000"/>
        </w:rPr>
      </w:pPr>
    </w:p>
    <w:p w:rsidR="00AD1867" w:rsidRDefault="00320532" w:rsidP="00F12302">
      <w:pPr>
        <w:spacing w:before="120" w:after="120" w:line="259" w:lineRule="auto"/>
        <w:rPr>
          <w:rFonts w:eastAsiaTheme="minorHAnsi"/>
        </w:rPr>
      </w:pPr>
      <w:r>
        <w:rPr>
          <w:rFonts w:eastAsiaTheme="minorHAnsi"/>
        </w:rPr>
        <w:t>The following higher layer parameters affect this procedure:</w:t>
      </w:r>
    </w:p>
    <w:p w:rsidR="00AD1867" w:rsidRDefault="00320532" w:rsidP="00F12302">
      <w:pPr>
        <w:pStyle w:val="B1"/>
        <w:spacing w:before="120" w:after="120"/>
        <w:rPr>
          <w:rFonts w:eastAsia="Malgun Gothic"/>
          <w:lang w:eastAsia="ko-KR"/>
        </w:rPr>
      </w:pPr>
      <w:r>
        <w:rPr>
          <w:i/>
          <w:lang w:eastAsia="en-GB"/>
        </w:rPr>
        <w:t>-</w:t>
      </w:r>
      <w:r>
        <w:rPr>
          <w:i/>
          <w:lang w:eastAsia="en-GB"/>
        </w:rPr>
        <w:tab/>
      </w:r>
      <w:proofErr w:type="spellStart"/>
      <w:r>
        <w:rPr>
          <w:i/>
          <w:lang w:eastAsia="en-GB"/>
        </w:rPr>
        <w:t>sl-SelectionWindowList</w:t>
      </w:r>
      <w:proofErr w:type="spellEnd"/>
      <w:r>
        <w:rPr>
          <w:i/>
          <w:lang w:eastAsia="en-GB"/>
        </w:rPr>
        <w:t xml:space="preserve">: </w:t>
      </w:r>
      <w:r>
        <w:rPr>
          <w:lang w:eastAsia="en-GB"/>
        </w:rPr>
        <w:t>internal parameter</w:t>
      </w:r>
      <w:r>
        <w:rPr>
          <w:rFonts w:eastAsiaTheme="minorEastAsia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>
        <w:rPr>
          <w:rFonts w:hint="eastAsia"/>
          <w:lang w:eastAsia="en-GB"/>
        </w:rPr>
        <w:t xml:space="preserve"> is </w:t>
      </w:r>
      <w:r>
        <w:rPr>
          <w:lang w:eastAsia="en-GB"/>
        </w:rPr>
        <w:t xml:space="preserve">set to the corresponding value from higher layer parameter </w:t>
      </w:r>
      <w:proofErr w:type="spellStart"/>
      <w:r>
        <w:rPr>
          <w:i/>
          <w:lang w:eastAsia="en-GB"/>
        </w:rPr>
        <w:t>sl-SelectionWindowList</w:t>
      </w:r>
      <w:proofErr w:type="spellEnd"/>
      <w:r>
        <w:rPr>
          <w:lang w:eastAsia="en-GB"/>
        </w:rPr>
        <w:t xml:space="preserve"> for the given value of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rPr>
          <w:rFonts w:eastAsia="Malgun Gothic" w:hint="eastAsia"/>
          <w:lang w:eastAsia="ko-KR"/>
        </w:rPr>
        <w:t>.</w:t>
      </w:r>
    </w:p>
    <w:p w:rsidR="00AD1867" w:rsidRDefault="00320532" w:rsidP="00F12302">
      <w:pPr>
        <w:pStyle w:val="B1"/>
        <w:spacing w:before="120" w:after="120"/>
        <w:rPr>
          <w:rFonts w:eastAsia="Malgun Gothic"/>
          <w:lang w:eastAsia="ko-KR"/>
        </w:rPr>
      </w:pPr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proofErr w:type="spellStart"/>
      <w:r>
        <w:rPr>
          <w:rFonts w:eastAsia="Malgun Gothic"/>
          <w:i/>
          <w:iCs/>
          <w:lang w:eastAsia="ko-KR"/>
        </w:rPr>
        <w:t>sl</w:t>
      </w:r>
      <w:proofErr w:type="spellEnd"/>
      <w:r>
        <w:rPr>
          <w:rFonts w:eastAsia="Malgun Gothic"/>
          <w:i/>
          <w:iCs/>
          <w:lang w:eastAsia="ko-KR"/>
        </w:rPr>
        <w:t>-</w:t>
      </w:r>
      <w:proofErr w:type="spellStart"/>
      <w:r>
        <w:rPr>
          <w:rFonts w:eastAsia="Malgun Gothic"/>
          <w:i/>
          <w:iCs/>
          <w:lang w:eastAsia="ko-KR"/>
        </w:rPr>
        <w:t>Thres</w:t>
      </w:r>
      <w:r>
        <w:rPr>
          <w:rFonts w:eastAsia="Malgun Gothic"/>
          <w:i/>
          <w:iCs/>
          <w:strike/>
          <w:color w:val="FF0000"/>
          <w:lang w:eastAsia="ko-KR"/>
        </w:rPr>
        <w:t>PSSCH</w:t>
      </w:r>
      <w:proofErr w:type="spellEnd"/>
      <w:r>
        <w:rPr>
          <w:rFonts w:eastAsia="Malgun Gothic"/>
          <w:i/>
          <w:iCs/>
          <w:lang w:eastAsia="ko-KR"/>
        </w:rPr>
        <w:t>-RSRP-List</w:t>
      </w:r>
      <w:r>
        <w:rPr>
          <w:rFonts w:eastAsia="Malgun Gothic"/>
          <w:lang w:eastAsia="ko-KR"/>
        </w:rPr>
        <w:t xml:space="preserve">: this higher layer parameter provides an RSRP threshold for each combination </w:t>
      </w:r>
      <m:oMath>
        <m:d>
          <m:dPr>
            <m:ctrlPr>
              <w:rPr>
                <w:rFonts w:ascii="Cambria Math" w:eastAsia="Malgun Gothic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, </m:t>
            </m:r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j</m:t>
                </m:r>
              </m:sub>
            </m:sSub>
          </m:e>
        </m:d>
      </m:oMath>
      <w:r>
        <w:rPr>
          <w:rFonts w:eastAsia="Malgun Gothic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>
        <w:rPr>
          <w:rFonts w:eastAsia="Malgun Gothic"/>
          <w:lang w:eastAsia="ko-KR"/>
        </w:rPr>
        <w:t xml:space="preserve"> is the value of the priority field in a received SCI format 1-A and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</m:oMath>
      <w:r>
        <w:rPr>
          <w:rFonts w:eastAsia="Malgun Gothic"/>
          <w:lang w:eastAsia="ko-KR"/>
        </w:rPr>
        <w:t xml:space="preserve"> is the priority of the transmission of the UE selecting resources; for a </w:t>
      </w:r>
      <w:r>
        <w:rPr>
          <w:rFonts w:eastAsia="Malgun Gothic"/>
          <w:lang w:eastAsia="ko-KR"/>
        </w:rPr>
        <w:t xml:space="preserve">given invocation of this procedure,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 xml:space="preserve"> = </m:t>
        </m:r>
        <m:r>
          <w:rPr>
            <w:rFonts w:ascii="Cambria Math" w:eastAsia="Calibri" w:hAnsi="Cambria Math"/>
          </w:rPr>
          <m:t>pri</m:t>
        </m:r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o</m:t>
            </m:r>
          </m:e>
          <m:sub>
            <m:r>
              <w:rPr>
                <w:rFonts w:ascii="Cambria Math" w:eastAsia="Calibri" w:hAnsi="Cambria Math"/>
              </w:rPr>
              <m:t>TX</m:t>
            </m:r>
          </m:sub>
        </m:sSub>
      </m:oMath>
      <w:r>
        <w:rPr>
          <w:rFonts w:eastAsia="Malgun Gothic"/>
          <w:lang w:eastAsia="ko-KR"/>
        </w:rPr>
        <w:t>.</w:t>
      </w:r>
    </w:p>
    <w:p w:rsidR="00AD1867" w:rsidRDefault="00320532" w:rsidP="00F12302">
      <w:pPr>
        <w:pStyle w:val="B1"/>
        <w:spacing w:before="120" w:after="120"/>
        <w:rPr>
          <w:rFonts w:eastAsia="Malgun Gothic"/>
          <w:lang w:eastAsia="ko-KR"/>
        </w:rPr>
      </w:pPr>
      <w:bookmarkStart w:id="13" w:name="_Hlk26193887"/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-RS-</w:t>
      </w:r>
      <w:proofErr w:type="spellStart"/>
      <w:r>
        <w:rPr>
          <w:rFonts w:eastAsia="Malgun Gothic"/>
          <w:i/>
          <w:lang w:eastAsia="ko-KR"/>
        </w:rPr>
        <w:t>ForSensing</w:t>
      </w:r>
      <w:proofErr w:type="spellEnd"/>
      <w:r>
        <w:rPr>
          <w:rFonts w:eastAsia="Malgun Gothic"/>
          <w:lang w:eastAsia="ko-KR"/>
        </w:rPr>
        <w:t xml:space="preserve"> selects if the UE uses the PSSCH-RSRP or PSCCH-RSRP measurement</w:t>
      </w:r>
      <w:bookmarkEnd w:id="13"/>
      <w:r>
        <w:rPr>
          <w:rFonts w:eastAsia="Malgun Gothic"/>
          <w:lang w:eastAsia="ko-KR"/>
        </w:rPr>
        <w:t>, as defined in clause 8.4.2.1.</w:t>
      </w:r>
    </w:p>
    <w:p w:rsidR="00AD1867" w:rsidRDefault="00320532" w:rsidP="00F12302">
      <w:pPr>
        <w:pStyle w:val="B1"/>
        <w:spacing w:before="120" w:after="120"/>
        <w:rPr>
          <w:rFonts w:eastAsia="Malgun Gothic"/>
          <w:lang w:eastAsia="ko-KR"/>
        </w:rPr>
      </w:pPr>
      <w:bookmarkStart w:id="14" w:name="_Hlk26203241"/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sl-ResourceReservePeriodList</w:t>
      </w:r>
      <w:bookmarkEnd w:id="14"/>
      <w:proofErr w:type="spellEnd"/>
    </w:p>
    <w:p w:rsidR="00AD1867" w:rsidRDefault="00320532" w:rsidP="00F12302">
      <w:pPr>
        <w:pStyle w:val="B1"/>
        <w:spacing w:before="120" w:after="120"/>
        <w:rPr>
          <w:rFonts w:eastAsia="Malgun Gothic"/>
          <w:lang w:eastAsia="en-GB"/>
        </w:rPr>
      </w:pPr>
      <w:bookmarkStart w:id="15" w:name="_Hlk26192586"/>
      <w:r>
        <w:rPr>
          <w:rFonts w:eastAsia="Malgun Gothic"/>
          <w:i/>
          <w:lang w:eastAsia="ko-KR"/>
        </w:rPr>
        <w:t>-</w:t>
      </w:r>
      <w:r>
        <w:rPr>
          <w:rFonts w:eastAsia="Malgun Gothic"/>
          <w:i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sl-SensingWindow</w:t>
      </w:r>
      <w:bookmarkEnd w:id="15"/>
      <w:proofErr w:type="spellEnd"/>
      <w:r>
        <w:rPr>
          <w:rFonts w:eastAsia="Malgun Gothic"/>
          <w:lang w:eastAsia="ko-KR"/>
        </w:rPr>
        <w:t xml:space="preserve">: internal parameter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</m:sSub>
      </m:oMath>
      <w:r>
        <w:rPr>
          <w:rFonts w:eastAsia="Malgun Gothic"/>
          <w:lang w:eastAsia="en-GB"/>
        </w:rPr>
        <w:t xml:space="preserve"> is defined a</w:t>
      </w:r>
      <w:r>
        <w:rPr>
          <w:rFonts w:eastAsia="Malgun Gothic"/>
          <w:lang w:eastAsia="en-GB"/>
        </w:rPr>
        <w:t xml:space="preserve">s the number of slots corresponding to </w:t>
      </w:r>
      <w:proofErr w:type="spellStart"/>
      <w:r>
        <w:rPr>
          <w:rFonts w:eastAsia="Malgun Gothic"/>
          <w:i/>
          <w:lang w:eastAsia="ko-KR"/>
        </w:rPr>
        <w:t>sl-SensingWindow</w:t>
      </w:r>
      <w:proofErr w:type="spellEnd"/>
      <w:r>
        <w:rPr>
          <w:rFonts w:eastAsia="Malgun Gothic"/>
          <w:lang w:eastAsia="en-GB"/>
        </w:rPr>
        <w:t xml:space="preserve"> </w:t>
      </w:r>
      <w:proofErr w:type="spellStart"/>
      <w:r>
        <w:rPr>
          <w:rFonts w:eastAsia="Calibri"/>
        </w:rPr>
        <w:t>msec</w:t>
      </w:r>
      <w:proofErr w:type="spellEnd"/>
    </w:p>
    <w:p w:rsidR="00AD1867" w:rsidRDefault="00320532" w:rsidP="00F12302">
      <w:pPr>
        <w:pStyle w:val="B1"/>
        <w:spacing w:before="120" w:after="120"/>
        <w:rPr>
          <w:rFonts w:eastAsia="Malgun Gothic"/>
          <w:iCs/>
          <w:color w:val="000000" w:themeColor="text1"/>
          <w:lang w:eastAsia="en-GB"/>
        </w:rPr>
      </w:pPr>
      <w:r>
        <w:rPr>
          <w:rFonts w:eastAsia="Malgun Gothic"/>
          <w:i/>
          <w:color w:val="000000" w:themeColor="text1"/>
          <w:lang w:eastAsia="ko-KR"/>
        </w:rPr>
        <w:t>-</w:t>
      </w:r>
      <w:r>
        <w:rPr>
          <w:rFonts w:eastAsia="Malgun Gothic"/>
          <w:i/>
          <w:color w:val="000000" w:themeColor="text1"/>
          <w:lang w:eastAsia="ko-KR"/>
        </w:rPr>
        <w:tab/>
      </w:r>
      <w:proofErr w:type="spellStart"/>
      <w:r>
        <w:rPr>
          <w:rFonts w:eastAsia="Malgun Gothic"/>
          <w:i/>
          <w:color w:val="000000"/>
          <w:lang w:eastAsia="ko-KR"/>
        </w:rPr>
        <w:t>sl-TxPercentageList</w:t>
      </w:r>
      <w:proofErr w:type="spellEnd"/>
      <w:r>
        <w:rPr>
          <w:rFonts w:eastAsia="Malgun Gothic"/>
          <w:iCs/>
          <w:color w:val="000000" w:themeColor="text1"/>
          <w:lang w:eastAsia="ko-KR"/>
        </w:rPr>
        <w:t xml:space="preserve">: internal parameter </w:t>
      </w:r>
      <m:oMath>
        <m:r>
          <w:rPr>
            <w:rFonts w:ascii="Cambria Math" w:eastAsia="Malgun Gothic" w:hAnsi="Cambria Math"/>
            <w:color w:val="000000" w:themeColor="text1"/>
            <w:lang w:eastAsia="ko-KR"/>
          </w:rPr>
          <m:t>X</m:t>
        </m:r>
      </m:oMath>
      <w:r>
        <w:rPr>
          <w:rFonts w:eastAsia="Malgun Gothic"/>
          <w:iCs/>
          <w:color w:val="000000" w:themeColor="text1"/>
          <w:lang w:eastAsia="ko-KR"/>
        </w:rPr>
        <w:t xml:space="preserve"> for a given </w:t>
      </w:r>
      <m:oMath>
        <m:r>
          <w:rPr>
            <w:rFonts w:ascii="Cambria Math" w:eastAsia="Malgun Gothic" w:hAnsi="Cambria Math"/>
            <w:color w:val="000000" w:themeColor="text1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TX</m:t>
            </m:r>
          </m:sub>
        </m:sSub>
      </m:oMath>
      <w:r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iCs/>
          <w:color w:val="000000" w:themeColor="text1"/>
          <w:lang w:eastAsia="ko-KR"/>
        </w:rPr>
        <w:t xml:space="preserve">is defined as </w:t>
      </w:r>
      <w:proofErr w:type="spellStart"/>
      <w:r>
        <w:rPr>
          <w:rFonts w:eastAsia="Malgun Gothic"/>
          <w:i/>
          <w:color w:val="000000"/>
          <w:lang w:eastAsia="ko-KR"/>
        </w:rPr>
        <w:t>sl-TxPercentageList</w:t>
      </w:r>
      <w:proofErr w:type="spellEnd"/>
      <w:r>
        <w:rPr>
          <w:rFonts w:eastAsia="Malgun Gothic"/>
          <w:i/>
          <w:color w:val="000000" w:themeColor="text1"/>
          <w:lang w:eastAsia="ko-KR"/>
        </w:rPr>
        <w:t xml:space="preserve"> (</w:t>
      </w:r>
      <m:oMath>
        <m:r>
          <w:rPr>
            <w:rFonts w:ascii="Cambria Math" w:eastAsia="Malgun Gothic" w:hAnsi="Cambria Math"/>
            <w:color w:val="000000" w:themeColor="text1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TX</m:t>
            </m:r>
          </m:sub>
        </m:sSub>
      </m:oMath>
      <w:r>
        <w:rPr>
          <w:rFonts w:eastAsia="Malgun Gothic"/>
          <w:i/>
          <w:color w:val="000000" w:themeColor="text1"/>
          <w:lang w:eastAsia="ko-KR"/>
        </w:rPr>
        <w:t>)</w:t>
      </w:r>
      <w:r>
        <w:rPr>
          <w:rFonts w:eastAsia="Malgun Gothic"/>
          <w:iCs/>
          <w:color w:val="000000" w:themeColor="text1"/>
          <w:lang w:eastAsia="ko-KR"/>
        </w:rPr>
        <w:t xml:space="preserve"> converted from percentage to ratio</w:t>
      </w:r>
    </w:p>
    <w:p w:rsidR="00AD1867" w:rsidRDefault="00320532" w:rsidP="00F12302">
      <w:pPr>
        <w:pStyle w:val="B1"/>
        <w:spacing w:before="120" w:after="120"/>
        <w:rPr>
          <w:rFonts w:eastAsia="Malgun Gothic"/>
          <w:iCs/>
          <w:lang w:eastAsia="ko-KR"/>
        </w:rPr>
      </w:pPr>
      <w:r>
        <w:rPr>
          <w:rFonts w:eastAsia="Malgun Gothic"/>
          <w:iCs/>
          <w:lang w:eastAsia="ko-KR"/>
        </w:rPr>
        <w:t>-</w:t>
      </w:r>
      <w:r>
        <w:rPr>
          <w:rFonts w:eastAsia="Malgun Gothic"/>
          <w:iCs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sl-PreemptionEnable</w:t>
      </w:r>
      <w:proofErr w:type="spellEnd"/>
      <w:r>
        <w:rPr>
          <w:rFonts w:eastAsia="Malgun Gothic"/>
          <w:iCs/>
          <w:lang w:eastAsia="ko-KR"/>
        </w:rPr>
        <w:t xml:space="preserve">: </w:t>
      </w:r>
      <w:r>
        <w:rPr>
          <w:rFonts w:eastAsia="Malgun Gothic"/>
          <w:iCs/>
          <w:lang w:eastAsia="ko-KR"/>
        </w:rPr>
        <w:t xml:space="preserve">if </w:t>
      </w:r>
      <w:proofErr w:type="spellStart"/>
      <w:r>
        <w:rPr>
          <w:rFonts w:eastAsia="Malgun Gothic"/>
          <w:i/>
          <w:lang w:eastAsia="ko-KR"/>
        </w:rPr>
        <w:t>sl-PreemptionEnable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iCs/>
          <w:lang w:eastAsia="ko-KR"/>
        </w:rPr>
        <w:t xml:space="preserve">is provided, and if it is not equal to 'enabled', internal parameter </w:t>
      </w:r>
      <m:oMath>
        <m:r>
          <w:rPr>
            <w:rFonts w:ascii="Cambria Math" w:eastAsia="Malgun Gothic" w:hAnsi="Cambria Math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pre</m:t>
            </m:r>
          </m:sub>
        </m:sSub>
      </m:oMath>
      <w:r>
        <w:rPr>
          <w:rFonts w:eastAsia="Malgun Gothic"/>
          <w:iCs/>
          <w:lang w:eastAsia="ko-KR"/>
        </w:rPr>
        <w:t xml:space="preserve"> is set to the higher layer provided parameter </w:t>
      </w:r>
      <w:proofErr w:type="spellStart"/>
      <w:r>
        <w:rPr>
          <w:rFonts w:eastAsia="Malgun Gothic"/>
          <w:i/>
          <w:lang w:eastAsia="ko-KR"/>
        </w:rPr>
        <w:t>sl-PreemptionEnable</w:t>
      </w:r>
      <w:proofErr w:type="spellEnd"/>
    </w:p>
    <w:p w:rsidR="00AD1867" w:rsidRDefault="00320532" w:rsidP="00F12302">
      <w:pPr>
        <w:spacing w:before="120" w:after="120" w:line="259" w:lineRule="auto"/>
        <w:rPr>
          <w:rFonts w:eastAsia="Malgun Gothic"/>
          <w:lang w:eastAsia="ko-KR"/>
        </w:rPr>
      </w:pPr>
      <w:r>
        <w:rPr>
          <w:rFonts w:eastAsia="Calibri"/>
        </w:rPr>
        <w:t xml:space="preserve">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</w:rPr>
              <m:t>rsvp_TX</m:t>
            </m:r>
            <m:ctrlPr>
              <w:rPr>
                <w:rFonts w:ascii="Cambria Math" w:eastAsia="Calibri" w:hAnsi="Cambria Math"/>
              </w:rPr>
            </m:ctrlPr>
          </m:sub>
        </m:sSub>
      </m:oMath>
      <w:r>
        <w:rPr>
          <w:rFonts w:eastAsia="Calibri"/>
        </w:rPr>
        <w:t xml:space="preserve">, if provided, is converted from units of </w:t>
      </w:r>
      <w:proofErr w:type="spellStart"/>
      <w:r>
        <w:rPr>
          <w:rFonts w:eastAsia="Calibri"/>
        </w:rPr>
        <w:t>msec</w:t>
      </w:r>
      <w:proofErr w:type="spellEnd"/>
      <w:r>
        <w:rPr>
          <w:rFonts w:eastAsia="Calibri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ascii="Cambria Math" w:eastAsia="Calibri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</w:rPr>
              <m:t>rsvp_TX</m:t>
            </m:r>
          </m:sub>
          <m:sup>
            <m:r>
              <m:rPr>
                <m:sty m:val="p"/>
              </m:rPr>
              <w:rPr>
                <w:rFonts w:ascii="Cambria Math" w:eastAsia="Calibri"/>
              </w:rPr>
              <m:t>'</m:t>
            </m:r>
          </m:sup>
        </m:sSubSup>
      </m:oMath>
      <w:r>
        <w:rPr>
          <w:rFonts w:eastAsia="Calibri"/>
        </w:rPr>
        <w:t xml:space="preserve"> according to clause 8.1.7.</w:t>
      </w:r>
    </w:p>
    <w:p w:rsidR="00AD1867" w:rsidRDefault="00320532" w:rsidP="00F12302">
      <w:pPr>
        <w:spacing w:before="120" w:after="120" w:line="259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Notation:</w:t>
      </w:r>
    </w:p>
    <w:p w:rsidR="00AD1867" w:rsidRDefault="00AD1867" w:rsidP="00F12302">
      <w:pPr>
        <w:spacing w:before="120" w:after="120" w:line="259" w:lineRule="auto"/>
        <w:rPr>
          <w:rFonts w:eastAsia="Malgun Gothic"/>
          <w:lang w:eastAsia="ko-KR"/>
        </w:rPr>
      </w:pPr>
      <m:oMath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>,…</m:t>
            </m:r>
          </m:e>
        </m:d>
      </m:oMath>
      <w:r w:rsidR="00320532">
        <w:rPr>
          <w:rFonts w:asciiTheme="minorHAnsi" w:eastAsia="Malgun Gothic" w:hAnsiTheme="minorHAnsi" w:cstheme="minorBidi" w:hint="eastAsia"/>
          <w:lang w:eastAsia="ko-KR"/>
        </w:rPr>
        <w:t xml:space="preserve"> </w:t>
      </w:r>
      <w:r w:rsidR="00320532">
        <w:rPr>
          <w:rFonts w:eastAsia="Malgun Gothic"/>
          <w:lang w:eastAsia="ko-KR"/>
        </w:rPr>
        <w:t xml:space="preserve">denotes the set of slots which belongs to the </w:t>
      </w:r>
      <w:proofErr w:type="spellStart"/>
      <w:r w:rsidR="00320532">
        <w:rPr>
          <w:rFonts w:eastAsia="Malgun Gothic"/>
          <w:lang w:eastAsia="ko-KR"/>
        </w:rPr>
        <w:t>sidelink</w:t>
      </w:r>
      <w:proofErr w:type="spellEnd"/>
      <w:r w:rsidR="00320532">
        <w:rPr>
          <w:rFonts w:eastAsia="Malgun Gothic"/>
          <w:lang w:eastAsia="ko-KR"/>
        </w:rPr>
        <w:t xml:space="preserve"> resource pool and is defined in Clause 8.</w:t>
      </w:r>
    </w:p>
    <w:p w:rsidR="00AD1867" w:rsidRDefault="00320532" w:rsidP="00F1230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</w:t>
      </w:r>
      <w:r>
        <w:rPr>
          <w:rFonts w:eastAsia="Malgun Gothic" w:hint="eastAsia"/>
          <w:lang w:eastAsia="ko-KR"/>
        </w:rPr>
        <w:t xml:space="preserve">he </w:t>
      </w:r>
      <w:r>
        <w:rPr>
          <w:rFonts w:eastAsia="Malgun Gothic"/>
          <w:lang w:eastAsia="ko-KR"/>
        </w:rPr>
        <w:t>following</w:t>
      </w:r>
      <w:r>
        <w:rPr>
          <w:rFonts w:eastAsia="Malgun Gothic" w:hint="eastAsia"/>
          <w:lang w:eastAsia="ko-KR"/>
        </w:rPr>
        <w:t xml:space="preserve"> steps are used:</w:t>
      </w:r>
    </w:p>
    <w:p w:rsidR="00AD1867" w:rsidRDefault="00320532" w:rsidP="00F12302">
      <w:pPr>
        <w:pStyle w:val="B1"/>
        <w:spacing w:before="120" w:after="120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>candidate single-</w:t>
      </w:r>
      <w:r>
        <w:rPr>
          <w:rFonts w:eastAsia="Malgun Gothic"/>
          <w:lang w:eastAsia="ko-KR"/>
        </w:rPr>
        <w:t>slot</w:t>
      </w:r>
      <w:r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>
        <w:rPr>
          <w:rFonts w:eastAsia="Malgun Gothic" w:hint="eastAsia"/>
          <w:i/>
          <w:lang w:eastAsia="ko-KR"/>
        </w:rPr>
        <w:t>x+j</w:t>
      </w:r>
      <w:proofErr w:type="spellEnd"/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r>
        <w:rPr>
          <w:rFonts w:eastAsia="Malgun Gothic"/>
          <w:lang w:eastAsia="ko-KR"/>
        </w:rPr>
        <w:t>slot</w:t>
      </w:r>
      <w:r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</m:t>
        </m:r>
        <m:r>
          <w:rPr>
            <w:rFonts w:ascii="Cambria Math" w:hAnsi="Cambria Math"/>
            <w:lang w:eastAsia="en-GB"/>
          </w:rPr>
          <m:t>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</m:t>
        </m:r>
        <m:r>
          <w:rPr>
            <w:rFonts w:ascii="Cambria Math" w:hAnsi="Cambria Math"/>
            <w:lang w:eastAsia="en-GB"/>
          </w:rPr>
          <m:t>1</m:t>
        </m:r>
      </m:oMath>
      <w:r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 xml:space="preserve"> contiguous sub-channels included in th</w:t>
      </w:r>
      <w:r>
        <w:rPr>
          <w:rFonts w:eastAsia="Malgun Gothic" w:hint="eastAsia"/>
          <w:lang w:eastAsia="ko-KR"/>
        </w:rPr>
        <w:t xml:space="preserve">e corresponding resource pool within the time interval </w:t>
      </w:r>
      <m:oMath>
        <m:r>
          <w:rPr>
            <w:rFonts w:ascii="Cambria Math" w:hAnsi="Cambria Math"/>
            <w:lang w:eastAsia="en-GB"/>
          </w:rPr>
          <m:t>[</m:t>
        </m:r>
        <m:r>
          <w:rPr>
            <w:rFonts w:ascii="Cambria Math" w:hAnsi="Cambria Math"/>
            <w:lang w:eastAsia="en-GB"/>
          </w:rPr>
          <m:t>n</m:t>
        </m:r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</m:t>
        </m:r>
        <m:r>
          <w:rPr>
            <w:rFonts w:ascii="Cambria Math" w:hAnsi="Cambria Math"/>
            <w:lang w:eastAsia="en-GB"/>
          </w:rPr>
          <m:t>n</m:t>
        </m:r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>
        <w:rPr>
          <w:rFonts w:eastAsia="Malgun Gothic" w:hint="eastAsia"/>
          <w:lang w:eastAsia="ko-KR"/>
        </w:rPr>
        <w:t xml:space="preserve"> correspond to one candidate single-s</w:t>
      </w:r>
      <w:r>
        <w:rPr>
          <w:rFonts w:eastAsia="Malgun Gothic"/>
          <w:lang w:eastAsia="ko-KR"/>
        </w:rPr>
        <w:t>lot</w:t>
      </w:r>
      <w:r>
        <w:rPr>
          <w:rFonts w:eastAsia="Malgun Gothic" w:hint="eastAsia"/>
          <w:lang w:eastAsia="ko-KR"/>
        </w:rPr>
        <w:t xml:space="preserve"> resource, where </w:t>
      </w:r>
    </w:p>
    <w:p w:rsidR="00AD1867" w:rsidRDefault="00320532" w:rsidP="00F12302">
      <w:pPr>
        <w:pStyle w:val="B2"/>
        <w:spacing w:before="120" w:after="120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selection</w:t>
      </w:r>
      <w:r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is</w:t>
      </w:r>
      <w:r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</w:t>
      </w:r>
      <w:r>
        <w:rPr>
          <w:rFonts w:eastAsia="Malgun Gothic"/>
          <w:lang w:eastAsia="en-GB"/>
        </w:rPr>
        <w:t>Table 8.1.4-2</w:t>
      </w:r>
      <w:r>
        <w:rPr>
          <w:rFonts w:eastAsia="Malgun Gothic"/>
        </w:rPr>
        <w:t xml:space="preserve"> </w:t>
      </w: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rPr>
          <w:rFonts w:eastAsiaTheme="minorEastAsia"/>
        </w:rPr>
        <w:t xml:space="preserve"> </w:t>
      </w:r>
      <w:r>
        <w:t>is the SCS configuration of the SL BWP</w:t>
      </w:r>
      <w:r>
        <w:rPr>
          <w:rFonts w:eastAsia="Malgun Gothic"/>
          <w:lang w:eastAsia="en-GB"/>
        </w:rPr>
        <w:t xml:space="preserve">; </w:t>
      </w:r>
    </w:p>
    <w:p w:rsidR="00AD1867" w:rsidRDefault="00320532" w:rsidP="00F12302">
      <w:pPr>
        <w:pStyle w:val="B2"/>
        <w:spacing w:before="120" w:after="120"/>
        <w:rPr>
          <w:rFonts w:eastAsia="Malgun Gothic"/>
          <w:lang w:eastAsia="en-GB"/>
        </w:rPr>
      </w:pPr>
      <w:bookmarkStart w:id="16" w:name="_Hlk26190437"/>
      <w:r>
        <w:t>-</w:t>
      </w:r>
      <w:r>
        <w:tab/>
      </w:r>
      <w: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>
        <w:t xml:space="preserve"> </w:t>
      </w:r>
      <w:r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>
        <w:rPr>
          <w:rFonts w:eastAsia="Malgun Gothic"/>
          <w:lang w:eastAsia="en-GB"/>
        </w:rPr>
        <w:t xml:space="preserve"> remaining packet 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16"/>
        <m:r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>is set to the remaining packet delay budget (in slots)</w:t>
      </w:r>
      <w:r>
        <w:rPr>
          <w:rFonts w:eastAsia="Malgun Gothic"/>
          <w:lang w:eastAsia="en-GB"/>
        </w:rPr>
        <w:t>.</w:t>
      </w:r>
    </w:p>
    <w:p w:rsidR="00AD1867" w:rsidRDefault="00320532" w:rsidP="00F12302">
      <w:pPr>
        <w:pStyle w:val="B2"/>
        <w:spacing w:before="120" w:after="120"/>
        <w:rPr>
          <w:rFonts w:eastAsia="Malgun Gothic"/>
          <w:lang w:eastAsia="en-GB"/>
        </w:rPr>
      </w:pPr>
      <w:r>
        <w:rPr>
          <w:rFonts w:eastAsia="Malgun Gothic" w:hint="eastAsia"/>
          <w:lang w:eastAsia="ko-KR"/>
        </w:rPr>
        <w:t xml:space="preserve">The total number of candidate single-slot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>s is denoted by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>.</w:t>
      </w:r>
    </w:p>
    <w:p w:rsidR="00AD1867" w:rsidRDefault="00320532" w:rsidP="00F12302">
      <w:pPr>
        <w:pStyle w:val="B1"/>
        <w:spacing w:before="120"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>The sensing window is defined by the range of slots [</w:t>
      </w:r>
      <m:oMath>
        <w:bookmarkStart w:id="17" w:name="_Hlk26192698"/>
        <m:r>
          <w:rPr>
            <w:rFonts w:ascii="Cambria Math" w:eastAsia="Malgun Gothic" w:hAnsi="Cambria Math"/>
            <w:lang w:eastAsia="ko-KR"/>
          </w:rPr>
          <m:t>n</m:t>
        </m:r>
        <m:r>
          <w:rPr>
            <w:rFonts w:ascii="Cambria Math" w:eastAsia="Malgun Gothic" w:hAnsi="Cambria Math"/>
            <w:lang w:eastAsia="ko-KR"/>
          </w:rPr>
          <m:t> –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r>
          <w:rPr>
            <w:rFonts w:ascii="Cambria Math" w:eastAsia="Malgun Gothic" w:hAnsi="Cambria Math"/>
            <w:lang w:eastAsia="ko-KR"/>
          </w:rPr>
          <m:t>n</m:t>
        </m:r>
        <m:r>
          <w:rPr>
            <w:rFonts w:ascii="Cambria Math" w:eastAsia="Malgun Gothic" w:hAnsi="Cambria Math"/>
            <w:lang w:eastAsia="ko-KR"/>
          </w:rPr>
          <m:t>–</m:t>
        </m:r>
        <w:bookmarkEnd w:id="17"/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</m:t>
            </m:r>
            <m:r>
              <w:rPr>
                <w:rFonts w:ascii="Cambria Math" w:eastAsia="Malgun Gothic" w:hAnsi="Cambria Math"/>
                <w:lang w:val="de-DE" w:eastAsia="ko-KR"/>
              </w:rPr>
              <m:t>oc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,0</m:t>
            </m:r>
            <m:ctrlPr>
              <w:rPr>
                <w:rFonts w:ascii="Cambria Math" w:eastAsia="Malgun Gothic" w:hAnsi="Cambria Math"/>
                <w:lang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) where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</m:sSub>
      </m:oMath>
      <w:r>
        <w:rPr>
          <w:rFonts w:eastAsia="Malgun Gothic"/>
          <w:lang w:eastAsia="ko-KR"/>
        </w:rPr>
        <w:t xml:space="preserve"> is defined above and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,0</m:t>
            </m:r>
            <m:ctrlPr>
              <w:rPr>
                <w:rFonts w:ascii="Cambria Math" w:eastAsia="Malgun Gothic" w:hAnsi="Cambria Math"/>
                <w:lang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>
        <w:rPr>
          <w:rFonts w:eastAsia="Malgun Gothic"/>
          <w:lang w:eastAsia="en-GB"/>
        </w:rPr>
        <w:t xml:space="preserve"> is defined in slots in Table 8.1.4-1 </w:t>
      </w: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rPr>
          <w:rFonts w:eastAsiaTheme="minorEastAsia"/>
        </w:rPr>
        <w:t xml:space="preserve"> </w:t>
      </w:r>
      <w:r>
        <w:t>is the SCS configuration of the SL BWP</w:t>
      </w:r>
      <w:r>
        <w:rPr>
          <w:rFonts w:eastAsia="Malgun Gothic"/>
          <w:lang w:eastAsia="ko-KR"/>
        </w:rPr>
        <w:t>. The UE shall monitor slots which belong</w:t>
      </w:r>
      <w:r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to a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resource pool within the sensing window except for those in which its own transmissions occur. The UE shall perform the </w:t>
      </w:r>
      <w:proofErr w:type="spellStart"/>
      <w:r>
        <w:rPr>
          <w:rFonts w:eastAsia="Malgun Gothic"/>
          <w:lang w:eastAsia="ko-KR"/>
        </w:rPr>
        <w:t>behaviour</w:t>
      </w:r>
      <w:proofErr w:type="spellEnd"/>
      <w:r>
        <w:rPr>
          <w:rFonts w:eastAsia="Malgun Gothic"/>
          <w:lang w:eastAsia="ko-KR"/>
        </w:rPr>
        <w:t xml:space="preserve"> in the following steps based on PSCCH decoded and RSRP measured in these slots.</w:t>
      </w:r>
    </w:p>
    <w:p w:rsidR="00AD1867" w:rsidRDefault="00320532" w:rsidP="00F12302">
      <w:pPr>
        <w:pStyle w:val="B1"/>
        <w:spacing w:before="120"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internal parameter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set to the corresponding value </w:t>
      </w:r>
      <w:r>
        <w:rPr>
          <w:rFonts w:eastAsia="Malgun Gothic"/>
          <w:lang w:eastAsia="en-GB"/>
        </w:rPr>
        <w:t xml:space="preserve">of RSRP threshold </w:t>
      </w:r>
      <w:r>
        <w:t xml:space="preserve">indicated by the </w:t>
      </w:r>
      <w:proofErr w:type="spellStart"/>
      <w:r>
        <w:rPr>
          <w:i/>
        </w:rPr>
        <w:t>i</w:t>
      </w:r>
      <w:r>
        <w:t>-th</w:t>
      </w:r>
      <w:proofErr w:type="spellEnd"/>
      <w:r>
        <w:t xml:space="preserve"> </w:t>
      </w:r>
      <w:r>
        <w:rPr>
          <w:rFonts w:eastAsia="Malgun Gothic"/>
          <w:lang w:eastAsia="ko-KR"/>
        </w:rPr>
        <w:t>field</w:t>
      </w:r>
      <w:r>
        <w:t xml:space="preserve"> in </w:t>
      </w:r>
      <w:proofErr w:type="spellStart"/>
      <w:r>
        <w:rPr>
          <w:rFonts w:eastAsia="Malgun Gothic"/>
          <w:i/>
          <w:iCs/>
          <w:lang w:eastAsia="ko-KR"/>
        </w:rPr>
        <w:t>sl</w:t>
      </w:r>
      <w:proofErr w:type="spellEnd"/>
      <w:r>
        <w:rPr>
          <w:rFonts w:eastAsia="Malgun Gothic"/>
          <w:i/>
          <w:iCs/>
          <w:lang w:eastAsia="ko-KR"/>
        </w:rPr>
        <w:t>-</w:t>
      </w:r>
      <w:proofErr w:type="spellStart"/>
      <w:r>
        <w:rPr>
          <w:rFonts w:eastAsia="Malgun Gothic"/>
          <w:i/>
          <w:iCs/>
          <w:lang w:eastAsia="ko-KR"/>
        </w:rPr>
        <w:t>Thres</w:t>
      </w:r>
      <w:r>
        <w:rPr>
          <w:rFonts w:eastAsia="Malgun Gothic"/>
          <w:i/>
          <w:iCs/>
          <w:strike/>
          <w:color w:val="FF0000"/>
          <w:lang w:eastAsia="ko-KR"/>
        </w:rPr>
        <w:t>PSSCH</w:t>
      </w:r>
      <w:proofErr w:type="spellEnd"/>
      <w:r>
        <w:rPr>
          <w:rFonts w:eastAsia="Malgun Gothic"/>
          <w:i/>
          <w:iCs/>
          <w:lang w:eastAsia="ko-KR"/>
        </w:rPr>
        <w:t>-RSRP-List</w:t>
      </w:r>
      <w:r>
        <w:t xml:space="preserve">, where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+</m:t>
        </m:r>
        <m:d>
          <m:dPr>
            <m:ctrlPr>
              <w:rPr>
                <w:rFonts w:ascii="Cambria Math" w:eastAsia="Malgun Gothic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j</m:t>
                </m:r>
              </m:sub>
            </m:sSub>
            <m:r>
              <w:rPr>
                <w:rFonts w:ascii="Cambria Math" w:hAnsi="Cambria Math" w:cs="MS Gothic"/>
              </w:rPr>
              <m:t>-1</m:t>
            </m:r>
            <m:ctrlPr>
              <w:rPr>
                <w:rFonts w:ascii="Cambria Math" w:hAnsi="Cambria Math" w:cs="MS Gothic"/>
                <w:i/>
              </w:rPr>
            </m:ctrlPr>
          </m:e>
        </m:d>
        <m:r>
          <w:rPr>
            <w:rFonts w:ascii="Cambria Math" w:hAnsi="Cambria Math" w:cs="MS Gothic"/>
          </w:rPr>
          <m:t>*</m:t>
        </m:r>
        <m:r>
          <w:rPr>
            <w:rFonts w:ascii="Cambria Math" w:eastAsia="Malgun Gothic" w:hAnsi="Cambria Math"/>
            <w:lang w:eastAsia="ko-KR"/>
          </w:rPr>
          <m:t>8</m:t>
        </m:r>
      </m:oMath>
      <w:r>
        <w:rPr>
          <w:rFonts w:eastAsia="Malgun Gothic"/>
        </w:rPr>
        <w:t>.</w:t>
      </w:r>
    </w:p>
    <w:p w:rsidR="00AD1867" w:rsidRDefault="00320532" w:rsidP="00F1230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AD1867" w:rsidRDefault="00AD1867">
      <w:pPr>
        <w:pStyle w:val="References"/>
        <w:numPr>
          <w:ilvl w:val="255"/>
          <w:numId w:val="0"/>
        </w:numPr>
        <w:spacing w:before="120" w:after="120"/>
      </w:pPr>
    </w:p>
    <w:sectPr w:rsidR="00AD1867" w:rsidSect="00AD1867">
      <w:footerReference w:type="defaul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532" w:rsidRDefault="00320532" w:rsidP="00F12302">
      <w:pPr>
        <w:spacing w:before="120" w:after="120" w:line="240" w:lineRule="auto"/>
      </w:pPr>
      <w:r>
        <w:separator/>
      </w:r>
    </w:p>
  </w:endnote>
  <w:endnote w:type="continuationSeparator" w:id="0">
    <w:p w:rsidR="00320532" w:rsidRDefault="00320532" w:rsidP="00F1230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2" w:rsidRDefault="00F12302" w:rsidP="00F12302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2" w:rsidRDefault="00F12302" w:rsidP="00F12302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2" w:rsidRDefault="00F12302" w:rsidP="00F12302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867" w:rsidRDefault="00AD1867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AD1867" w:rsidRDefault="00AD1867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320532">
                  <w:instrText xml:space="preserve"> PAGE  \* MERGEFORMAT </w:instrText>
                </w:r>
                <w:r>
                  <w:fldChar w:fldCharType="separate"/>
                </w:r>
                <w:r w:rsidR="00F12302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532" w:rsidRDefault="00320532" w:rsidP="00F12302">
      <w:pPr>
        <w:spacing w:before="120" w:after="120" w:line="240" w:lineRule="auto"/>
      </w:pPr>
      <w:r>
        <w:separator/>
      </w:r>
    </w:p>
  </w:footnote>
  <w:footnote w:type="continuationSeparator" w:id="0">
    <w:p w:rsidR="00320532" w:rsidRDefault="00320532" w:rsidP="00F1230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867" w:rsidRDefault="00320532" w:rsidP="00F12302">
    <w:pPr>
      <w:spacing w:before="120" w:after="120"/>
    </w:pPr>
    <w:r>
      <w:t xml:space="preserve">Page </w:t>
    </w:r>
    <w:r w:rsidR="00AD1867">
      <w:fldChar w:fldCharType="begin"/>
    </w:r>
    <w:r>
      <w:instrText>PAGE</w:instrText>
    </w:r>
    <w:r w:rsidR="00AD1867">
      <w:fldChar w:fldCharType="separate"/>
    </w:r>
    <w:r>
      <w:t>1</w:t>
    </w:r>
    <w:r w:rsidR="00AD1867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0532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D186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2302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67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AD186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AD186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AD186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AD1867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AD1867"/>
    <w:pPr>
      <w:ind w:left="1135"/>
    </w:pPr>
  </w:style>
  <w:style w:type="paragraph" w:styleId="20">
    <w:name w:val="List 2"/>
    <w:basedOn w:val="a3"/>
    <w:uiPriority w:val="99"/>
    <w:unhideWhenUsed/>
    <w:qFormat/>
    <w:rsid w:val="00AD1867"/>
    <w:pPr>
      <w:ind w:left="851"/>
    </w:pPr>
  </w:style>
  <w:style w:type="paragraph" w:styleId="a3">
    <w:name w:val="List"/>
    <w:basedOn w:val="a"/>
    <w:uiPriority w:val="99"/>
    <w:unhideWhenUsed/>
    <w:qFormat/>
    <w:rsid w:val="00AD1867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AD1867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AD1867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AD1867"/>
    <w:pPr>
      <w:jc w:val="left"/>
    </w:pPr>
  </w:style>
  <w:style w:type="paragraph" w:styleId="a7">
    <w:name w:val="Body Text"/>
    <w:basedOn w:val="a"/>
    <w:uiPriority w:val="99"/>
    <w:unhideWhenUsed/>
    <w:qFormat/>
    <w:rsid w:val="00AD1867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AD1867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AD1867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AD1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AD1867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AD1867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AD1867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AD1867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AD1867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AD1867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AD18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AD1867"/>
    <w:rPr>
      <w:i/>
      <w:iCs/>
    </w:rPr>
  </w:style>
  <w:style w:type="character" w:styleId="af">
    <w:name w:val="Hyperlink"/>
    <w:basedOn w:val="a0"/>
    <w:uiPriority w:val="99"/>
    <w:unhideWhenUsed/>
    <w:qFormat/>
    <w:rsid w:val="00AD1867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AD1867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AD1867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AD1867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AD1867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AD1867"/>
  </w:style>
  <w:style w:type="paragraph" w:customStyle="1" w:styleId="3rdlevelproposal">
    <w:name w:val="3rd level proposal"/>
    <w:basedOn w:val="sub-proposal"/>
    <w:next w:val="a"/>
    <w:qFormat/>
    <w:rsid w:val="00AD1867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AD1867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AD1867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AD1867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AD1867"/>
  </w:style>
  <w:style w:type="paragraph" w:customStyle="1" w:styleId="22">
    <w:name w:val="样式2"/>
    <w:basedOn w:val="a"/>
    <w:qFormat/>
    <w:rsid w:val="00AD1867"/>
  </w:style>
  <w:style w:type="character" w:customStyle="1" w:styleId="Char1">
    <w:name w:val="批注框文本 Char"/>
    <w:basedOn w:val="a0"/>
    <w:link w:val="a8"/>
    <w:uiPriority w:val="99"/>
    <w:semiHidden/>
    <w:qFormat/>
    <w:rsid w:val="00AD1867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AD1867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AD1867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AD1867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AD1867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AD1867"/>
    <w:rPr>
      <w:kern w:val="2"/>
      <w:sz w:val="21"/>
    </w:rPr>
  </w:style>
  <w:style w:type="paragraph" w:customStyle="1" w:styleId="B2">
    <w:name w:val="B2"/>
    <w:basedOn w:val="20"/>
    <w:qFormat/>
    <w:rsid w:val="00AD1867"/>
  </w:style>
  <w:style w:type="paragraph" w:customStyle="1" w:styleId="B3">
    <w:name w:val="B3"/>
    <w:basedOn w:val="30"/>
    <w:qFormat/>
    <w:rsid w:val="00AD1867"/>
  </w:style>
  <w:style w:type="paragraph" w:customStyle="1" w:styleId="TAL">
    <w:name w:val="TAL"/>
    <w:basedOn w:val="a"/>
    <w:qFormat/>
    <w:rsid w:val="00AD1867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AD1867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AD1867"/>
  </w:style>
  <w:style w:type="paragraph" w:customStyle="1" w:styleId="YJ-Observation-2021">
    <w:name w:val="YJ-Observation-2021"/>
    <w:basedOn w:val="a"/>
    <w:qFormat/>
    <w:rsid w:val="00AD1867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AD186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AD1867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AD186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77F862-9CF6-40B5-9059-BF729415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1305</Words>
  <Characters>7444</Characters>
  <Application>Microsoft Office Word</Application>
  <DocSecurity>0</DocSecurity>
  <Lines>62</Lines>
  <Paragraphs>17</Paragraphs>
  <ScaleCrop>false</ScaleCrop>
  <Company>ZTE</Company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</cp:revision>
  <dcterms:created xsi:type="dcterms:W3CDTF">2021-04-07T03:32:00Z</dcterms:created>
  <dcterms:modified xsi:type="dcterms:W3CDTF">2021-04-07T03:32:00Z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