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3CACA" w14:textId="33E67EF1" w:rsidR="00565C16" w:rsidRPr="00B35205" w:rsidRDefault="00565C16" w:rsidP="00565C16">
      <w:pPr>
        <w:pStyle w:val="3GPPHeader"/>
        <w:spacing w:after="60"/>
        <w:rPr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B16F13">
        <w:rPr>
          <w:rFonts w:ascii="Arial" w:hAnsi="Arial" w:cs="Arial"/>
          <w:bCs/>
          <w:sz w:val="28"/>
          <w:szCs w:val="28"/>
        </w:rPr>
        <w:t>4</w:t>
      </w:r>
      <w:r w:rsidR="001D7192">
        <w:rPr>
          <w:rFonts w:ascii="Arial" w:hAnsi="Arial" w:cs="Arial"/>
          <w:bCs/>
          <w:sz w:val="28"/>
          <w:szCs w:val="28"/>
        </w:rPr>
        <w:t>b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2E78A1" w:rsidRPr="00B848C4">
        <w:rPr>
          <w:rFonts w:ascii="Arial" w:hAnsi="Arial" w:cs="Arial"/>
          <w:bCs/>
          <w:sz w:val="28"/>
          <w:szCs w:val="28"/>
        </w:rPr>
        <w:t>2</w:t>
      </w:r>
      <w:r w:rsidR="008E5FA7">
        <w:rPr>
          <w:rFonts w:ascii="Arial" w:hAnsi="Arial" w:cs="Arial"/>
          <w:bCs/>
          <w:sz w:val="28"/>
          <w:szCs w:val="28"/>
        </w:rPr>
        <w:t>1</w:t>
      </w:r>
      <w:r w:rsidR="00CA38BC">
        <w:rPr>
          <w:rFonts w:ascii="Arial" w:hAnsi="Arial" w:cs="Arial"/>
          <w:bCs/>
          <w:sz w:val="28"/>
          <w:szCs w:val="28"/>
        </w:rPr>
        <w:t>03120</w:t>
      </w:r>
    </w:p>
    <w:p w14:paraId="3ED772E9" w14:textId="4182E09D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1D7192">
        <w:rPr>
          <w:rFonts w:ascii="Arial" w:eastAsia="MS Mincho" w:hAnsi="Arial" w:cs="Arial"/>
          <w:b/>
          <w:bCs/>
          <w:sz w:val="28"/>
          <w:lang w:eastAsia="ja-JP"/>
        </w:rPr>
        <w:t>April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1D7192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1D7192"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1FE5C708" w:rsidR="00E90E49" w:rsidRPr="00315C6E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2E78A1">
        <w:rPr>
          <w:sz w:val="22"/>
          <w:szCs w:val="22"/>
        </w:rPr>
        <w:t>8.</w:t>
      </w:r>
      <w:r w:rsidR="005320E9">
        <w:rPr>
          <w:sz w:val="22"/>
          <w:szCs w:val="22"/>
        </w:rPr>
        <w:t>10</w:t>
      </w:r>
      <w:r w:rsidR="002E78A1">
        <w:rPr>
          <w:sz w:val="22"/>
          <w:szCs w:val="22"/>
        </w:rPr>
        <w:t>.</w:t>
      </w:r>
      <w:r w:rsidR="008E5FA7">
        <w:rPr>
          <w:sz w:val="22"/>
          <w:szCs w:val="22"/>
        </w:rPr>
        <w:t>1</w:t>
      </w:r>
    </w:p>
    <w:p w14:paraId="3D5AB017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5B22300E" w14:textId="0D10EF91" w:rsidR="00E90E49" w:rsidRPr="00315C6E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193533">
        <w:rPr>
          <w:sz w:val="22"/>
          <w:szCs w:val="22"/>
        </w:rPr>
        <w:tab/>
      </w:r>
      <w:r w:rsidR="002032DA" w:rsidRPr="002032DA">
        <w:rPr>
          <w:sz w:val="22"/>
          <w:szCs w:val="22"/>
        </w:rPr>
        <w:t xml:space="preserve">Enhanced resource multiplexing within </w:t>
      </w:r>
      <w:r w:rsidR="000709CA">
        <w:rPr>
          <w:sz w:val="22"/>
          <w:szCs w:val="22"/>
        </w:rPr>
        <w:t>an</w:t>
      </w:r>
      <w:r w:rsidR="002032DA" w:rsidRPr="002032DA">
        <w:rPr>
          <w:sz w:val="22"/>
          <w:szCs w:val="22"/>
        </w:rPr>
        <w:t xml:space="preserve"> IAB node</w:t>
      </w:r>
      <w:r w:rsidR="00502BD9">
        <w:rPr>
          <w:sz w:val="22"/>
          <w:szCs w:val="22"/>
        </w:rPr>
        <w:t xml:space="preserve"> </w:t>
      </w:r>
    </w:p>
    <w:p w14:paraId="499A70C9" w14:textId="77777777" w:rsidR="00E90E49" w:rsidRPr="00315C6E" w:rsidRDefault="00E90E49" w:rsidP="00396685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Document for:</w:t>
      </w:r>
      <w:r w:rsidRPr="00315C6E">
        <w:rPr>
          <w:sz w:val="22"/>
          <w:szCs w:val="22"/>
        </w:rPr>
        <w:tab/>
        <w:t>Discussion, Decision</w:t>
      </w:r>
    </w:p>
    <w:p w14:paraId="7C1A2FA9" w14:textId="39155F8B" w:rsidR="004D0D84" w:rsidRPr="002050A6" w:rsidRDefault="00E90E49" w:rsidP="002050A6">
      <w:pPr>
        <w:pStyle w:val="Heading1"/>
      </w:pPr>
      <w:bookmarkStart w:id="0" w:name="_Ref4510574"/>
      <w:r w:rsidRPr="00315C6E">
        <w:t>Introduction</w:t>
      </w:r>
      <w:bookmarkEnd w:id="0"/>
    </w:p>
    <w:p w14:paraId="439E3C9B" w14:textId="27F8AD6D" w:rsidR="00941E13" w:rsidRDefault="00797E71" w:rsidP="00F838FC">
      <w:pPr>
        <w:jc w:val="both"/>
        <w:rPr>
          <w:sz w:val="20"/>
          <w:szCs w:val="20"/>
        </w:rPr>
      </w:pPr>
      <w:r>
        <w:rPr>
          <w:sz w:val="20"/>
          <w:szCs w:val="20"/>
        </w:rPr>
        <w:t>Rel-17</w:t>
      </w:r>
      <w:r w:rsidR="00941E13">
        <w:rPr>
          <w:sz w:val="20"/>
          <w:szCs w:val="20"/>
        </w:rPr>
        <w:t xml:space="preserve"> WI to enhance integrated access and backhaul (IAB)</w:t>
      </w:r>
      <w:r w:rsidR="002516D5">
        <w:rPr>
          <w:sz w:val="20"/>
          <w:szCs w:val="20"/>
        </w:rPr>
        <w:t xml:space="preserve"> </w:t>
      </w:r>
      <w:r w:rsidR="00941E13">
        <w:rPr>
          <w:sz w:val="20"/>
          <w:szCs w:val="20"/>
        </w:rPr>
        <w:t>aims the following RAN1-led objectives, related to duplexing enhancements</w:t>
      </w:r>
      <w:r w:rsidR="002516D5">
        <w:rPr>
          <w:sz w:val="20"/>
          <w:szCs w:val="20"/>
        </w:rPr>
        <w:t xml:space="preserve"> </w:t>
      </w:r>
      <w:r w:rsidR="00941E13">
        <w:rPr>
          <w:sz w:val="20"/>
          <w:szCs w:val="20"/>
        </w:rPr>
        <w:t>[1]:</w:t>
      </w:r>
    </w:p>
    <w:p w14:paraId="2E804EE7" w14:textId="77777777" w:rsidR="00941E13" w:rsidRPr="00941E13" w:rsidRDefault="00941E13" w:rsidP="00941E13">
      <w:pPr>
        <w:numPr>
          <w:ilvl w:val="0"/>
          <w:numId w:val="23"/>
        </w:numPr>
        <w:jc w:val="both"/>
        <w:rPr>
          <w:sz w:val="20"/>
          <w:szCs w:val="20"/>
        </w:rPr>
      </w:pPr>
      <w:r w:rsidRPr="00941E13">
        <w:rPr>
          <w:sz w:val="20"/>
          <w:szCs w:val="20"/>
          <w:lang w:val="en-GB"/>
        </w:rPr>
        <w:t>Specification of enhancements to the resource multiplexing between child and parent links of an IAB node, including:</w:t>
      </w:r>
    </w:p>
    <w:p w14:paraId="0B5FCC1D" w14:textId="77777777" w:rsidR="00941E13" w:rsidRPr="00941E13" w:rsidRDefault="00941E13" w:rsidP="00941E13">
      <w:pPr>
        <w:numPr>
          <w:ilvl w:val="1"/>
          <w:numId w:val="23"/>
        </w:numPr>
        <w:jc w:val="both"/>
        <w:rPr>
          <w:sz w:val="20"/>
          <w:szCs w:val="20"/>
          <w:lang w:val="en-GB"/>
        </w:rPr>
      </w:pPr>
      <w:bookmarkStart w:id="1" w:name="_Hlk26193173"/>
      <w:r w:rsidRPr="00941E13">
        <w:rPr>
          <w:sz w:val="20"/>
          <w:szCs w:val="20"/>
          <w:lang w:val="en-GB"/>
        </w:rPr>
        <w:t>Support of simultaneous operation (transmission and/or reception) of IAB-node’s child and parent links (i.e., MT Tx/DU Tx, MT Tx/DU Rx, MT Rx/DU Tx, MT Rx/DU Rx).</w:t>
      </w:r>
    </w:p>
    <w:p w14:paraId="75261FFE" w14:textId="77777777" w:rsidR="00941E13" w:rsidRPr="00941E13" w:rsidRDefault="00941E13" w:rsidP="00941E13">
      <w:pPr>
        <w:numPr>
          <w:ilvl w:val="1"/>
          <w:numId w:val="23"/>
        </w:numPr>
        <w:jc w:val="both"/>
        <w:rPr>
          <w:sz w:val="20"/>
          <w:szCs w:val="20"/>
          <w:lang w:val="en-GB"/>
        </w:rPr>
      </w:pPr>
      <w:r w:rsidRPr="00941E13">
        <w:rPr>
          <w:sz w:val="20"/>
          <w:szCs w:val="20"/>
          <w:lang w:val="en-GB"/>
        </w:rPr>
        <w:t>Support for dual-connectivity scenarios defined by RAN2/RAN3 in the context of topology redundancy for improved robustness and load balancing.</w:t>
      </w:r>
    </w:p>
    <w:bookmarkEnd w:id="1"/>
    <w:p w14:paraId="52A63A99" w14:textId="77777777" w:rsidR="00941E13" w:rsidRPr="00941E13" w:rsidRDefault="00941E13" w:rsidP="00941E13">
      <w:pPr>
        <w:numPr>
          <w:ilvl w:val="0"/>
          <w:numId w:val="23"/>
        </w:numPr>
        <w:jc w:val="both"/>
        <w:rPr>
          <w:sz w:val="20"/>
          <w:szCs w:val="20"/>
          <w:lang w:val="en-GB"/>
        </w:rPr>
      </w:pPr>
      <w:r w:rsidRPr="00941E13">
        <w:rPr>
          <w:sz w:val="20"/>
          <w:szCs w:val="20"/>
          <w:lang w:val="en-GB"/>
        </w:rPr>
        <w:t>Specification of IAB-node timing mode(s), extensions for DL/UL power control, and CLI and interference measurements of BH links, as needed, to support simultaneous operation (transmission and/or reception) by IAB-node’s child and parent links.</w:t>
      </w:r>
    </w:p>
    <w:p w14:paraId="5C1BB757" w14:textId="77777777" w:rsidR="00941E13" w:rsidRDefault="00941E13" w:rsidP="00F838FC">
      <w:pPr>
        <w:jc w:val="both"/>
        <w:rPr>
          <w:sz w:val="20"/>
          <w:szCs w:val="20"/>
        </w:rPr>
      </w:pPr>
    </w:p>
    <w:p w14:paraId="6B6CA718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56BEE1FA" w14:textId="2D4E62AF" w:rsidR="005B1FBD" w:rsidRDefault="00F838FC" w:rsidP="000D07A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 xml:space="preserve">In this contribution, </w:t>
      </w:r>
      <w:r w:rsidRPr="00F838FC">
        <w:rPr>
          <w:sz w:val="20"/>
          <w:szCs w:val="20"/>
          <w:lang w:val="en-GB"/>
        </w:rPr>
        <w:t>we present our views on potential techniques</w:t>
      </w:r>
      <w:r w:rsidR="001B1922">
        <w:rPr>
          <w:sz w:val="20"/>
          <w:szCs w:val="20"/>
          <w:lang w:val="en-GB"/>
        </w:rPr>
        <w:t xml:space="preserve"> and required signalling</w:t>
      </w:r>
      <w:r w:rsidRPr="00F838FC">
        <w:rPr>
          <w:sz w:val="20"/>
          <w:szCs w:val="20"/>
          <w:lang w:val="en-GB"/>
        </w:rPr>
        <w:t xml:space="preserve"> to enhance </w:t>
      </w:r>
      <w:r w:rsidR="00D12C2E">
        <w:rPr>
          <w:sz w:val="20"/>
          <w:szCs w:val="20"/>
          <w:lang w:val="en-GB"/>
        </w:rPr>
        <w:t xml:space="preserve">resource </w:t>
      </w:r>
      <w:r w:rsidR="008C2B48">
        <w:rPr>
          <w:sz w:val="20"/>
          <w:szCs w:val="20"/>
          <w:lang w:val="en-GB"/>
        </w:rPr>
        <w:t>multiplexing</w:t>
      </w:r>
      <w:r w:rsidR="001B1922">
        <w:rPr>
          <w:sz w:val="20"/>
          <w:szCs w:val="20"/>
          <w:lang w:val="en-GB"/>
        </w:rPr>
        <w:t xml:space="preserve"> </w:t>
      </w:r>
      <w:r w:rsidR="008C2B48">
        <w:rPr>
          <w:sz w:val="20"/>
          <w:szCs w:val="20"/>
          <w:lang w:val="en-GB"/>
        </w:rPr>
        <w:t>between IAB node’s child and parent links</w:t>
      </w:r>
      <w:r w:rsidR="001B1922">
        <w:rPr>
          <w:sz w:val="20"/>
          <w:szCs w:val="20"/>
          <w:lang w:val="en-GB"/>
        </w:rPr>
        <w:t>.</w:t>
      </w:r>
    </w:p>
    <w:p w14:paraId="1644A205" w14:textId="73EB46A9" w:rsidR="00D12C2E" w:rsidRPr="00D12C2E" w:rsidRDefault="00CA2885" w:rsidP="00D12C2E">
      <w:pPr>
        <w:pStyle w:val="Heading1"/>
      </w:pPr>
      <w:r>
        <w:t xml:space="preserve">SDM Resource </w:t>
      </w:r>
      <w:r w:rsidR="00F001D5">
        <w:t>Multiplexing</w:t>
      </w:r>
      <w:r>
        <w:t xml:space="preserve"> within an IAB-node</w:t>
      </w:r>
    </w:p>
    <w:p w14:paraId="6208681D" w14:textId="3B66826B" w:rsidR="00D12C2E" w:rsidRDefault="0091063F" w:rsidP="00D12C2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IAB specification in Rel-16 is mainly </w:t>
      </w:r>
      <w:r w:rsidR="004D377B">
        <w:rPr>
          <w:sz w:val="20"/>
          <w:szCs w:val="20"/>
        </w:rPr>
        <w:t>limited</w:t>
      </w:r>
      <w:r>
        <w:rPr>
          <w:sz w:val="20"/>
          <w:szCs w:val="20"/>
        </w:rPr>
        <w:t xml:space="preserve"> </w:t>
      </w:r>
      <w:r w:rsidR="004D377B">
        <w:rPr>
          <w:sz w:val="20"/>
          <w:szCs w:val="20"/>
        </w:rPr>
        <w:t>to</w:t>
      </w:r>
      <w:r>
        <w:rPr>
          <w:sz w:val="20"/>
          <w:szCs w:val="20"/>
        </w:rPr>
        <w:t xml:space="preserve"> TDM operation within DU and MT components of an IAB node. In Rel-17, and as part of enhanced resource multiplexing, SDM and FDM multiplexing</w:t>
      </w:r>
      <w:r w:rsidR="00773D6E">
        <w:rPr>
          <w:sz w:val="20"/>
          <w:szCs w:val="20"/>
        </w:rPr>
        <w:t xml:space="preserve"> </w:t>
      </w:r>
      <w:r w:rsidR="00773D6E">
        <w:rPr>
          <w:sz w:val="20"/>
          <w:szCs w:val="20"/>
        </w:rPr>
        <w:t>within</w:t>
      </w:r>
      <w:r w:rsidR="00773D6E">
        <w:rPr>
          <w:sz w:val="20"/>
          <w:szCs w:val="20"/>
        </w:rPr>
        <w:t xml:space="preserve"> </w:t>
      </w:r>
      <w:r w:rsidR="00773D6E">
        <w:rPr>
          <w:sz w:val="20"/>
          <w:szCs w:val="20"/>
        </w:rPr>
        <w:t>an IAB node</w:t>
      </w:r>
      <w:r>
        <w:rPr>
          <w:sz w:val="20"/>
          <w:szCs w:val="20"/>
        </w:rPr>
        <w:t xml:space="preserve"> is being discussed. In that regard, it was agreed i</w:t>
      </w:r>
      <w:r w:rsidR="00D12C2E" w:rsidRPr="00F838FC">
        <w:rPr>
          <w:sz w:val="20"/>
          <w:szCs w:val="20"/>
        </w:rPr>
        <w:t>n RAN</w:t>
      </w:r>
      <w:r w:rsidR="00D12C2E">
        <w:rPr>
          <w:sz w:val="20"/>
          <w:szCs w:val="20"/>
        </w:rPr>
        <w:t>1</w:t>
      </w:r>
      <w:r w:rsidR="00D12C2E" w:rsidRPr="00F838FC">
        <w:rPr>
          <w:sz w:val="20"/>
          <w:szCs w:val="20"/>
        </w:rPr>
        <w:t>#</w:t>
      </w:r>
      <w:r w:rsidR="00D12C2E">
        <w:rPr>
          <w:sz w:val="20"/>
          <w:szCs w:val="20"/>
        </w:rPr>
        <w:t>104-e</w:t>
      </w:r>
      <w:r>
        <w:rPr>
          <w:sz w:val="20"/>
          <w:szCs w:val="20"/>
        </w:rPr>
        <w:t xml:space="preserve"> that </w:t>
      </w:r>
      <w:r w:rsidR="00D12C2E">
        <w:rPr>
          <w:sz w:val="20"/>
          <w:szCs w:val="20"/>
        </w:rPr>
        <w:t>[</w:t>
      </w:r>
      <w:r>
        <w:rPr>
          <w:sz w:val="20"/>
          <w:szCs w:val="20"/>
        </w:rPr>
        <w:t>2</w:t>
      </w:r>
      <w:r w:rsidR="00D12C2E">
        <w:rPr>
          <w:sz w:val="20"/>
          <w:szCs w:val="20"/>
        </w:rPr>
        <w:t>]:</w:t>
      </w:r>
    </w:p>
    <w:p w14:paraId="778F199E" w14:textId="77777777" w:rsidR="00D12C2E" w:rsidRPr="009D5CD1" w:rsidRDefault="00D12C2E" w:rsidP="00D12C2E">
      <w:pPr>
        <w:jc w:val="both"/>
        <w:rPr>
          <w:sz w:val="20"/>
          <w:szCs w:val="20"/>
        </w:rPr>
      </w:pPr>
    </w:p>
    <w:p w14:paraId="47D6B09E" w14:textId="77777777" w:rsidR="00D12C2E" w:rsidRPr="009D5CD1" w:rsidRDefault="00D12C2E" w:rsidP="00D12C2E">
      <w:pPr>
        <w:jc w:val="both"/>
        <w:rPr>
          <w:b/>
          <w:bCs/>
          <w:sz w:val="20"/>
          <w:szCs w:val="20"/>
        </w:rPr>
      </w:pPr>
      <w:r w:rsidRPr="009D5CD1">
        <w:rPr>
          <w:b/>
          <w:bCs/>
          <w:sz w:val="20"/>
          <w:szCs w:val="20"/>
          <w:highlight w:val="green"/>
        </w:rPr>
        <w:t>Agreement</w:t>
      </w:r>
      <w:r>
        <w:rPr>
          <w:sz w:val="20"/>
          <w:szCs w:val="20"/>
        </w:rPr>
        <w:t xml:space="preserve">: </w:t>
      </w:r>
      <w:r w:rsidRPr="009D5CD1">
        <w:rPr>
          <w:sz w:val="20"/>
          <w:szCs w:val="20"/>
        </w:rPr>
        <w:t>Support indication/reporting of information between an IAB node and its parent node to assist in the determination of the applicability of a given multiplexing capability in case of simultaneous operation. The following solutions are considered (other solutions not precluded):</w:t>
      </w:r>
    </w:p>
    <w:p w14:paraId="12427EBC" w14:textId="77777777" w:rsidR="00D12C2E" w:rsidRPr="009D5CD1" w:rsidRDefault="00D12C2E" w:rsidP="00D12C2E">
      <w:pPr>
        <w:numPr>
          <w:ilvl w:val="0"/>
          <w:numId w:val="21"/>
        </w:numPr>
        <w:jc w:val="both"/>
        <w:rPr>
          <w:sz w:val="20"/>
          <w:szCs w:val="20"/>
        </w:rPr>
      </w:pPr>
      <w:r w:rsidRPr="009D5CD1">
        <w:rPr>
          <w:sz w:val="20"/>
          <w:szCs w:val="20"/>
        </w:rPr>
        <w:t xml:space="preserve">Temporal applicability of a given multiplexing capability </w:t>
      </w:r>
    </w:p>
    <w:p w14:paraId="1C04A3E7" w14:textId="77777777" w:rsidR="00D12C2E" w:rsidRPr="009D5CD1" w:rsidRDefault="00D12C2E" w:rsidP="00D12C2E">
      <w:pPr>
        <w:numPr>
          <w:ilvl w:val="0"/>
          <w:numId w:val="21"/>
        </w:numPr>
        <w:jc w:val="both"/>
        <w:rPr>
          <w:sz w:val="20"/>
          <w:szCs w:val="20"/>
        </w:rPr>
      </w:pPr>
      <w:r w:rsidRPr="009D5CD1">
        <w:rPr>
          <w:sz w:val="20"/>
          <w:szCs w:val="20"/>
        </w:rPr>
        <w:t>Time/frequency resource restrictions (</w:t>
      </w:r>
      <w:proofErr w:type="gramStart"/>
      <w:r w:rsidRPr="009D5CD1">
        <w:rPr>
          <w:sz w:val="20"/>
          <w:szCs w:val="20"/>
        </w:rPr>
        <w:t>e.g.</w:t>
      </w:r>
      <w:proofErr w:type="gramEnd"/>
      <w:r w:rsidRPr="009D5CD1">
        <w:rPr>
          <w:sz w:val="20"/>
          <w:szCs w:val="20"/>
        </w:rPr>
        <w:t xml:space="preserve"> access vs. backhaul links, DL vs. UL resources)</w:t>
      </w:r>
    </w:p>
    <w:p w14:paraId="791091D5" w14:textId="77777777" w:rsidR="00D12C2E" w:rsidRPr="009D5CD1" w:rsidRDefault="00D12C2E" w:rsidP="00D12C2E">
      <w:pPr>
        <w:numPr>
          <w:ilvl w:val="0"/>
          <w:numId w:val="21"/>
        </w:numPr>
        <w:jc w:val="both"/>
        <w:rPr>
          <w:sz w:val="20"/>
          <w:szCs w:val="20"/>
        </w:rPr>
      </w:pPr>
      <w:r w:rsidRPr="009D5CD1">
        <w:rPr>
          <w:sz w:val="20"/>
          <w:szCs w:val="20"/>
        </w:rPr>
        <w:t>Indications of conditions/reporting information required to realize the given multiplexing capability, (</w:t>
      </w:r>
      <w:proofErr w:type="gramStart"/>
      <w:r w:rsidRPr="009D5CD1">
        <w:rPr>
          <w:sz w:val="20"/>
          <w:szCs w:val="20"/>
        </w:rPr>
        <w:t>e.g.</w:t>
      </w:r>
      <w:proofErr w:type="gramEnd"/>
      <w:r w:rsidRPr="009D5CD1">
        <w:rPr>
          <w:sz w:val="20"/>
          <w:szCs w:val="20"/>
        </w:rPr>
        <w:t xml:space="preserve"> timing mode, power control, guard symbols, etc.)</w:t>
      </w:r>
    </w:p>
    <w:p w14:paraId="0BB78C12" w14:textId="77777777" w:rsidR="00D12C2E" w:rsidRPr="009D5CD1" w:rsidRDefault="00D12C2E" w:rsidP="00D12C2E">
      <w:pPr>
        <w:jc w:val="both"/>
        <w:rPr>
          <w:sz w:val="20"/>
          <w:szCs w:val="20"/>
        </w:rPr>
      </w:pPr>
      <w:r w:rsidRPr="009D5CD1">
        <w:rPr>
          <w:sz w:val="20"/>
          <w:szCs w:val="20"/>
        </w:rPr>
        <w:t>FFS: channels/signals used for indicating/reporting information</w:t>
      </w:r>
    </w:p>
    <w:p w14:paraId="1B855367" w14:textId="77777777" w:rsidR="00D12C2E" w:rsidRPr="009D5CD1" w:rsidRDefault="00D12C2E" w:rsidP="00D12C2E">
      <w:pPr>
        <w:jc w:val="both"/>
        <w:rPr>
          <w:b/>
          <w:bCs/>
          <w:sz w:val="20"/>
          <w:szCs w:val="20"/>
        </w:rPr>
      </w:pPr>
    </w:p>
    <w:p w14:paraId="64DD471F" w14:textId="77777777" w:rsidR="00D12C2E" w:rsidRPr="009D5CD1" w:rsidRDefault="00D12C2E" w:rsidP="00D12C2E">
      <w:pPr>
        <w:jc w:val="both"/>
        <w:rPr>
          <w:b/>
          <w:bCs/>
          <w:sz w:val="20"/>
          <w:szCs w:val="20"/>
        </w:rPr>
      </w:pPr>
      <w:r w:rsidRPr="009D5CD1">
        <w:rPr>
          <w:b/>
          <w:bCs/>
          <w:sz w:val="20"/>
          <w:szCs w:val="20"/>
          <w:highlight w:val="green"/>
        </w:rPr>
        <w:t>Agreement</w:t>
      </w:r>
      <w:r>
        <w:rPr>
          <w:sz w:val="20"/>
          <w:szCs w:val="20"/>
        </w:rPr>
        <w:t xml:space="preserve">: </w:t>
      </w:r>
      <w:r w:rsidRPr="009D5CD1">
        <w:rPr>
          <w:sz w:val="20"/>
          <w:szCs w:val="20"/>
        </w:rPr>
        <w:t>Further study whether/how to manage resources in the spatial domain. Candidate solutions are:</w:t>
      </w:r>
    </w:p>
    <w:p w14:paraId="17FE4CA7" w14:textId="77777777" w:rsidR="00D12C2E" w:rsidRPr="009D5CD1" w:rsidRDefault="00D12C2E" w:rsidP="00D12C2E">
      <w:pPr>
        <w:numPr>
          <w:ilvl w:val="0"/>
          <w:numId w:val="21"/>
        </w:numPr>
        <w:jc w:val="both"/>
        <w:rPr>
          <w:sz w:val="20"/>
          <w:szCs w:val="20"/>
        </w:rPr>
      </w:pPr>
      <w:r w:rsidRPr="009D5CD1">
        <w:rPr>
          <w:sz w:val="20"/>
          <w:szCs w:val="20"/>
        </w:rPr>
        <w:t>Dynamic signaling between parent and child nodes for using/restricting/sharing antenna panels/beams</w:t>
      </w:r>
    </w:p>
    <w:p w14:paraId="11CF54B9" w14:textId="77777777" w:rsidR="00D12C2E" w:rsidRPr="009D5CD1" w:rsidRDefault="00D12C2E" w:rsidP="00D12C2E">
      <w:pPr>
        <w:numPr>
          <w:ilvl w:val="0"/>
          <w:numId w:val="21"/>
        </w:numPr>
        <w:jc w:val="both"/>
        <w:rPr>
          <w:sz w:val="20"/>
          <w:szCs w:val="20"/>
        </w:rPr>
      </w:pPr>
      <w:r w:rsidRPr="009D5CD1">
        <w:rPr>
          <w:sz w:val="20"/>
          <w:szCs w:val="20"/>
        </w:rPr>
        <w:t>Beam management / multi-panel enhancements for simultaneous operations</w:t>
      </w:r>
    </w:p>
    <w:p w14:paraId="59F1FD92" w14:textId="77777777" w:rsidR="00D12C2E" w:rsidRPr="009D5CD1" w:rsidRDefault="00D12C2E" w:rsidP="00D12C2E">
      <w:pPr>
        <w:numPr>
          <w:ilvl w:val="0"/>
          <w:numId w:val="21"/>
        </w:numPr>
        <w:jc w:val="both"/>
        <w:rPr>
          <w:sz w:val="20"/>
          <w:szCs w:val="20"/>
        </w:rPr>
      </w:pPr>
      <w:r w:rsidRPr="009D5CD1">
        <w:rPr>
          <w:sz w:val="20"/>
          <w:szCs w:val="20"/>
        </w:rPr>
        <w:t>Extension of H/S/NA resource indication to the spatial domain</w:t>
      </w:r>
    </w:p>
    <w:p w14:paraId="6D3656F8" w14:textId="77777777" w:rsidR="00D015E7" w:rsidRDefault="00D015E7" w:rsidP="004658F3">
      <w:pPr>
        <w:jc w:val="both"/>
        <w:rPr>
          <w:sz w:val="20"/>
          <w:szCs w:val="20"/>
        </w:rPr>
      </w:pPr>
    </w:p>
    <w:p w14:paraId="6658B00C" w14:textId="529BD873" w:rsidR="00D015E7" w:rsidRDefault="004D377B" w:rsidP="00D015E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 </w:t>
      </w:r>
      <w:r w:rsidR="004658F3" w:rsidRPr="004658F3">
        <w:rPr>
          <w:sz w:val="20"/>
          <w:szCs w:val="20"/>
        </w:rPr>
        <w:t xml:space="preserve">a successful </w:t>
      </w:r>
      <w:r w:rsidR="00526915">
        <w:rPr>
          <w:sz w:val="20"/>
          <w:szCs w:val="20"/>
        </w:rPr>
        <w:t>simultaneous operation in SDM multiplexing mode within</w:t>
      </w:r>
      <w:r w:rsidR="004658F3">
        <w:rPr>
          <w:sz w:val="20"/>
          <w:szCs w:val="20"/>
        </w:rPr>
        <w:t xml:space="preserve"> IAB-DU and IAB-MT</w:t>
      </w:r>
      <w:r w:rsidR="004658F3" w:rsidRPr="004658F3">
        <w:rPr>
          <w:sz w:val="20"/>
          <w:szCs w:val="20"/>
        </w:rPr>
        <w:t xml:space="preserve">, parent </w:t>
      </w:r>
      <w:r w:rsidR="004658F3">
        <w:rPr>
          <w:sz w:val="20"/>
          <w:szCs w:val="20"/>
        </w:rPr>
        <w:t xml:space="preserve">node </w:t>
      </w:r>
      <w:r w:rsidR="004658F3" w:rsidRPr="004658F3">
        <w:rPr>
          <w:sz w:val="20"/>
          <w:szCs w:val="20"/>
        </w:rPr>
        <w:t xml:space="preserve">IAB-DU and IAB-DU should be aware of the desired </w:t>
      </w:r>
      <w:r w:rsidR="004658F3">
        <w:rPr>
          <w:sz w:val="20"/>
          <w:szCs w:val="20"/>
        </w:rPr>
        <w:t xml:space="preserve">(or used) parameters in the other side like </w:t>
      </w:r>
      <w:r w:rsidR="004658F3" w:rsidRPr="004658F3">
        <w:rPr>
          <w:sz w:val="20"/>
          <w:szCs w:val="20"/>
        </w:rPr>
        <w:t>beam/panel</w:t>
      </w:r>
      <w:r w:rsidR="004658F3">
        <w:rPr>
          <w:sz w:val="20"/>
          <w:szCs w:val="20"/>
        </w:rPr>
        <w:t>, SLIV, transmit power, DMRS ports</w:t>
      </w:r>
      <w:r w:rsidR="004658F3" w:rsidRPr="004658F3">
        <w:rPr>
          <w:sz w:val="20"/>
          <w:szCs w:val="20"/>
        </w:rPr>
        <w:t xml:space="preserve">. </w:t>
      </w:r>
      <w:r w:rsidR="00526915">
        <w:rPr>
          <w:sz w:val="20"/>
          <w:szCs w:val="20"/>
        </w:rPr>
        <w:t>For example,</w:t>
      </w:r>
      <w:r w:rsidR="004658F3" w:rsidRPr="004658F3">
        <w:rPr>
          <w:sz w:val="20"/>
          <w:szCs w:val="20"/>
        </w:rPr>
        <w:t xml:space="preserve"> </w:t>
      </w:r>
      <w:r w:rsidR="00526915">
        <w:rPr>
          <w:sz w:val="20"/>
          <w:szCs w:val="20"/>
        </w:rPr>
        <w:t>i</w:t>
      </w:r>
      <w:r w:rsidR="004658F3" w:rsidRPr="004658F3">
        <w:rPr>
          <w:sz w:val="20"/>
          <w:szCs w:val="20"/>
        </w:rPr>
        <w:t xml:space="preserve">f parent IAB-DU wishes to schedule a PDSCH to IAB-MT, ideally it should have some indication from IAB node about which panel/beam for PDSCH transmission is desired </w:t>
      </w:r>
      <w:r w:rsidR="00773D6E">
        <w:rPr>
          <w:sz w:val="20"/>
          <w:szCs w:val="20"/>
        </w:rPr>
        <w:t>once the</w:t>
      </w:r>
      <w:r w:rsidR="004658F3" w:rsidRPr="004658F3">
        <w:rPr>
          <w:sz w:val="20"/>
          <w:szCs w:val="20"/>
        </w:rPr>
        <w:t xml:space="preserve"> IAB-DU </w:t>
      </w:r>
      <w:r w:rsidR="00773D6E">
        <w:rPr>
          <w:sz w:val="20"/>
          <w:szCs w:val="20"/>
        </w:rPr>
        <w:t xml:space="preserve">is </w:t>
      </w:r>
      <w:r w:rsidR="004658F3" w:rsidRPr="004658F3">
        <w:rPr>
          <w:sz w:val="20"/>
          <w:szCs w:val="20"/>
        </w:rPr>
        <w:t xml:space="preserve">simultaneously receiving from </w:t>
      </w:r>
      <w:r w:rsidR="00773D6E">
        <w:rPr>
          <w:sz w:val="20"/>
          <w:szCs w:val="20"/>
        </w:rPr>
        <w:t xml:space="preserve">child IAB-MT (or UE), </w:t>
      </w:r>
      <w:r w:rsidR="00773D6E">
        <w:rPr>
          <w:sz w:val="20"/>
          <w:szCs w:val="20"/>
        </w:rPr>
        <w:t>as shown in Fig. 1</w:t>
      </w:r>
      <w:r w:rsidR="00526915">
        <w:rPr>
          <w:sz w:val="20"/>
          <w:szCs w:val="20"/>
        </w:rPr>
        <w:t xml:space="preserve">. </w:t>
      </w:r>
      <w:r w:rsidR="00D015E7" w:rsidRPr="00F001D5">
        <w:rPr>
          <w:sz w:val="20"/>
          <w:szCs w:val="20"/>
        </w:rPr>
        <w:t xml:space="preserve">Alternatively, parent IAB-DU will indicate to the IAB node about the panel/beam to receive </w:t>
      </w:r>
      <w:proofErr w:type="spellStart"/>
      <w:proofErr w:type="gramStart"/>
      <w:r w:rsidR="00D015E7" w:rsidRPr="00F001D5">
        <w:rPr>
          <w:sz w:val="20"/>
          <w:szCs w:val="20"/>
        </w:rPr>
        <w:t>L</w:t>
      </w:r>
      <w:r w:rsidR="00D015E7" w:rsidRPr="00F001D5">
        <w:rPr>
          <w:sz w:val="20"/>
          <w:szCs w:val="20"/>
          <w:vertAlign w:val="subscript"/>
        </w:rPr>
        <w:t>p,DL</w:t>
      </w:r>
      <w:proofErr w:type="spellEnd"/>
      <w:r w:rsidR="00D015E7">
        <w:rPr>
          <w:sz w:val="20"/>
          <w:szCs w:val="20"/>
        </w:rPr>
        <w:t>.</w:t>
      </w:r>
      <w:proofErr w:type="gramEnd"/>
      <w:r w:rsidR="00D015E7">
        <w:rPr>
          <w:sz w:val="20"/>
          <w:szCs w:val="20"/>
        </w:rPr>
        <w:t xml:space="preserve"> Next</w:t>
      </w:r>
      <w:r w:rsidR="00D015E7" w:rsidRPr="00F001D5">
        <w:rPr>
          <w:sz w:val="20"/>
          <w:szCs w:val="20"/>
        </w:rPr>
        <w:t xml:space="preserve">, IAB-DU in IAB-node will choose the reception beam/panel </w:t>
      </w:r>
      <w:r w:rsidR="00D015E7" w:rsidRPr="00F001D5">
        <w:rPr>
          <w:sz w:val="20"/>
          <w:szCs w:val="20"/>
        </w:rPr>
        <w:lastRenderedPageBreak/>
        <w:t xml:space="preserve">for </w:t>
      </w:r>
      <w:proofErr w:type="gramStart"/>
      <w:r w:rsidR="00D015E7" w:rsidRPr="00F001D5">
        <w:rPr>
          <w:sz w:val="20"/>
          <w:szCs w:val="20"/>
        </w:rPr>
        <w:t>L</w:t>
      </w:r>
      <w:r w:rsidR="00D015E7" w:rsidRPr="00F001D5">
        <w:rPr>
          <w:sz w:val="20"/>
          <w:szCs w:val="20"/>
          <w:vertAlign w:val="subscript"/>
        </w:rPr>
        <w:t>A,UL</w:t>
      </w:r>
      <w:proofErr w:type="gramEnd"/>
      <w:r w:rsidR="00D015E7" w:rsidRPr="00F001D5">
        <w:rPr>
          <w:sz w:val="20"/>
          <w:szCs w:val="20"/>
        </w:rPr>
        <w:t xml:space="preserve"> / </w:t>
      </w:r>
      <w:proofErr w:type="spellStart"/>
      <w:r w:rsidR="00D015E7" w:rsidRPr="00F001D5">
        <w:rPr>
          <w:sz w:val="20"/>
          <w:szCs w:val="20"/>
        </w:rPr>
        <w:t>L</w:t>
      </w:r>
      <w:r w:rsidR="00D015E7" w:rsidRPr="00F001D5">
        <w:rPr>
          <w:sz w:val="20"/>
          <w:szCs w:val="20"/>
          <w:vertAlign w:val="subscript"/>
        </w:rPr>
        <w:t>c,UL</w:t>
      </w:r>
      <w:proofErr w:type="spellEnd"/>
      <w:r w:rsidR="00D015E7" w:rsidRPr="00F001D5">
        <w:rPr>
          <w:sz w:val="20"/>
          <w:szCs w:val="20"/>
          <w:vertAlign w:val="subscript"/>
        </w:rPr>
        <w:t xml:space="preserve"> </w:t>
      </w:r>
      <w:r w:rsidR="00D015E7" w:rsidRPr="00F001D5">
        <w:rPr>
          <w:sz w:val="20"/>
          <w:szCs w:val="20"/>
        </w:rPr>
        <w:t xml:space="preserve">links, with minimum impact on </w:t>
      </w:r>
      <w:proofErr w:type="spellStart"/>
      <w:r w:rsidR="00D015E7" w:rsidRPr="00F001D5">
        <w:rPr>
          <w:sz w:val="20"/>
          <w:szCs w:val="20"/>
        </w:rPr>
        <w:t>L</w:t>
      </w:r>
      <w:r w:rsidR="00D015E7" w:rsidRPr="00F001D5">
        <w:rPr>
          <w:sz w:val="20"/>
          <w:szCs w:val="20"/>
          <w:vertAlign w:val="subscript"/>
        </w:rPr>
        <w:t>p,DL</w:t>
      </w:r>
      <w:proofErr w:type="spellEnd"/>
      <w:r w:rsidR="00D015E7" w:rsidRPr="00F001D5">
        <w:rPr>
          <w:sz w:val="20"/>
          <w:szCs w:val="20"/>
          <w:vertAlign w:val="subscript"/>
        </w:rPr>
        <w:t xml:space="preserve"> </w:t>
      </w:r>
      <w:r w:rsidR="00D015E7" w:rsidRPr="00F001D5">
        <w:rPr>
          <w:sz w:val="20"/>
          <w:szCs w:val="20"/>
        </w:rPr>
        <w:t>and will consequently indicate to its child IAB and/or access UE about their transmit beam/panel, e.g. through SRI for PUSCH</w:t>
      </w:r>
      <w:r w:rsidR="00526915">
        <w:rPr>
          <w:sz w:val="20"/>
          <w:szCs w:val="20"/>
        </w:rPr>
        <w:t xml:space="preserve">. </w:t>
      </w:r>
      <w:r w:rsidR="00D015E7">
        <w:rPr>
          <w:sz w:val="20"/>
          <w:szCs w:val="20"/>
        </w:rPr>
        <w:t>T</w:t>
      </w:r>
      <w:r w:rsidR="00D015E7" w:rsidRPr="00D015E7">
        <w:rPr>
          <w:sz w:val="20"/>
          <w:szCs w:val="20"/>
        </w:rPr>
        <w:t xml:space="preserve">he choice between the above options can be based on </w:t>
      </w:r>
      <w:r w:rsidR="00D015E7">
        <w:rPr>
          <w:sz w:val="20"/>
          <w:szCs w:val="20"/>
        </w:rPr>
        <w:t xml:space="preserve">the </w:t>
      </w:r>
      <w:r w:rsidR="00D015E7" w:rsidRPr="00D015E7">
        <w:rPr>
          <w:sz w:val="20"/>
          <w:szCs w:val="20"/>
        </w:rPr>
        <w:t xml:space="preserve">communication link and/or </w:t>
      </w:r>
      <w:r w:rsidR="00D015E7">
        <w:rPr>
          <w:sz w:val="20"/>
          <w:szCs w:val="20"/>
        </w:rPr>
        <w:t xml:space="preserve">data </w:t>
      </w:r>
      <w:r w:rsidR="00D015E7" w:rsidRPr="00D015E7">
        <w:rPr>
          <w:sz w:val="20"/>
          <w:szCs w:val="20"/>
        </w:rPr>
        <w:t>priority</w:t>
      </w:r>
      <w:r w:rsidR="00D015E7">
        <w:rPr>
          <w:sz w:val="20"/>
          <w:szCs w:val="20"/>
        </w:rPr>
        <w:t xml:space="preserve">, </w:t>
      </w:r>
      <w:r w:rsidR="00D015E7" w:rsidRPr="00D015E7">
        <w:rPr>
          <w:sz w:val="20"/>
          <w:szCs w:val="20"/>
        </w:rPr>
        <w:t xml:space="preserve">e.g. if IAB-DU schedules a UE (on access link </w:t>
      </w:r>
      <w:proofErr w:type="gramStart"/>
      <w:r w:rsidR="00D015E7" w:rsidRPr="00D015E7">
        <w:rPr>
          <w:sz w:val="20"/>
          <w:szCs w:val="20"/>
        </w:rPr>
        <w:t>L</w:t>
      </w:r>
      <w:r w:rsidR="00D015E7" w:rsidRPr="00D015E7">
        <w:rPr>
          <w:sz w:val="20"/>
          <w:szCs w:val="20"/>
          <w:vertAlign w:val="subscript"/>
        </w:rPr>
        <w:t>A,UL</w:t>
      </w:r>
      <w:proofErr w:type="gramEnd"/>
      <w:r w:rsidR="00D015E7" w:rsidRPr="00D015E7">
        <w:rPr>
          <w:sz w:val="20"/>
          <w:szCs w:val="20"/>
        </w:rPr>
        <w:t>)</w:t>
      </w:r>
      <w:r w:rsidR="00D015E7">
        <w:rPr>
          <w:sz w:val="20"/>
          <w:szCs w:val="20"/>
        </w:rPr>
        <w:t xml:space="preserve"> with URLLC traffic</w:t>
      </w:r>
      <w:r w:rsidR="00D015E7" w:rsidRPr="00D015E7">
        <w:rPr>
          <w:sz w:val="20"/>
          <w:szCs w:val="20"/>
        </w:rPr>
        <w:t>, it will be IAB-DU that controls the flow</w:t>
      </w:r>
      <w:r w:rsidR="00D015E7">
        <w:rPr>
          <w:sz w:val="20"/>
          <w:szCs w:val="20"/>
        </w:rPr>
        <w:t>. Alternatively, i</w:t>
      </w:r>
      <w:r w:rsidR="00D015E7" w:rsidRPr="00D015E7">
        <w:rPr>
          <w:sz w:val="20"/>
          <w:szCs w:val="20"/>
        </w:rPr>
        <w:t xml:space="preserve">f traffic on </w:t>
      </w:r>
      <w:proofErr w:type="spellStart"/>
      <w:proofErr w:type="gramStart"/>
      <w:r w:rsidR="00D015E7" w:rsidRPr="00D015E7">
        <w:rPr>
          <w:sz w:val="20"/>
          <w:szCs w:val="20"/>
        </w:rPr>
        <w:t>L</w:t>
      </w:r>
      <w:r w:rsidR="00D015E7" w:rsidRPr="00D015E7">
        <w:rPr>
          <w:sz w:val="20"/>
          <w:szCs w:val="20"/>
          <w:vertAlign w:val="subscript"/>
        </w:rPr>
        <w:t>p,DL</w:t>
      </w:r>
      <w:proofErr w:type="spellEnd"/>
      <w:proofErr w:type="gramEnd"/>
      <w:r w:rsidR="00D015E7" w:rsidRPr="00D015E7">
        <w:rPr>
          <w:sz w:val="20"/>
          <w:szCs w:val="20"/>
          <w:vertAlign w:val="subscript"/>
        </w:rPr>
        <w:t xml:space="preserve"> </w:t>
      </w:r>
      <w:r w:rsidR="00D015E7" w:rsidRPr="00D015E7">
        <w:rPr>
          <w:sz w:val="20"/>
          <w:szCs w:val="20"/>
        </w:rPr>
        <w:t xml:space="preserve">is higher priority than traffic on </w:t>
      </w:r>
      <w:proofErr w:type="spellStart"/>
      <w:r w:rsidR="00D015E7" w:rsidRPr="00D015E7">
        <w:rPr>
          <w:sz w:val="20"/>
          <w:szCs w:val="20"/>
        </w:rPr>
        <w:t>L</w:t>
      </w:r>
      <w:r w:rsidR="00D015E7" w:rsidRPr="00D015E7">
        <w:rPr>
          <w:sz w:val="20"/>
          <w:szCs w:val="20"/>
          <w:vertAlign w:val="subscript"/>
        </w:rPr>
        <w:t>c,UL</w:t>
      </w:r>
      <w:proofErr w:type="spellEnd"/>
      <w:r w:rsidR="00D015E7" w:rsidRPr="00D015E7">
        <w:rPr>
          <w:sz w:val="20"/>
          <w:szCs w:val="20"/>
        </w:rPr>
        <w:t xml:space="preserve">, it will be </w:t>
      </w:r>
      <w:r w:rsidR="00D015E7">
        <w:rPr>
          <w:sz w:val="20"/>
          <w:szCs w:val="20"/>
        </w:rPr>
        <w:t xml:space="preserve">the </w:t>
      </w:r>
      <w:r w:rsidR="00D015E7" w:rsidRPr="00D015E7">
        <w:rPr>
          <w:sz w:val="20"/>
          <w:szCs w:val="20"/>
        </w:rPr>
        <w:t>parent IAB-DU that controls the flow</w:t>
      </w:r>
      <w:r w:rsidR="00D015E7">
        <w:rPr>
          <w:sz w:val="20"/>
          <w:szCs w:val="20"/>
        </w:rPr>
        <w:t>.</w:t>
      </w:r>
      <w:r w:rsidR="000143DE">
        <w:rPr>
          <w:sz w:val="20"/>
          <w:szCs w:val="20"/>
        </w:rPr>
        <w:t xml:space="preserve"> Based on the above discussions, we have the following proposals:</w:t>
      </w:r>
    </w:p>
    <w:p w14:paraId="2BF5B4C9" w14:textId="77777777" w:rsidR="007313F2" w:rsidRPr="009D5CD1" w:rsidRDefault="007313F2" w:rsidP="004658F3">
      <w:pPr>
        <w:jc w:val="both"/>
        <w:rPr>
          <w:sz w:val="20"/>
          <w:szCs w:val="20"/>
        </w:rPr>
      </w:pPr>
    </w:p>
    <w:p w14:paraId="285BDE79" w14:textId="2CF36F35" w:rsidR="00D12C2E" w:rsidRDefault="00D12C2E" w:rsidP="00D12C2E">
      <w:pPr>
        <w:jc w:val="both"/>
        <w:rPr>
          <w:sz w:val="20"/>
          <w:szCs w:val="20"/>
        </w:rPr>
      </w:pPr>
    </w:p>
    <w:p w14:paraId="11FE1DA6" w14:textId="0C255020" w:rsidR="007313F2" w:rsidRDefault="007313F2" w:rsidP="007313F2">
      <w:pPr>
        <w:jc w:val="center"/>
        <w:rPr>
          <w:sz w:val="20"/>
          <w:szCs w:val="20"/>
        </w:rPr>
      </w:pPr>
      <w:r w:rsidRPr="007313F2">
        <w:rPr>
          <w:noProof/>
          <w:sz w:val="20"/>
          <w:szCs w:val="20"/>
        </w:rPr>
        <w:drawing>
          <wp:inline distT="0" distB="0" distL="0" distR="0" wp14:anchorId="12C6A4ED" wp14:editId="6BAA74AF">
            <wp:extent cx="2005302" cy="1595255"/>
            <wp:effectExtent l="0" t="0" r="1905" b="5080"/>
            <wp:docPr id="1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4088" cy="1610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68179" w14:textId="001F5EAB" w:rsidR="007313F2" w:rsidRDefault="007313F2" w:rsidP="007313F2">
      <w:pPr>
        <w:jc w:val="center"/>
        <w:rPr>
          <w:sz w:val="20"/>
          <w:szCs w:val="20"/>
          <w:lang w:eastAsia="zh-CN"/>
        </w:rPr>
      </w:pPr>
      <w:r w:rsidRPr="003873E7">
        <w:rPr>
          <w:b/>
          <w:bCs/>
          <w:sz w:val="20"/>
          <w:szCs w:val="20"/>
          <w:lang w:eastAsia="zh-CN"/>
        </w:rPr>
        <w:t>Figure 1</w:t>
      </w:r>
      <w:r>
        <w:rPr>
          <w:sz w:val="20"/>
          <w:szCs w:val="20"/>
          <w:lang w:eastAsia="zh-CN"/>
        </w:rPr>
        <w:t>: Simultaneous reception within an IAB-node.</w:t>
      </w:r>
    </w:p>
    <w:p w14:paraId="0E7F8B95" w14:textId="658FE9BD" w:rsidR="007313F2" w:rsidRDefault="007313F2" w:rsidP="00D12C2E">
      <w:pPr>
        <w:jc w:val="both"/>
        <w:rPr>
          <w:sz w:val="20"/>
          <w:szCs w:val="20"/>
        </w:rPr>
      </w:pPr>
    </w:p>
    <w:p w14:paraId="773A76BB" w14:textId="77777777" w:rsidR="000143DE" w:rsidRDefault="000143DE" w:rsidP="00D12C2E">
      <w:pPr>
        <w:jc w:val="both"/>
        <w:rPr>
          <w:sz w:val="20"/>
          <w:szCs w:val="20"/>
        </w:rPr>
      </w:pPr>
    </w:p>
    <w:p w14:paraId="794C3ED7" w14:textId="3AEEFFA0" w:rsidR="00F001D5" w:rsidRDefault="00F001D5" w:rsidP="00D015E7">
      <w:pPr>
        <w:jc w:val="both"/>
        <w:rPr>
          <w:sz w:val="20"/>
          <w:szCs w:val="20"/>
        </w:rPr>
      </w:pPr>
      <w:r w:rsidRPr="00F001D5">
        <w:rPr>
          <w:b/>
          <w:bCs/>
          <w:sz w:val="20"/>
          <w:szCs w:val="20"/>
        </w:rPr>
        <w:t>Proposal 1</w:t>
      </w:r>
      <w:r w:rsidRPr="00F001D5">
        <w:rPr>
          <w:sz w:val="20"/>
          <w:szCs w:val="20"/>
        </w:rPr>
        <w:t xml:space="preserve">: </w:t>
      </w:r>
      <w:r w:rsidR="00D015E7">
        <w:rPr>
          <w:sz w:val="20"/>
          <w:szCs w:val="20"/>
        </w:rPr>
        <w:t>For simultaneous SDM operation, either parent IAB-DU or IAB-DU can initiate and control the flow.</w:t>
      </w:r>
    </w:p>
    <w:p w14:paraId="2FA7A8E5" w14:textId="77777777" w:rsidR="00D015E7" w:rsidRDefault="00D015E7" w:rsidP="00D015E7">
      <w:pPr>
        <w:jc w:val="both"/>
        <w:rPr>
          <w:b/>
          <w:bCs/>
          <w:sz w:val="20"/>
          <w:szCs w:val="20"/>
        </w:rPr>
      </w:pPr>
    </w:p>
    <w:p w14:paraId="0D219B40" w14:textId="577D6124" w:rsidR="00D015E7" w:rsidRPr="00D015E7" w:rsidRDefault="00D015E7" w:rsidP="00D015E7">
      <w:pPr>
        <w:jc w:val="both"/>
        <w:rPr>
          <w:sz w:val="20"/>
          <w:szCs w:val="20"/>
        </w:rPr>
      </w:pPr>
      <w:r w:rsidRPr="00D015E7">
        <w:rPr>
          <w:b/>
          <w:bCs/>
          <w:sz w:val="20"/>
          <w:szCs w:val="20"/>
        </w:rPr>
        <w:t>Proposal 2</w:t>
      </w:r>
      <w:r w:rsidRPr="00D015E7">
        <w:rPr>
          <w:sz w:val="20"/>
          <w:szCs w:val="20"/>
        </w:rPr>
        <w:t xml:space="preserve">: </w:t>
      </w:r>
      <w:r>
        <w:rPr>
          <w:sz w:val="20"/>
          <w:szCs w:val="20"/>
        </w:rPr>
        <w:t>The</w:t>
      </w:r>
      <w:r w:rsidRPr="00D015E7">
        <w:rPr>
          <w:sz w:val="20"/>
          <w:szCs w:val="20"/>
        </w:rPr>
        <w:t xml:space="preserve"> entity with higher data priority will control the flow by initiating the scheduling on high priority link and/or indicating the desired parameters to the other link</w:t>
      </w:r>
    </w:p>
    <w:p w14:paraId="25FA31F8" w14:textId="272B0520" w:rsidR="00D015E7" w:rsidRDefault="00D015E7" w:rsidP="00D015E7">
      <w:pPr>
        <w:jc w:val="both"/>
        <w:rPr>
          <w:sz w:val="20"/>
          <w:szCs w:val="20"/>
        </w:rPr>
      </w:pPr>
    </w:p>
    <w:p w14:paraId="7F29523C" w14:textId="40644E06" w:rsidR="000143DE" w:rsidRDefault="003C2966" w:rsidP="000143D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Regardless of whether IAB-node or IAB-parent controls resource coordination for SDM multiplexing, it should be discussed how to indicate the beam management/coordination parameters. Whether the indication is dynamic or not also depends on the status of communication links, e.g.  </w:t>
      </w:r>
      <w:r w:rsidRPr="003C2966">
        <w:rPr>
          <w:sz w:val="20"/>
          <w:szCs w:val="20"/>
        </w:rPr>
        <w:t>for semi-static/periodic transmissions from parent IAB-DU, like periodic CSI-RS, SSB, SPS-PDSCH</w:t>
      </w:r>
      <w:r>
        <w:rPr>
          <w:sz w:val="20"/>
          <w:szCs w:val="20"/>
        </w:rPr>
        <w:t>, a semi-static beam indication from parent IAB-node is sufficient. While for a dynamic PUSCH scheduling on access link, a quick dynamic beam indication is preferred.</w:t>
      </w:r>
    </w:p>
    <w:p w14:paraId="66D15E3F" w14:textId="77777777" w:rsidR="003C2966" w:rsidRPr="003C2966" w:rsidRDefault="003C2966" w:rsidP="000143DE">
      <w:pPr>
        <w:jc w:val="both"/>
        <w:rPr>
          <w:sz w:val="20"/>
          <w:szCs w:val="20"/>
        </w:rPr>
      </w:pPr>
    </w:p>
    <w:p w14:paraId="6D46510D" w14:textId="1E23057E" w:rsidR="003C2966" w:rsidRDefault="000143DE" w:rsidP="003C2966">
      <w:pPr>
        <w:jc w:val="both"/>
        <w:rPr>
          <w:sz w:val="20"/>
          <w:szCs w:val="20"/>
        </w:rPr>
      </w:pPr>
      <w:r w:rsidRPr="000143DE">
        <w:rPr>
          <w:b/>
          <w:bCs/>
          <w:sz w:val="20"/>
          <w:szCs w:val="20"/>
        </w:rPr>
        <w:t xml:space="preserve">Proposal </w:t>
      </w:r>
      <w:r w:rsidR="00A531C7">
        <w:rPr>
          <w:b/>
          <w:bCs/>
          <w:sz w:val="20"/>
          <w:szCs w:val="20"/>
        </w:rPr>
        <w:t>3</w:t>
      </w:r>
      <w:r w:rsidRPr="000143DE">
        <w:rPr>
          <w:sz w:val="20"/>
          <w:szCs w:val="20"/>
        </w:rPr>
        <w:t xml:space="preserve">: For the case of parent IAB-DU indicating IAB node about the receiving beams/panels for </w:t>
      </w:r>
      <w:proofErr w:type="spellStart"/>
      <w:proofErr w:type="gramStart"/>
      <w:r w:rsidRPr="000143DE">
        <w:rPr>
          <w:sz w:val="20"/>
          <w:szCs w:val="20"/>
        </w:rPr>
        <w:t>L</w:t>
      </w:r>
      <w:r w:rsidRPr="000143DE">
        <w:rPr>
          <w:sz w:val="20"/>
          <w:szCs w:val="20"/>
          <w:vertAlign w:val="subscript"/>
        </w:rPr>
        <w:t>p,DL</w:t>
      </w:r>
      <w:proofErr w:type="spellEnd"/>
      <w:proofErr w:type="gramEnd"/>
      <w:r w:rsidRPr="000143DE">
        <w:rPr>
          <w:sz w:val="20"/>
          <w:szCs w:val="20"/>
          <w:vertAlign w:val="subscript"/>
        </w:rPr>
        <w:t xml:space="preserve"> </w:t>
      </w:r>
      <w:r w:rsidRPr="000143DE">
        <w:rPr>
          <w:sz w:val="20"/>
          <w:szCs w:val="20"/>
        </w:rPr>
        <w:t>and L</w:t>
      </w:r>
      <w:r w:rsidRPr="000143DE">
        <w:rPr>
          <w:sz w:val="20"/>
          <w:szCs w:val="20"/>
          <w:vertAlign w:val="subscript"/>
        </w:rPr>
        <w:t>A,UL</w:t>
      </w:r>
      <w:r w:rsidRPr="000143DE">
        <w:rPr>
          <w:sz w:val="20"/>
          <w:szCs w:val="20"/>
        </w:rPr>
        <w:t xml:space="preserve"> / </w:t>
      </w:r>
      <w:proofErr w:type="spellStart"/>
      <w:r w:rsidRPr="000143DE">
        <w:rPr>
          <w:sz w:val="20"/>
          <w:szCs w:val="20"/>
        </w:rPr>
        <w:t>L</w:t>
      </w:r>
      <w:r w:rsidRPr="000143DE">
        <w:rPr>
          <w:sz w:val="20"/>
          <w:szCs w:val="20"/>
          <w:vertAlign w:val="subscript"/>
        </w:rPr>
        <w:t>c,UL</w:t>
      </w:r>
      <w:proofErr w:type="spellEnd"/>
      <w:r w:rsidRPr="000143DE">
        <w:rPr>
          <w:sz w:val="20"/>
          <w:szCs w:val="20"/>
          <w:vertAlign w:val="subscript"/>
        </w:rPr>
        <w:t xml:space="preserve"> </w:t>
      </w:r>
      <w:r w:rsidRPr="000143DE">
        <w:rPr>
          <w:sz w:val="20"/>
          <w:szCs w:val="20"/>
        </w:rPr>
        <w:t>links, the indication can be dynamic and/or semi-static:</w:t>
      </w:r>
    </w:p>
    <w:p w14:paraId="5B20F6A1" w14:textId="77777777" w:rsidR="003C2966" w:rsidRDefault="000143DE" w:rsidP="003C2966">
      <w:pPr>
        <w:pStyle w:val="ListParagraph"/>
        <w:numPr>
          <w:ilvl w:val="0"/>
          <w:numId w:val="26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 xml:space="preserve">Dynamic e.g. through TCI index in DCI for scheduling PDSCH </w:t>
      </w:r>
      <w:proofErr w:type="spellStart"/>
      <w:proofErr w:type="gramStart"/>
      <w:r w:rsidRPr="003C2966">
        <w:rPr>
          <w:sz w:val="20"/>
          <w:szCs w:val="20"/>
        </w:rPr>
        <w:t>L</w:t>
      </w:r>
      <w:r w:rsidRPr="003C2966">
        <w:rPr>
          <w:sz w:val="20"/>
          <w:szCs w:val="20"/>
          <w:vertAlign w:val="subscript"/>
        </w:rPr>
        <w:t>p,DL</w:t>
      </w:r>
      <w:proofErr w:type="spellEnd"/>
      <w:proofErr w:type="gramEnd"/>
      <w:r w:rsidRPr="003C2966">
        <w:rPr>
          <w:sz w:val="20"/>
          <w:szCs w:val="20"/>
          <w:vertAlign w:val="subscript"/>
        </w:rPr>
        <w:t xml:space="preserve"> </w:t>
      </w:r>
      <w:r w:rsidRPr="003C2966">
        <w:rPr>
          <w:sz w:val="20"/>
          <w:szCs w:val="20"/>
        </w:rPr>
        <w:t xml:space="preserve"> </w:t>
      </w:r>
    </w:p>
    <w:p w14:paraId="4BC23946" w14:textId="1F1690BE" w:rsidR="000143DE" w:rsidRPr="003C2966" w:rsidRDefault="000143DE" w:rsidP="003C2966">
      <w:pPr>
        <w:pStyle w:val="ListParagraph"/>
        <w:numPr>
          <w:ilvl w:val="0"/>
          <w:numId w:val="26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 xml:space="preserve">Semi-static, </w:t>
      </w:r>
      <w:proofErr w:type="gramStart"/>
      <w:r w:rsidRPr="003C2966">
        <w:rPr>
          <w:sz w:val="20"/>
          <w:szCs w:val="20"/>
        </w:rPr>
        <w:t>e.g.</w:t>
      </w:r>
      <w:proofErr w:type="gramEnd"/>
      <w:r w:rsidRPr="003C2966">
        <w:rPr>
          <w:sz w:val="20"/>
          <w:szCs w:val="20"/>
        </w:rPr>
        <w:t xml:space="preserve"> through MAC-CE/RRC to IAB-MT or through F1 interface to IAB-DU </w:t>
      </w:r>
    </w:p>
    <w:p w14:paraId="751C0DFD" w14:textId="77777777" w:rsidR="000143DE" w:rsidRPr="000143DE" w:rsidRDefault="000143DE" w:rsidP="000143DE">
      <w:pPr>
        <w:jc w:val="both"/>
        <w:rPr>
          <w:sz w:val="20"/>
          <w:szCs w:val="20"/>
        </w:rPr>
      </w:pPr>
    </w:p>
    <w:p w14:paraId="31743203" w14:textId="64959A27" w:rsidR="003C2966" w:rsidRDefault="000143DE" w:rsidP="003C2966">
      <w:pPr>
        <w:jc w:val="both"/>
        <w:rPr>
          <w:sz w:val="20"/>
          <w:szCs w:val="20"/>
        </w:rPr>
      </w:pPr>
      <w:r w:rsidRPr="000143DE">
        <w:rPr>
          <w:b/>
          <w:bCs/>
          <w:sz w:val="20"/>
          <w:szCs w:val="20"/>
        </w:rPr>
        <w:t xml:space="preserve">Proposal </w:t>
      </w:r>
      <w:r w:rsidR="00A531C7">
        <w:rPr>
          <w:b/>
          <w:bCs/>
          <w:sz w:val="20"/>
          <w:szCs w:val="20"/>
        </w:rPr>
        <w:t>4</w:t>
      </w:r>
      <w:r w:rsidRPr="000143DE">
        <w:rPr>
          <w:sz w:val="20"/>
          <w:szCs w:val="20"/>
        </w:rPr>
        <w:t xml:space="preserve">: For the case of IAB indicating desired reception beams/panels on </w:t>
      </w:r>
      <w:proofErr w:type="spellStart"/>
      <w:proofErr w:type="gramStart"/>
      <w:r w:rsidRPr="000143DE">
        <w:rPr>
          <w:sz w:val="20"/>
          <w:szCs w:val="20"/>
        </w:rPr>
        <w:t>L</w:t>
      </w:r>
      <w:r w:rsidRPr="000143DE">
        <w:rPr>
          <w:sz w:val="20"/>
          <w:szCs w:val="20"/>
          <w:vertAlign w:val="subscript"/>
        </w:rPr>
        <w:t>p,DL</w:t>
      </w:r>
      <w:proofErr w:type="spellEnd"/>
      <w:proofErr w:type="gramEnd"/>
      <w:r w:rsidRPr="000143DE">
        <w:rPr>
          <w:sz w:val="20"/>
          <w:szCs w:val="20"/>
          <w:vertAlign w:val="subscript"/>
        </w:rPr>
        <w:t xml:space="preserve"> </w:t>
      </w:r>
      <w:r w:rsidRPr="000143DE">
        <w:rPr>
          <w:sz w:val="20"/>
          <w:szCs w:val="20"/>
        </w:rPr>
        <w:t>and L</w:t>
      </w:r>
      <w:r w:rsidRPr="000143DE">
        <w:rPr>
          <w:sz w:val="20"/>
          <w:szCs w:val="20"/>
          <w:vertAlign w:val="subscript"/>
        </w:rPr>
        <w:t>A,UL</w:t>
      </w:r>
      <w:r w:rsidRPr="000143DE">
        <w:rPr>
          <w:sz w:val="20"/>
          <w:szCs w:val="20"/>
        </w:rPr>
        <w:t xml:space="preserve"> / </w:t>
      </w:r>
      <w:proofErr w:type="spellStart"/>
      <w:r w:rsidRPr="000143DE">
        <w:rPr>
          <w:sz w:val="20"/>
          <w:szCs w:val="20"/>
        </w:rPr>
        <w:t>L</w:t>
      </w:r>
      <w:r w:rsidRPr="000143DE">
        <w:rPr>
          <w:sz w:val="20"/>
          <w:szCs w:val="20"/>
          <w:vertAlign w:val="subscript"/>
        </w:rPr>
        <w:t>c,UL</w:t>
      </w:r>
      <w:proofErr w:type="spellEnd"/>
      <w:r w:rsidRPr="000143DE">
        <w:rPr>
          <w:sz w:val="20"/>
          <w:szCs w:val="20"/>
          <w:vertAlign w:val="subscript"/>
        </w:rPr>
        <w:t xml:space="preserve"> </w:t>
      </w:r>
      <w:r w:rsidRPr="000143DE">
        <w:rPr>
          <w:sz w:val="20"/>
          <w:szCs w:val="20"/>
        </w:rPr>
        <w:t>links, the indication to parent IAB-DU can be dynamic and/or semi-static:</w:t>
      </w:r>
    </w:p>
    <w:p w14:paraId="7D1F8E18" w14:textId="77777777" w:rsidR="003C2966" w:rsidRDefault="000143DE" w:rsidP="003C2966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 xml:space="preserve">Dynamic </w:t>
      </w:r>
      <w:proofErr w:type="gramStart"/>
      <w:r w:rsidRPr="003C2966">
        <w:rPr>
          <w:sz w:val="20"/>
          <w:szCs w:val="20"/>
        </w:rPr>
        <w:t>e.g.</w:t>
      </w:r>
      <w:proofErr w:type="gramEnd"/>
      <w:r w:rsidRPr="003C2966">
        <w:rPr>
          <w:sz w:val="20"/>
          <w:szCs w:val="20"/>
        </w:rPr>
        <w:t xml:space="preserve"> through UCI transmission from IAB-MT to parent DU </w:t>
      </w:r>
    </w:p>
    <w:p w14:paraId="6547252F" w14:textId="77777777" w:rsidR="003C2966" w:rsidRDefault="000143DE" w:rsidP="003C2966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 xml:space="preserve">Semi-static, </w:t>
      </w:r>
      <w:proofErr w:type="gramStart"/>
      <w:r w:rsidRPr="003C2966">
        <w:rPr>
          <w:sz w:val="20"/>
          <w:szCs w:val="20"/>
        </w:rPr>
        <w:t>e.g.</w:t>
      </w:r>
      <w:proofErr w:type="gramEnd"/>
      <w:r w:rsidRPr="003C2966">
        <w:rPr>
          <w:sz w:val="20"/>
          <w:szCs w:val="20"/>
        </w:rPr>
        <w:t xml:space="preserve"> through MAC-CE from IAB-MT or through F1 interface from IAB-DU</w:t>
      </w:r>
    </w:p>
    <w:p w14:paraId="2F03D969" w14:textId="57D6C4C2" w:rsidR="000143DE" w:rsidRPr="003C2966" w:rsidRDefault="000143DE" w:rsidP="003C2966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 xml:space="preserve">Alternatively, IAB-MT performs SR or initiates PRACH to indicate desired receiving beam on </w:t>
      </w:r>
      <w:proofErr w:type="spellStart"/>
      <w:proofErr w:type="gramStart"/>
      <w:r w:rsidRPr="003C2966">
        <w:rPr>
          <w:sz w:val="20"/>
          <w:szCs w:val="20"/>
        </w:rPr>
        <w:t>L</w:t>
      </w:r>
      <w:r w:rsidRPr="003C2966">
        <w:rPr>
          <w:sz w:val="20"/>
          <w:szCs w:val="20"/>
          <w:vertAlign w:val="subscript"/>
        </w:rPr>
        <w:t>p,DL</w:t>
      </w:r>
      <w:proofErr w:type="spellEnd"/>
      <w:proofErr w:type="gramEnd"/>
    </w:p>
    <w:p w14:paraId="38705D10" w14:textId="77777777" w:rsidR="000143DE" w:rsidRDefault="000143DE" w:rsidP="00D015E7">
      <w:pPr>
        <w:jc w:val="both"/>
        <w:rPr>
          <w:sz w:val="20"/>
          <w:szCs w:val="20"/>
        </w:rPr>
      </w:pPr>
    </w:p>
    <w:p w14:paraId="4B72CBE3" w14:textId="77777777" w:rsidR="00A21ECE" w:rsidRDefault="00A21ECE" w:rsidP="00D015E7">
      <w:pPr>
        <w:jc w:val="both"/>
        <w:rPr>
          <w:sz w:val="20"/>
          <w:szCs w:val="20"/>
        </w:rPr>
      </w:pPr>
    </w:p>
    <w:p w14:paraId="7D2B7585" w14:textId="380BA6B4" w:rsidR="00A21ECE" w:rsidRDefault="00A21ECE" w:rsidP="00D015E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To achieve a better resource efficiency under SDM multiplexing with simultaneous reception within an IAB node, a conditional indication from parent IAB-DU may be deployed, where IAB-node has the chance to provide feedback on allocation by parent IAB-DU, and possibly provide desired set of parameters. </w:t>
      </w:r>
      <w:r w:rsidR="003C345C">
        <w:rPr>
          <w:sz w:val="20"/>
          <w:szCs w:val="20"/>
        </w:rPr>
        <w:t>Figure 2 shows an example of the procedure.</w:t>
      </w:r>
      <w:r w:rsidR="00D4606C">
        <w:rPr>
          <w:sz w:val="20"/>
          <w:szCs w:val="20"/>
        </w:rPr>
        <w:t xml:space="preserve"> Here we note that, at least in some scenarios, better utilization of SDM resource multiplexing is achieved if PDSCH allocation crosses the slot border, since otherwise tighter slot/symbol alignment is required, which is not always possible/desirable. Based on this discussion, we make the following proposals:  </w:t>
      </w:r>
    </w:p>
    <w:p w14:paraId="7FEE1E71" w14:textId="1E7DE4D4" w:rsidR="00A21ECE" w:rsidRDefault="00A21ECE" w:rsidP="00D015E7">
      <w:pPr>
        <w:jc w:val="both"/>
        <w:rPr>
          <w:sz w:val="20"/>
          <w:szCs w:val="20"/>
        </w:rPr>
      </w:pPr>
    </w:p>
    <w:p w14:paraId="4F0D8188" w14:textId="0D4B65C9" w:rsidR="00A21ECE" w:rsidRDefault="00A21ECE" w:rsidP="00A21ECE">
      <w:pPr>
        <w:jc w:val="both"/>
        <w:rPr>
          <w:sz w:val="20"/>
          <w:szCs w:val="20"/>
        </w:rPr>
      </w:pPr>
      <w:r w:rsidRPr="00A21ECE">
        <w:rPr>
          <w:b/>
          <w:bCs/>
          <w:sz w:val="20"/>
          <w:szCs w:val="20"/>
        </w:rPr>
        <w:t xml:space="preserve">Proposal </w:t>
      </w:r>
      <w:r w:rsidR="00A531C7">
        <w:rPr>
          <w:b/>
          <w:bCs/>
          <w:sz w:val="20"/>
          <w:szCs w:val="20"/>
        </w:rPr>
        <w:t>5</w:t>
      </w:r>
      <w:r w:rsidRPr="00A21ECE">
        <w:rPr>
          <w:sz w:val="20"/>
          <w:szCs w:val="20"/>
        </w:rPr>
        <w:t xml:space="preserve">: To achieve a simultaneous reception within an IAB node, </w:t>
      </w:r>
      <w:proofErr w:type="gramStart"/>
      <w:r w:rsidRPr="00A21ECE">
        <w:rPr>
          <w:sz w:val="20"/>
          <w:szCs w:val="20"/>
        </w:rPr>
        <w:t>i.e.</w:t>
      </w:r>
      <w:proofErr w:type="gramEnd"/>
      <w:r w:rsidRPr="00A21ECE">
        <w:rPr>
          <w:sz w:val="20"/>
          <w:szCs w:val="20"/>
        </w:rPr>
        <w:t xml:space="preserve"> DU-Rx &amp; MT-Rx, a two</w:t>
      </w:r>
      <w:r>
        <w:rPr>
          <w:sz w:val="20"/>
          <w:szCs w:val="20"/>
        </w:rPr>
        <w:t>-</w:t>
      </w:r>
      <w:r w:rsidRPr="00A21ECE">
        <w:rPr>
          <w:sz w:val="20"/>
          <w:szCs w:val="20"/>
        </w:rPr>
        <w:t>step indication is deployed</w:t>
      </w:r>
    </w:p>
    <w:p w14:paraId="76909672" w14:textId="77777777" w:rsidR="00A21ECE" w:rsidRDefault="00A21ECE" w:rsidP="00A21ECE">
      <w:pPr>
        <w:pStyle w:val="ListParagraph"/>
        <w:numPr>
          <w:ilvl w:val="0"/>
          <w:numId w:val="28"/>
        </w:numPr>
        <w:jc w:val="both"/>
        <w:rPr>
          <w:sz w:val="20"/>
          <w:szCs w:val="20"/>
        </w:rPr>
      </w:pPr>
      <w:r w:rsidRPr="00A21ECE">
        <w:rPr>
          <w:sz w:val="20"/>
          <w:szCs w:val="20"/>
        </w:rPr>
        <w:t>Step1: Parent IAB-DU indicates initial beam/panel, K</w:t>
      </w:r>
      <w:r w:rsidRPr="00A21ECE">
        <w:rPr>
          <w:sz w:val="20"/>
          <w:szCs w:val="20"/>
          <w:vertAlign w:val="subscript"/>
        </w:rPr>
        <w:t>0</w:t>
      </w:r>
      <w:r w:rsidRPr="00A21ECE">
        <w:rPr>
          <w:sz w:val="20"/>
          <w:szCs w:val="20"/>
        </w:rPr>
        <w:t xml:space="preserve">, SLIV, </w:t>
      </w:r>
      <w:proofErr w:type="spellStart"/>
      <w:r w:rsidRPr="00A21ECE">
        <w:rPr>
          <w:sz w:val="20"/>
          <w:szCs w:val="20"/>
        </w:rPr>
        <w:t>etc</w:t>
      </w:r>
      <w:proofErr w:type="spellEnd"/>
      <w:r w:rsidRPr="00A21ECE">
        <w:rPr>
          <w:sz w:val="20"/>
          <w:szCs w:val="20"/>
        </w:rPr>
        <w:t>, and a grace time for IAB node in which IAB-MT can indicate its desired parameters like beam/panel, K</w:t>
      </w:r>
      <w:r w:rsidRPr="00A21ECE">
        <w:rPr>
          <w:sz w:val="20"/>
          <w:szCs w:val="20"/>
          <w:vertAlign w:val="subscript"/>
        </w:rPr>
        <w:t>0</w:t>
      </w:r>
      <w:r w:rsidRPr="00A21ECE">
        <w:rPr>
          <w:sz w:val="20"/>
          <w:szCs w:val="20"/>
        </w:rPr>
        <w:t xml:space="preserve">, SLIV, </w:t>
      </w:r>
      <w:proofErr w:type="spellStart"/>
      <w:r w:rsidRPr="00A21ECE">
        <w:rPr>
          <w:sz w:val="20"/>
          <w:szCs w:val="20"/>
        </w:rPr>
        <w:t>etc</w:t>
      </w:r>
      <w:proofErr w:type="spellEnd"/>
    </w:p>
    <w:p w14:paraId="05C7CD68" w14:textId="7C87889B" w:rsidR="00A21ECE" w:rsidRPr="00A21ECE" w:rsidRDefault="00A21ECE" w:rsidP="00A21ECE">
      <w:pPr>
        <w:pStyle w:val="ListParagraph"/>
        <w:numPr>
          <w:ilvl w:val="0"/>
          <w:numId w:val="28"/>
        </w:numPr>
        <w:jc w:val="both"/>
        <w:rPr>
          <w:sz w:val="20"/>
          <w:szCs w:val="20"/>
        </w:rPr>
      </w:pPr>
      <w:r w:rsidRPr="00A21ECE">
        <w:rPr>
          <w:sz w:val="20"/>
          <w:szCs w:val="20"/>
        </w:rPr>
        <w:t>Step2: IAB indicates its desired parameters (beam/panel, K</w:t>
      </w:r>
      <w:r w:rsidRPr="00A21ECE">
        <w:rPr>
          <w:sz w:val="20"/>
          <w:szCs w:val="20"/>
          <w:vertAlign w:val="subscript"/>
        </w:rPr>
        <w:t>0</w:t>
      </w:r>
      <w:r w:rsidRPr="00A21ECE">
        <w:rPr>
          <w:sz w:val="20"/>
          <w:szCs w:val="20"/>
        </w:rPr>
        <w:t xml:space="preserve">, SLIV, Tx power, </w:t>
      </w:r>
      <w:proofErr w:type="spellStart"/>
      <w:r w:rsidRPr="00A21ECE">
        <w:rPr>
          <w:sz w:val="20"/>
          <w:szCs w:val="20"/>
        </w:rPr>
        <w:t>etc</w:t>
      </w:r>
      <w:proofErr w:type="spellEnd"/>
      <w:r w:rsidRPr="00A21ECE">
        <w:rPr>
          <w:sz w:val="20"/>
          <w:szCs w:val="20"/>
        </w:rPr>
        <w:t>), for example, on PUCCH indicated by DL DCI from parent IAB-DU</w:t>
      </w:r>
    </w:p>
    <w:p w14:paraId="5D1FD2F7" w14:textId="3EACFCFF" w:rsidR="00A21ECE" w:rsidRDefault="00A21ECE" w:rsidP="00A21ECE">
      <w:pPr>
        <w:jc w:val="both"/>
        <w:rPr>
          <w:sz w:val="20"/>
          <w:szCs w:val="20"/>
        </w:rPr>
      </w:pPr>
    </w:p>
    <w:p w14:paraId="01DB3B22" w14:textId="2F6E89F6" w:rsidR="00D4606C" w:rsidRDefault="00D4606C" w:rsidP="00D4606C">
      <w:pPr>
        <w:jc w:val="both"/>
        <w:rPr>
          <w:sz w:val="20"/>
          <w:szCs w:val="20"/>
        </w:rPr>
      </w:pPr>
      <w:r w:rsidRPr="00A21ECE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6</w:t>
      </w:r>
      <w:r w:rsidRPr="00A21ECE">
        <w:rPr>
          <w:sz w:val="20"/>
          <w:szCs w:val="20"/>
        </w:rPr>
        <w:t xml:space="preserve">: </w:t>
      </w:r>
      <w:r>
        <w:rPr>
          <w:sz w:val="20"/>
          <w:szCs w:val="20"/>
        </w:rPr>
        <w:t>To utilize SDM resource multiplexing, support PDSCH allocation for IAB-MT with crossing the slot border</w:t>
      </w:r>
      <w:r w:rsidR="000E19E6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14:paraId="0D72A2C6" w14:textId="77777777" w:rsidR="00D4606C" w:rsidRPr="00A21ECE" w:rsidRDefault="00D4606C" w:rsidP="00A21ECE">
      <w:pPr>
        <w:jc w:val="both"/>
        <w:rPr>
          <w:sz w:val="20"/>
          <w:szCs w:val="20"/>
        </w:rPr>
      </w:pPr>
    </w:p>
    <w:p w14:paraId="04612966" w14:textId="79451221" w:rsidR="00A21ECE" w:rsidRDefault="00D4606C" w:rsidP="00D4606C">
      <w:pPr>
        <w:jc w:val="center"/>
        <w:rPr>
          <w:sz w:val="20"/>
          <w:szCs w:val="20"/>
        </w:rPr>
      </w:pPr>
      <w:r w:rsidRPr="00D4606C">
        <w:rPr>
          <w:noProof/>
          <w:sz w:val="20"/>
          <w:szCs w:val="20"/>
        </w:rPr>
        <w:lastRenderedPageBreak/>
        <w:drawing>
          <wp:inline distT="0" distB="0" distL="0" distR="0" wp14:anchorId="69D56A0E" wp14:editId="13310CBB">
            <wp:extent cx="4276516" cy="2235200"/>
            <wp:effectExtent l="0" t="0" r="0" b="0"/>
            <wp:docPr id="3" name="Picture 3" descr="Char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&#10;&#10;Description automatically generated with low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7272" cy="2246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70E6D" w14:textId="77777777" w:rsidR="00D4606C" w:rsidRDefault="00A21ECE" w:rsidP="00D4606C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0226DAF4" w14:textId="51BD79A8" w:rsidR="00D4606C" w:rsidRDefault="00D4606C" w:rsidP="00D4606C">
      <w:pPr>
        <w:jc w:val="center"/>
        <w:rPr>
          <w:sz w:val="20"/>
          <w:szCs w:val="20"/>
          <w:lang w:eastAsia="zh-CN"/>
        </w:rPr>
      </w:pPr>
      <w:r w:rsidRPr="003873E7">
        <w:rPr>
          <w:b/>
          <w:bCs/>
          <w:sz w:val="20"/>
          <w:szCs w:val="20"/>
          <w:lang w:eastAsia="zh-CN"/>
        </w:rPr>
        <w:t xml:space="preserve">Figure </w:t>
      </w:r>
      <w:r>
        <w:rPr>
          <w:b/>
          <w:bCs/>
          <w:sz w:val="20"/>
          <w:szCs w:val="20"/>
          <w:lang w:eastAsia="zh-CN"/>
        </w:rPr>
        <w:t>2</w:t>
      </w:r>
      <w:r>
        <w:rPr>
          <w:sz w:val="20"/>
          <w:szCs w:val="20"/>
          <w:lang w:eastAsia="zh-CN"/>
        </w:rPr>
        <w:t>: Two-step scheduling for SDM simultaneous Rx.</w:t>
      </w:r>
    </w:p>
    <w:p w14:paraId="052A60F1" w14:textId="27AA7153" w:rsidR="00D4606C" w:rsidRPr="00F001D5" w:rsidRDefault="00D4606C" w:rsidP="00D015E7">
      <w:pPr>
        <w:jc w:val="both"/>
        <w:rPr>
          <w:sz w:val="20"/>
          <w:szCs w:val="20"/>
        </w:rPr>
      </w:pPr>
    </w:p>
    <w:p w14:paraId="35183B4C" w14:textId="77777777" w:rsidR="00854A60" w:rsidRPr="00FB330B" w:rsidRDefault="009C5A97" w:rsidP="00FB330B">
      <w:pPr>
        <w:pStyle w:val="Heading1"/>
      </w:pPr>
      <w:r w:rsidRPr="00FB330B">
        <w:t>Conclusion</w:t>
      </w:r>
      <w:r w:rsidR="004424BC" w:rsidRPr="00FB330B">
        <w:t>s</w:t>
      </w:r>
    </w:p>
    <w:p w14:paraId="378F3811" w14:textId="4D5365AF" w:rsidR="00757D0E" w:rsidRPr="0007782F" w:rsidRDefault="00757D0E" w:rsidP="00757D0E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thoughts on potential techniques to enhance </w:t>
      </w:r>
      <w:r w:rsidR="0079242B">
        <w:rPr>
          <w:sz w:val="20"/>
          <w:szCs w:val="20"/>
        </w:rPr>
        <w:t>resource multiplexing between IAB</w:t>
      </w:r>
      <w:r>
        <w:rPr>
          <w:sz w:val="20"/>
          <w:szCs w:val="20"/>
        </w:rPr>
        <w:t xml:space="preserve"> </w:t>
      </w:r>
      <w:r w:rsidR="0079242B">
        <w:rPr>
          <w:sz w:val="20"/>
          <w:szCs w:val="20"/>
        </w:rPr>
        <w:t>node’s parent and child links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316288C7" w14:textId="77777777" w:rsidR="00423A5E" w:rsidRDefault="00423A5E" w:rsidP="00423A5E">
      <w:pPr>
        <w:jc w:val="both"/>
        <w:rPr>
          <w:sz w:val="20"/>
          <w:szCs w:val="20"/>
          <w:lang w:eastAsia="zh-CN"/>
        </w:rPr>
      </w:pPr>
    </w:p>
    <w:p w14:paraId="2FD9F128" w14:textId="77777777" w:rsidR="0079242B" w:rsidRDefault="0079242B" w:rsidP="0079242B">
      <w:pPr>
        <w:jc w:val="both"/>
        <w:rPr>
          <w:sz w:val="20"/>
          <w:szCs w:val="20"/>
        </w:rPr>
      </w:pPr>
      <w:r w:rsidRPr="00F001D5">
        <w:rPr>
          <w:b/>
          <w:bCs/>
          <w:sz w:val="20"/>
          <w:szCs w:val="20"/>
        </w:rPr>
        <w:t>Proposal 1</w:t>
      </w:r>
      <w:r w:rsidRPr="00F001D5">
        <w:rPr>
          <w:sz w:val="20"/>
          <w:szCs w:val="20"/>
        </w:rPr>
        <w:t xml:space="preserve">: </w:t>
      </w:r>
      <w:r>
        <w:rPr>
          <w:sz w:val="20"/>
          <w:szCs w:val="20"/>
        </w:rPr>
        <w:t>For simultaneous SDM operation, either parent IAB-DU or IAB-DU can initiate and control the flow.</w:t>
      </w:r>
    </w:p>
    <w:p w14:paraId="57055197" w14:textId="77777777" w:rsidR="0079242B" w:rsidRDefault="0079242B" w:rsidP="0079242B">
      <w:pPr>
        <w:jc w:val="both"/>
        <w:rPr>
          <w:b/>
          <w:bCs/>
          <w:sz w:val="20"/>
          <w:szCs w:val="20"/>
        </w:rPr>
      </w:pPr>
    </w:p>
    <w:p w14:paraId="0217E154" w14:textId="77777777" w:rsidR="0079242B" w:rsidRPr="00D015E7" w:rsidRDefault="0079242B" w:rsidP="0079242B">
      <w:pPr>
        <w:jc w:val="both"/>
        <w:rPr>
          <w:sz w:val="20"/>
          <w:szCs w:val="20"/>
        </w:rPr>
      </w:pPr>
      <w:r w:rsidRPr="00D015E7">
        <w:rPr>
          <w:b/>
          <w:bCs/>
          <w:sz w:val="20"/>
          <w:szCs w:val="20"/>
        </w:rPr>
        <w:t>Proposal 2</w:t>
      </w:r>
      <w:r w:rsidRPr="00D015E7">
        <w:rPr>
          <w:sz w:val="20"/>
          <w:szCs w:val="20"/>
        </w:rPr>
        <w:t xml:space="preserve">: </w:t>
      </w:r>
      <w:r>
        <w:rPr>
          <w:sz w:val="20"/>
          <w:szCs w:val="20"/>
        </w:rPr>
        <w:t>The</w:t>
      </w:r>
      <w:r w:rsidRPr="00D015E7">
        <w:rPr>
          <w:sz w:val="20"/>
          <w:szCs w:val="20"/>
        </w:rPr>
        <w:t xml:space="preserve"> entity with higher data priority will control the flow by initiating the scheduling on high priority link and/or indicating the desired parameters to the other link</w:t>
      </w:r>
    </w:p>
    <w:p w14:paraId="450747D8" w14:textId="77777777" w:rsidR="0079242B" w:rsidRPr="003C2966" w:rsidRDefault="0079242B" w:rsidP="0079242B">
      <w:pPr>
        <w:jc w:val="both"/>
        <w:rPr>
          <w:sz w:val="20"/>
          <w:szCs w:val="20"/>
        </w:rPr>
      </w:pPr>
    </w:p>
    <w:p w14:paraId="435C0AF3" w14:textId="77777777" w:rsidR="0079242B" w:rsidRDefault="0079242B" w:rsidP="0079242B">
      <w:pPr>
        <w:jc w:val="both"/>
        <w:rPr>
          <w:sz w:val="20"/>
          <w:szCs w:val="20"/>
        </w:rPr>
      </w:pPr>
      <w:r w:rsidRPr="000143DE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3</w:t>
      </w:r>
      <w:r w:rsidRPr="000143DE">
        <w:rPr>
          <w:sz w:val="20"/>
          <w:szCs w:val="20"/>
        </w:rPr>
        <w:t xml:space="preserve">: For the case of parent IAB-DU indicating IAB node about the receiving beams/panels for </w:t>
      </w:r>
      <w:proofErr w:type="spellStart"/>
      <w:proofErr w:type="gramStart"/>
      <w:r w:rsidRPr="000143DE">
        <w:rPr>
          <w:sz w:val="20"/>
          <w:szCs w:val="20"/>
        </w:rPr>
        <w:t>L</w:t>
      </w:r>
      <w:r w:rsidRPr="000143DE">
        <w:rPr>
          <w:sz w:val="20"/>
          <w:szCs w:val="20"/>
          <w:vertAlign w:val="subscript"/>
        </w:rPr>
        <w:t>p,DL</w:t>
      </w:r>
      <w:proofErr w:type="spellEnd"/>
      <w:proofErr w:type="gramEnd"/>
      <w:r w:rsidRPr="000143DE">
        <w:rPr>
          <w:sz w:val="20"/>
          <w:szCs w:val="20"/>
          <w:vertAlign w:val="subscript"/>
        </w:rPr>
        <w:t xml:space="preserve"> </w:t>
      </w:r>
      <w:r w:rsidRPr="000143DE">
        <w:rPr>
          <w:sz w:val="20"/>
          <w:szCs w:val="20"/>
        </w:rPr>
        <w:t>and L</w:t>
      </w:r>
      <w:r w:rsidRPr="000143DE">
        <w:rPr>
          <w:sz w:val="20"/>
          <w:szCs w:val="20"/>
          <w:vertAlign w:val="subscript"/>
        </w:rPr>
        <w:t>A,UL</w:t>
      </w:r>
      <w:r w:rsidRPr="000143DE">
        <w:rPr>
          <w:sz w:val="20"/>
          <w:szCs w:val="20"/>
        </w:rPr>
        <w:t xml:space="preserve"> / </w:t>
      </w:r>
      <w:proofErr w:type="spellStart"/>
      <w:r w:rsidRPr="000143DE">
        <w:rPr>
          <w:sz w:val="20"/>
          <w:szCs w:val="20"/>
        </w:rPr>
        <w:t>L</w:t>
      </w:r>
      <w:r w:rsidRPr="000143DE">
        <w:rPr>
          <w:sz w:val="20"/>
          <w:szCs w:val="20"/>
          <w:vertAlign w:val="subscript"/>
        </w:rPr>
        <w:t>c,UL</w:t>
      </w:r>
      <w:proofErr w:type="spellEnd"/>
      <w:r w:rsidRPr="000143DE">
        <w:rPr>
          <w:sz w:val="20"/>
          <w:szCs w:val="20"/>
          <w:vertAlign w:val="subscript"/>
        </w:rPr>
        <w:t xml:space="preserve"> </w:t>
      </w:r>
      <w:r w:rsidRPr="000143DE">
        <w:rPr>
          <w:sz w:val="20"/>
          <w:szCs w:val="20"/>
        </w:rPr>
        <w:t>links, the indication can be dynamic and/or semi-static:</w:t>
      </w:r>
    </w:p>
    <w:p w14:paraId="3D1CF22E" w14:textId="77777777" w:rsidR="0079242B" w:rsidRDefault="0079242B" w:rsidP="0079242B">
      <w:pPr>
        <w:pStyle w:val="ListParagraph"/>
        <w:numPr>
          <w:ilvl w:val="0"/>
          <w:numId w:val="26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 xml:space="preserve">Dynamic e.g. through TCI index in DCI for scheduling PDSCH </w:t>
      </w:r>
      <w:proofErr w:type="spellStart"/>
      <w:proofErr w:type="gramStart"/>
      <w:r w:rsidRPr="003C2966">
        <w:rPr>
          <w:sz w:val="20"/>
          <w:szCs w:val="20"/>
        </w:rPr>
        <w:t>L</w:t>
      </w:r>
      <w:r w:rsidRPr="003C2966">
        <w:rPr>
          <w:sz w:val="20"/>
          <w:szCs w:val="20"/>
          <w:vertAlign w:val="subscript"/>
        </w:rPr>
        <w:t>p,DL</w:t>
      </w:r>
      <w:proofErr w:type="spellEnd"/>
      <w:proofErr w:type="gramEnd"/>
      <w:r w:rsidRPr="003C2966">
        <w:rPr>
          <w:sz w:val="20"/>
          <w:szCs w:val="20"/>
          <w:vertAlign w:val="subscript"/>
        </w:rPr>
        <w:t xml:space="preserve"> </w:t>
      </w:r>
      <w:r w:rsidRPr="003C2966">
        <w:rPr>
          <w:sz w:val="20"/>
          <w:szCs w:val="20"/>
        </w:rPr>
        <w:t xml:space="preserve"> </w:t>
      </w:r>
    </w:p>
    <w:p w14:paraId="1A83A9C0" w14:textId="77777777" w:rsidR="0079242B" w:rsidRPr="003C2966" w:rsidRDefault="0079242B" w:rsidP="0079242B">
      <w:pPr>
        <w:pStyle w:val="ListParagraph"/>
        <w:numPr>
          <w:ilvl w:val="0"/>
          <w:numId w:val="26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 xml:space="preserve">Semi-static, </w:t>
      </w:r>
      <w:proofErr w:type="gramStart"/>
      <w:r w:rsidRPr="003C2966">
        <w:rPr>
          <w:sz w:val="20"/>
          <w:szCs w:val="20"/>
        </w:rPr>
        <w:t>e.g.</w:t>
      </w:r>
      <w:proofErr w:type="gramEnd"/>
      <w:r w:rsidRPr="003C2966">
        <w:rPr>
          <w:sz w:val="20"/>
          <w:szCs w:val="20"/>
        </w:rPr>
        <w:t xml:space="preserve"> through MAC-CE/RRC to IAB-MT or through F1 interface to IAB-DU </w:t>
      </w:r>
    </w:p>
    <w:p w14:paraId="4813F8D3" w14:textId="77777777" w:rsidR="0079242B" w:rsidRPr="000143DE" w:rsidRDefault="0079242B" w:rsidP="0079242B">
      <w:pPr>
        <w:jc w:val="both"/>
        <w:rPr>
          <w:sz w:val="20"/>
          <w:szCs w:val="20"/>
        </w:rPr>
      </w:pPr>
    </w:p>
    <w:p w14:paraId="413D9AD5" w14:textId="77777777" w:rsidR="0079242B" w:rsidRDefault="0079242B" w:rsidP="0079242B">
      <w:pPr>
        <w:jc w:val="both"/>
        <w:rPr>
          <w:sz w:val="20"/>
          <w:szCs w:val="20"/>
        </w:rPr>
      </w:pPr>
      <w:r w:rsidRPr="000143DE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4</w:t>
      </w:r>
      <w:r w:rsidRPr="000143DE">
        <w:rPr>
          <w:sz w:val="20"/>
          <w:szCs w:val="20"/>
        </w:rPr>
        <w:t xml:space="preserve">: For the case of IAB indicating desired reception beams/panels on </w:t>
      </w:r>
      <w:proofErr w:type="spellStart"/>
      <w:proofErr w:type="gramStart"/>
      <w:r w:rsidRPr="000143DE">
        <w:rPr>
          <w:sz w:val="20"/>
          <w:szCs w:val="20"/>
        </w:rPr>
        <w:t>L</w:t>
      </w:r>
      <w:r w:rsidRPr="000143DE">
        <w:rPr>
          <w:sz w:val="20"/>
          <w:szCs w:val="20"/>
          <w:vertAlign w:val="subscript"/>
        </w:rPr>
        <w:t>p,DL</w:t>
      </w:r>
      <w:proofErr w:type="spellEnd"/>
      <w:proofErr w:type="gramEnd"/>
      <w:r w:rsidRPr="000143DE">
        <w:rPr>
          <w:sz w:val="20"/>
          <w:szCs w:val="20"/>
          <w:vertAlign w:val="subscript"/>
        </w:rPr>
        <w:t xml:space="preserve"> </w:t>
      </w:r>
      <w:r w:rsidRPr="000143DE">
        <w:rPr>
          <w:sz w:val="20"/>
          <w:szCs w:val="20"/>
        </w:rPr>
        <w:t>and L</w:t>
      </w:r>
      <w:r w:rsidRPr="000143DE">
        <w:rPr>
          <w:sz w:val="20"/>
          <w:szCs w:val="20"/>
          <w:vertAlign w:val="subscript"/>
        </w:rPr>
        <w:t>A,UL</w:t>
      </w:r>
      <w:r w:rsidRPr="000143DE">
        <w:rPr>
          <w:sz w:val="20"/>
          <w:szCs w:val="20"/>
        </w:rPr>
        <w:t xml:space="preserve"> / </w:t>
      </w:r>
      <w:proofErr w:type="spellStart"/>
      <w:r w:rsidRPr="000143DE">
        <w:rPr>
          <w:sz w:val="20"/>
          <w:szCs w:val="20"/>
        </w:rPr>
        <w:t>L</w:t>
      </w:r>
      <w:r w:rsidRPr="000143DE">
        <w:rPr>
          <w:sz w:val="20"/>
          <w:szCs w:val="20"/>
          <w:vertAlign w:val="subscript"/>
        </w:rPr>
        <w:t>c,UL</w:t>
      </w:r>
      <w:proofErr w:type="spellEnd"/>
      <w:r w:rsidRPr="000143DE">
        <w:rPr>
          <w:sz w:val="20"/>
          <w:szCs w:val="20"/>
          <w:vertAlign w:val="subscript"/>
        </w:rPr>
        <w:t xml:space="preserve"> </w:t>
      </w:r>
      <w:r w:rsidRPr="000143DE">
        <w:rPr>
          <w:sz w:val="20"/>
          <w:szCs w:val="20"/>
        </w:rPr>
        <w:t>links, the indication to parent IAB-DU can be dynamic and/or semi-static:</w:t>
      </w:r>
    </w:p>
    <w:p w14:paraId="7369B198" w14:textId="77777777" w:rsidR="0079242B" w:rsidRDefault="0079242B" w:rsidP="0079242B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 xml:space="preserve">Dynamic </w:t>
      </w:r>
      <w:proofErr w:type="gramStart"/>
      <w:r w:rsidRPr="003C2966">
        <w:rPr>
          <w:sz w:val="20"/>
          <w:szCs w:val="20"/>
        </w:rPr>
        <w:t>e.g.</w:t>
      </w:r>
      <w:proofErr w:type="gramEnd"/>
      <w:r w:rsidRPr="003C2966">
        <w:rPr>
          <w:sz w:val="20"/>
          <w:szCs w:val="20"/>
        </w:rPr>
        <w:t xml:space="preserve"> through UCI transmission from IAB-MT to parent DU </w:t>
      </w:r>
    </w:p>
    <w:p w14:paraId="38CF1AB7" w14:textId="77777777" w:rsidR="0079242B" w:rsidRDefault="0079242B" w:rsidP="0079242B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 xml:space="preserve">Semi-static, </w:t>
      </w:r>
      <w:proofErr w:type="gramStart"/>
      <w:r w:rsidRPr="003C2966">
        <w:rPr>
          <w:sz w:val="20"/>
          <w:szCs w:val="20"/>
        </w:rPr>
        <w:t>e.g.</w:t>
      </w:r>
      <w:proofErr w:type="gramEnd"/>
      <w:r w:rsidRPr="003C2966">
        <w:rPr>
          <w:sz w:val="20"/>
          <w:szCs w:val="20"/>
        </w:rPr>
        <w:t xml:space="preserve"> through MAC-CE from IAB-MT or through F1 interface from IAB-DU</w:t>
      </w:r>
    </w:p>
    <w:p w14:paraId="7C40BA1D" w14:textId="77777777" w:rsidR="0079242B" w:rsidRPr="003C2966" w:rsidRDefault="0079242B" w:rsidP="0079242B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 xml:space="preserve">Alternatively, IAB-MT performs SR or initiates PRACH to indicate desired receiving beam on </w:t>
      </w:r>
      <w:proofErr w:type="spellStart"/>
      <w:proofErr w:type="gramStart"/>
      <w:r w:rsidRPr="003C2966">
        <w:rPr>
          <w:sz w:val="20"/>
          <w:szCs w:val="20"/>
        </w:rPr>
        <w:t>L</w:t>
      </w:r>
      <w:r w:rsidRPr="003C2966">
        <w:rPr>
          <w:sz w:val="20"/>
          <w:szCs w:val="20"/>
          <w:vertAlign w:val="subscript"/>
        </w:rPr>
        <w:t>p,DL</w:t>
      </w:r>
      <w:proofErr w:type="spellEnd"/>
      <w:proofErr w:type="gramEnd"/>
    </w:p>
    <w:p w14:paraId="7A34CC47" w14:textId="77777777" w:rsidR="0079242B" w:rsidRDefault="0079242B" w:rsidP="0079242B">
      <w:pPr>
        <w:jc w:val="both"/>
        <w:rPr>
          <w:sz w:val="20"/>
          <w:szCs w:val="20"/>
        </w:rPr>
      </w:pPr>
    </w:p>
    <w:p w14:paraId="568DB714" w14:textId="77777777" w:rsidR="0079242B" w:rsidRDefault="0079242B" w:rsidP="0079242B">
      <w:pPr>
        <w:jc w:val="both"/>
        <w:rPr>
          <w:sz w:val="20"/>
          <w:szCs w:val="20"/>
        </w:rPr>
      </w:pPr>
      <w:r w:rsidRPr="00A21ECE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5</w:t>
      </w:r>
      <w:r w:rsidRPr="00A21ECE">
        <w:rPr>
          <w:sz w:val="20"/>
          <w:szCs w:val="20"/>
        </w:rPr>
        <w:t xml:space="preserve">: To achieve a simultaneous reception within an IAB node, </w:t>
      </w:r>
      <w:proofErr w:type="gramStart"/>
      <w:r w:rsidRPr="00A21ECE">
        <w:rPr>
          <w:sz w:val="20"/>
          <w:szCs w:val="20"/>
        </w:rPr>
        <w:t>i.e.</w:t>
      </w:r>
      <w:proofErr w:type="gramEnd"/>
      <w:r w:rsidRPr="00A21ECE">
        <w:rPr>
          <w:sz w:val="20"/>
          <w:szCs w:val="20"/>
        </w:rPr>
        <w:t xml:space="preserve"> DU-Rx &amp; MT-Rx, a two</w:t>
      </w:r>
      <w:r>
        <w:rPr>
          <w:sz w:val="20"/>
          <w:szCs w:val="20"/>
        </w:rPr>
        <w:t>-</w:t>
      </w:r>
      <w:r w:rsidRPr="00A21ECE">
        <w:rPr>
          <w:sz w:val="20"/>
          <w:szCs w:val="20"/>
        </w:rPr>
        <w:t>step indication is deployed</w:t>
      </w:r>
    </w:p>
    <w:p w14:paraId="15B55AB4" w14:textId="77777777" w:rsidR="0079242B" w:rsidRDefault="0079242B" w:rsidP="0079242B">
      <w:pPr>
        <w:pStyle w:val="ListParagraph"/>
        <w:numPr>
          <w:ilvl w:val="0"/>
          <w:numId w:val="28"/>
        </w:numPr>
        <w:jc w:val="both"/>
        <w:rPr>
          <w:sz w:val="20"/>
          <w:szCs w:val="20"/>
        </w:rPr>
      </w:pPr>
      <w:r w:rsidRPr="00A21ECE">
        <w:rPr>
          <w:sz w:val="20"/>
          <w:szCs w:val="20"/>
        </w:rPr>
        <w:t>Step1: Parent IAB-DU indicates initial beam/panel, K</w:t>
      </w:r>
      <w:r w:rsidRPr="00A21ECE">
        <w:rPr>
          <w:sz w:val="20"/>
          <w:szCs w:val="20"/>
          <w:vertAlign w:val="subscript"/>
        </w:rPr>
        <w:t>0</w:t>
      </w:r>
      <w:r w:rsidRPr="00A21ECE">
        <w:rPr>
          <w:sz w:val="20"/>
          <w:szCs w:val="20"/>
        </w:rPr>
        <w:t xml:space="preserve">, SLIV, </w:t>
      </w:r>
      <w:proofErr w:type="spellStart"/>
      <w:r w:rsidRPr="00A21ECE">
        <w:rPr>
          <w:sz w:val="20"/>
          <w:szCs w:val="20"/>
        </w:rPr>
        <w:t>etc</w:t>
      </w:r>
      <w:proofErr w:type="spellEnd"/>
      <w:r w:rsidRPr="00A21ECE">
        <w:rPr>
          <w:sz w:val="20"/>
          <w:szCs w:val="20"/>
        </w:rPr>
        <w:t>, and a grace time for IAB node in which IAB-MT can indicate its desired parameters like beam/panel, K</w:t>
      </w:r>
      <w:r w:rsidRPr="00A21ECE">
        <w:rPr>
          <w:sz w:val="20"/>
          <w:szCs w:val="20"/>
          <w:vertAlign w:val="subscript"/>
        </w:rPr>
        <w:t>0</w:t>
      </w:r>
      <w:r w:rsidRPr="00A21ECE">
        <w:rPr>
          <w:sz w:val="20"/>
          <w:szCs w:val="20"/>
        </w:rPr>
        <w:t xml:space="preserve">, SLIV, </w:t>
      </w:r>
      <w:proofErr w:type="spellStart"/>
      <w:r w:rsidRPr="00A21ECE">
        <w:rPr>
          <w:sz w:val="20"/>
          <w:szCs w:val="20"/>
        </w:rPr>
        <w:t>etc</w:t>
      </w:r>
      <w:proofErr w:type="spellEnd"/>
    </w:p>
    <w:p w14:paraId="69655619" w14:textId="77777777" w:rsidR="0079242B" w:rsidRPr="00A21ECE" w:rsidRDefault="0079242B" w:rsidP="0079242B">
      <w:pPr>
        <w:pStyle w:val="ListParagraph"/>
        <w:numPr>
          <w:ilvl w:val="0"/>
          <w:numId w:val="28"/>
        </w:numPr>
        <w:jc w:val="both"/>
        <w:rPr>
          <w:sz w:val="20"/>
          <w:szCs w:val="20"/>
        </w:rPr>
      </w:pPr>
      <w:r w:rsidRPr="00A21ECE">
        <w:rPr>
          <w:sz w:val="20"/>
          <w:szCs w:val="20"/>
        </w:rPr>
        <w:t>Step2: IAB indicates its desired parameters (beam/panel, K</w:t>
      </w:r>
      <w:r w:rsidRPr="00A21ECE">
        <w:rPr>
          <w:sz w:val="20"/>
          <w:szCs w:val="20"/>
          <w:vertAlign w:val="subscript"/>
        </w:rPr>
        <w:t>0</w:t>
      </w:r>
      <w:r w:rsidRPr="00A21ECE">
        <w:rPr>
          <w:sz w:val="20"/>
          <w:szCs w:val="20"/>
        </w:rPr>
        <w:t xml:space="preserve">, SLIV, Tx power, </w:t>
      </w:r>
      <w:proofErr w:type="spellStart"/>
      <w:r w:rsidRPr="00A21ECE">
        <w:rPr>
          <w:sz w:val="20"/>
          <w:szCs w:val="20"/>
        </w:rPr>
        <w:t>etc</w:t>
      </w:r>
      <w:proofErr w:type="spellEnd"/>
      <w:r w:rsidRPr="00A21ECE">
        <w:rPr>
          <w:sz w:val="20"/>
          <w:szCs w:val="20"/>
        </w:rPr>
        <w:t>), for example, on PUCCH indicated by DL DCI from parent IAB-DU</w:t>
      </w:r>
    </w:p>
    <w:p w14:paraId="6FA4EB73" w14:textId="77777777" w:rsidR="0079242B" w:rsidRDefault="0079242B" w:rsidP="0079242B">
      <w:pPr>
        <w:jc w:val="both"/>
        <w:rPr>
          <w:sz w:val="20"/>
          <w:szCs w:val="20"/>
        </w:rPr>
      </w:pPr>
    </w:p>
    <w:p w14:paraId="24E989F9" w14:textId="77777777" w:rsidR="0079242B" w:rsidRDefault="0079242B" w:rsidP="0079242B">
      <w:pPr>
        <w:jc w:val="both"/>
        <w:rPr>
          <w:sz w:val="20"/>
          <w:szCs w:val="20"/>
        </w:rPr>
      </w:pPr>
      <w:r w:rsidRPr="00A21ECE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6</w:t>
      </w:r>
      <w:r w:rsidRPr="00A21ECE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To utilize SDM resource multiplexing, support PDSCH allocation for IAB-MT with crossing the slot border. </w:t>
      </w:r>
    </w:p>
    <w:p w14:paraId="71EF8D6E" w14:textId="77777777" w:rsidR="00945309" w:rsidRPr="00450183" w:rsidRDefault="00945309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0B7D9668" w14:textId="77777777" w:rsidR="00E05C62" w:rsidRPr="00AD02B0" w:rsidRDefault="005C63AE" w:rsidP="00E05C62">
      <w:pPr>
        <w:pStyle w:val="Heading1"/>
      </w:pPr>
      <w:r>
        <w:t>References</w:t>
      </w:r>
    </w:p>
    <w:p w14:paraId="04E49CEC" w14:textId="670A45B8" w:rsidR="0091063F" w:rsidRPr="00410281" w:rsidRDefault="0091063F" w:rsidP="0091063F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bookmarkStart w:id="2" w:name="_Ref528337287"/>
      <w:bookmarkStart w:id="3" w:name="_Ref506125467"/>
      <w:bookmarkStart w:id="4" w:name="_Ref513106987"/>
      <w:r w:rsidRPr="00410281">
        <w:rPr>
          <w:rFonts w:hint="eastAsia"/>
          <w:bCs/>
          <w:sz w:val="20"/>
          <w:szCs w:val="20"/>
          <w:lang w:val="en-GB" w:eastAsia="zh-CN"/>
        </w:rPr>
        <w:t>RP-</w:t>
      </w:r>
      <w:r>
        <w:rPr>
          <w:bCs/>
          <w:sz w:val="20"/>
          <w:szCs w:val="20"/>
          <w:lang w:val="en-GB" w:eastAsia="zh-CN"/>
        </w:rPr>
        <w:t>210758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91063F">
        <w:rPr>
          <w:sz w:val="20"/>
          <w:szCs w:val="20"/>
          <w:lang w:val="en-GB" w:eastAsia="zh-CN"/>
        </w:rPr>
        <w:t>New WID on Enhancements to Integrated Access and Backhaul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>
        <w:rPr>
          <w:bCs/>
          <w:sz w:val="20"/>
          <w:szCs w:val="20"/>
          <w:lang w:val="en-GB" w:eastAsia="zh-CN"/>
        </w:rPr>
        <w:t>March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>
        <w:rPr>
          <w:bCs/>
          <w:sz w:val="20"/>
          <w:szCs w:val="20"/>
          <w:lang w:val="en-GB" w:eastAsia="zh-CN"/>
        </w:rPr>
        <w:t>2021</w:t>
      </w:r>
    </w:p>
    <w:p w14:paraId="226A2EFE" w14:textId="77777777" w:rsidR="0091063F" w:rsidRDefault="0091063F" w:rsidP="0091063F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>
        <w:rPr>
          <w:bCs/>
          <w:sz w:val="20"/>
          <w:szCs w:val="20"/>
          <w:lang w:eastAsia="zh-CN"/>
        </w:rPr>
        <w:t>4</w:t>
      </w:r>
      <w:r w:rsidRPr="00410281">
        <w:rPr>
          <w:bCs/>
          <w:sz w:val="20"/>
          <w:szCs w:val="20"/>
          <w:lang w:eastAsia="zh-CN"/>
        </w:rPr>
        <w:t>-e final</w:t>
      </w:r>
    </w:p>
    <w:p w14:paraId="5936B27C" w14:textId="77777777" w:rsidR="0091063F" w:rsidRDefault="0091063F" w:rsidP="0091063F">
      <w:pPr>
        <w:pStyle w:val="ListParagraph"/>
        <w:ind w:left="420"/>
        <w:rPr>
          <w:bCs/>
          <w:sz w:val="20"/>
          <w:szCs w:val="20"/>
          <w:lang w:eastAsia="zh-CN"/>
        </w:rPr>
      </w:pPr>
    </w:p>
    <w:p w14:paraId="7CCB2BAB" w14:textId="77777777" w:rsidR="002F0C08" w:rsidRPr="00410281" w:rsidRDefault="002F0C08" w:rsidP="002F0C08">
      <w:pPr>
        <w:pStyle w:val="ListParagraph"/>
        <w:ind w:left="420"/>
        <w:rPr>
          <w:bCs/>
          <w:sz w:val="20"/>
          <w:szCs w:val="20"/>
          <w:lang w:eastAsia="zh-CN"/>
        </w:rPr>
      </w:pPr>
    </w:p>
    <w:bookmarkEnd w:id="2"/>
    <w:bookmarkEnd w:id="3"/>
    <w:bookmarkEnd w:id="4"/>
    <w:p w14:paraId="5F0806BA" w14:textId="77777777" w:rsidR="000D07AC" w:rsidRDefault="000D07AC" w:rsidP="004B6844">
      <w:pPr>
        <w:pStyle w:val="ListParagraph"/>
        <w:rPr>
          <w:sz w:val="20"/>
          <w:szCs w:val="20"/>
          <w:lang w:eastAsia="zh-CN"/>
        </w:rPr>
      </w:pPr>
    </w:p>
    <w:p w14:paraId="5E927100" w14:textId="7E0C4E40" w:rsidR="008E412C" w:rsidRDefault="008E412C" w:rsidP="008E412C">
      <w:pPr>
        <w:rPr>
          <w:sz w:val="20"/>
          <w:szCs w:val="20"/>
          <w:lang w:eastAsia="zh-CN"/>
        </w:rPr>
      </w:pPr>
    </w:p>
    <w:p w14:paraId="4432B62A" w14:textId="77777777" w:rsidR="004809E3" w:rsidRDefault="004809E3" w:rsidP="008E412C">
      <w:pPr>
        <w:rPr>
          <w:sz w:val="20"/>
          <w:szCs w:val="20"/>
          <w:lang w:eastAsia="zh-CN"/>
        </w:rPr>
      </w:pPr>
    </w:p>
    <w:sectPr w:rsidR="004809E3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1240BF" w14:textId="77777777" w:rsidR="00E857DA" w:rsidRDefault="00E857DA">
      <w:r>
        <w:separator/>
      </w:r>
    </w:p>
  </w:endnote>
  <w:endnote w:type="continuationSeparator" w:id="0">
    <w:p w14:paraId="59AD556A" w14:textId="77777777" w:rsidR="00E857DA" w:rsidRDefault="00E857DA">
      <w:r>
        <w:continuationSeparator/>
      </w:r>
    </w:p>
  </w:endnote>
  <w:endnote w:type="continuationNotice" w:id="1">
    <w:p w14:paraId="07B7E990" w14:textId="77777777" w:rsidR="00E857DA" w:rsidRDefault="00E857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8EB770" w14:textId="77777777" w:rsidR="00E857DA" w:rsidRDefault="00E857DA">
      <w:r>
        <w:separator/>
      </w:r>
    </w:p>
  </w:footnote>
  <w:footnote w:type="continuationSeparator" w:id="0">
    <w:p w14:paraId="62B27164" w14:textId="77777777" w:rsidR="00E857DA" w:rsidRDefault="00E857DA">
      <w:r>
        <w:continuationSeparator/>
      </w:r>
    </w:p>
  </w:footnote>
  <w:footnote w:type="continuationNotice" w:id="1">
    <w:p w14:paraId="20593BD9" w14:textId="77777777" w:rsidR="00E857DA" w:rsidRDefault="00E857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D9F4847"/>
    <w:multiLevelType w:val="hybridMultilevel"/>
    <w:tmpl w:val="43C41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E50A8"/>
    <w:multiLevelType w:val="hybridMultilevel"/>
    <w:tmpl w:val="2182F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42E301A"/>
    <w:multiLevelType w:val="hybridMultilevel"/>
    <w:tmpl w:val="1A64C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51117"/>
    <w:multiLevelType w:val="hybridMultilevel"/>
    <w:tmpl w:val="9D88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81155B"/>
    <w:multiLevelType w:val="hybridMultilevel"/>
    <w:tmpl w:val="E16C6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5098C"/>
    <w:multiLevelType w:val="multilevel"/>
    <w:tmpl w:val="7C5509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12"/>
  </w:num>
  <w:num w:numId="4">
    <w:abstractNumId w:val="13"/>
  </w:num>
  <w:num w:numId="5">
    <w:abstractNumId w:val="6"/>
  </w:num>
  <w:num w:numId="6">
    <w:abstractNumId w:val="16"/>
  </w:num>
  <w:num w:numId="7">
    <w:abstractNumId w:val="23"/>
  </w:num>
  <w:num w:numId="8">
    <w:abstractNumId w:val="7"/>
  </w:num>
  <w:num w:numId="9">
    <w:abstractNumId w:val="19"/>
  </w:num>
  <w:num w:numId="10">
    <w:abstractNumId w:val="25"/>
  </w:num>
  <w:num w:numId="11">
    <w:abstractNumId w:val="11"/>
  </w:num>
  <w:num w:numId="12">
    <w:abstractNumId w:val="9"/>
  </w:num>
  <w:num w:numId="13">
    <w:abstractNumId w:val="3"/>
  </w:num>
  <w:num w:numId="14">
    <w:abstractNumId w:val="26"/>
  </w:num>
  <w:num w:numId="15">
    <w:abstractNumId w:val="10"/>
  </w:num>
  <w:num w:numId="16">
    <w:abstractNumId w:val="4"/>
  </w:num>
  <w:num w:numId="17">
    <w:abstractNumId w:val="21"/>
  </w:num>
  <w:num w:numId="18">
    <w:abstractNumId w:val="0"/>
  </w:num>
  <w:num w:numId="19">
    <w:abstractNumId w:val="5"/>
  </w:num>
  <w:num w:numId="20">
    <w:abstractNumId w:val="17"/>
  </w:num>
  <w:num w:numId="21">
    <w:abstractNumId w:val="8"/>
  </w:num>
  <w:num w:numId="22">
    <w:abstractNumId w:val="27"/>
  </w:num>
  <w:num w:numId="23">
    <w:abstractNumId w:val="15"/>
  </w:num>
  <w:num w:numId="24">
    <w:abstractNumId w:val="24"/>
  </w:num>
  <w:num w:numId="25">
    <w:abstractNumId w:val="1"/>
  </w:num>
  <w:num w:numId="26">
    <w:abstractNumId w:val="14"/>
  </w:num>
  <w:num w:numId="27">
    <w:abstractNumId w:val="20"/>
  </w:num>
  <w:num w:numId="28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3DE"/>
    <w:rsid w:val="00014575"/>
    <w:rsid w:val="000146E4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038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7D9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8AD"/>
    <w:rsid w:val="000509D6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FD"/>
    <w:rsid w:val="000605E7"/>
    <w:rsid w:val="0006081F"/>
    <w:rsid w:val="000608BD"/>
    <w:rsid w:val="00060B0D"/>
    <w:rsid w:val="00060BE6"/>
    <w:rsid w:val="000610F3"/>
    <w:rsid w:val="00061485"/>
    <w:rsid w:val="000616E7"/>
    <w:rsid w:val="00061808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D9"/>
    <w:rsid w:val="000704C9"/>
    <w:rsid w:val="000706CB"/>
    <w:rsid w:val="000707A2"/>
    <w:rsid w:val="000709CA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878"/>
    <w:rsid w:val="00080D0F"/>
    <w:rsid w:val="000811BA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30AD"/>
    <w:rsid w:val="000A3F22"/>
    <w:rsid w:val="000A4016"/>
    <w:rsid w:val="000A448E"/>
    <w:rsid w:val="000A4EC1"/>
    <w:rsid w:val="000A5339"/>
    <w:rsid w:val="000A54F0"/>
    <w:rsid w:val="000A56F2"/>
    <w:rsid w:val="000A571A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509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9E6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EA"/>
    <w:rsid w:val="00100145"/>
    <w:rsid w:val="001002DA"/>
    <w:rsid w:val="001005FF"/>
    <w:rsid w:val="001010D7"/>
    <w:rsid w:val="0010120B"/>
    <w:rsid w:val="001025E4"/>
    <w:rsid w:val="00102F24"/>
    <w:rsid w:val="00103763"/>
    <w:rsid w:val="00103C35"/>
    <w:rsid w:val="00103C51"/>
    <w:rsid w:val="001041B4"/>
    <w:rsid w:val="001042C8"/>
    <w:rsid w:val="0010434A"/>
    <w:rsid w:val="001044BE"/>
    <w:rsid w:val="001044E1"/>
    <w:rsid w:val="001045CC"/>
    <w:rsid w:val="00104648"/>
    <w:rsid w:val="00104D81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0CEC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554"/>
    <w:rsid w:val="00156921"/>
    <w:rsid w:val="00156CFA"/>
    <w:rsid w:val="00156F6E"/>
    <w:rsid w:val="00157162"/>
    <w:rsid w:val="00157224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2F65"/>
    <w:rsid w:val="001932FC"/>
    <w:rsid w:val="0019341A"/>
    <w:rsid w:val="00193533"/>
    <w:rsid w:val="00193A26"/>
    <w:rsid w:val="00193FD1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196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192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2689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2DA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CCA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6D5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77C"/>
    <w:rsid w:val="00277B3D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9B1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91A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6068"/>
    <w:rsid w:val="002E63DE"/>
    <w:rsid w:val="002E6AD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1F6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B0E"/>
    <w:rsid w:val="00300D97"/>
    <w:rsid w:val="00300E9E"/>
    <w:rsid w:val="00301072"/>
    <w:rsid w:val="00301662"/>
    <w:rsid w:val="00301779"/>
    <w:rsid w:val="00301CE6"/>
    <w:rsid w:val="00301CFB"/>
    <w:rsid w:val="00302141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5E52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1188"/>
    <w:rsid w:val="0035139D"/>
    <w:rsid w:val="0035147F"/>
    <w:rsid w:val="00351525"/>
    <w:rsid w:val="0035159F"/>
    <w:rsid w:val="00351782"/>
    <w:rsid w:val="00351BA6"/>
    <w:rsid w:val="00351BAC"/>
    <w:rsid w:val="00351FA7"/>
    <w:rsid w:val="00352481"/>
    <w:rsid w:val="00352521"/>
    <w:rsid w:val="00352C18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D01"/>
    <w:rsid w:val="00364D5E"/>
    <w:rsid w:val="0036607C"/>
    <w:rsid w:val="00366334"/>
    <w:rsid w:val="00366883"/>
    <w:rsid w:val="0036688E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1C03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966"/>
    <w:rsid w:val="003C2A1A"/>
    <w:rsid w:val="003C2D3B"/>
    <w:rsid w:val="003C345C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74B"/>
    <w:rsid w:val="003C6EF3"/>
    <w:rsid w:val="003C6F5F"/>
    <w:rsid w:val="003C6FB9"/>
    <w:rsid w:val="003C7008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866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24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138"/>
    <w:rsid w:val="00426334"/>
    <w:rsid w:val="00426B4A"/>
    <w:rsid w:val="00427130"/>
    <w:rsid w:val="00427248"/>
    <w:rsid w:val="004275B6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FA9"/>
    <w:rsid w:val="004353C6"/>
    <w:rsid w:val="004358E5"/>
    <w:rsid w:val="00435AA5"/>
    <w:rsid w:val="00435C6C"/>
    <w:rsid w:val="00435D4E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582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8F3"/>
    <w:rsid w:val="0046592A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00F"/>
    <w:rsid w:val="00470A68"/>
    <w:rsid w:val="00470C31"/>
    <w:rsid w:val="00470C4F"/>
    <w:rsid w:val="00471854"/>
    <w:rsid w:val="004719C3"/>
    <w:rsid w:val="004721E7"/>
    <w:rsid w:val="0047287B"/>
    <w:rsid w:val="004734D0"/>
    <w:rsid w:val="00473A88"/>
    <w:rsid w:val="00473C75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AC3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77B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AB9"/>
    <w:rsid w:val="004E5D98"/>
    <w:rsid w:val="004E617D"/>
    <w:rsid w:val="004E61AC"/>
    <w:rsid w:val="004E624A"/>
    <w:rsid w:val="004E677C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4E00"/>
    <w:rsid w:val="005153A7"/>
    <w:rsid w:val="005153D2"/>
    <w:rsid w:val="00515599"/>
    <w:rsid w:val="0051595C"/>
    <w:rsid w:val="0051690D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15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0E9"/>
    <w:rsid w:val="005321B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2008"/>
    <w:rsid w:val="00542206"/>
    <w:rsid w:val="0054238A"/>
    <w:rsid w:val="00542897"/>
    <w:rsid w:val="0054302C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6797"/>
    <w:rsid w:val="005671AD"/>
    <w:rsid w:val="00567229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1C4A"/>
    <w:rsid w:val="00572026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5D5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2E92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698"/>
    <w:rsid w:val="005B785B"/>
    <w:rsid w:val="005B7D5D"/>
    <w:rsid w:val="005B7D7D"/>
    <w:rsid w:val="005B7FAE"/>
    <w:rsid w:val="005C01CF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4019"/>
    <w:rsid w:val="005C418A"/>
    <w:rsid w:val="005C4532"/>
    <w:rsid w:val="005C47CB"/>
    <w:rsid w:val="005C495F"/>
    <w:rsid w:val="005C4A8E"/>
    <w:rsid w:val="005C5099"/>
    <w:rsid w:val="005C5322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155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569B"/>
    <w:rsid w:val="00615721"/>
    <w:rsid w:val="00615C5C"/>
    <w:rsid w:val="00616485"/>
    <w:rsid w:val="006169D7"/>
    <w:rsid w:val="006169F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B32"/>
    <w:rsid w:val="00645F30"/>
    <w:rsid w:val="00645F60"/>
    <w:rsid w:val="00646104"/>
    <w:rsid w:val="0064624E"/>
    <w:rsid w:val="00646EE4"/>
    <w:rsid w:val="00647230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7306"/>
    <w:rsid w:val="0066738B"/>
    <w:rsid w:val="006675F6"/>
    <w:rsid w:val="006676A5"/>
    <w:rsid w:val="00667B8B"/>
    <w:rsid w:val="00667EE7"/>
    <w:rsid w:val="00670237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366"/>
    <w:rsid w:val="006A5547"/>
    <w:rsid w:val="006A5964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86"/>
    <w:rsid w:val="006D68B2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6E1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2DC5"/>
    <w:rsid w:val="007131C2"/>
    <w:rsid w:val="00713308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3F2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6F8B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57D0E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D6E"/>
    <w:rsid w:val="00773E40"/>
    <w:rsid w:val="00773E46"/>
    <w:rsid w:val="0077428B"/>
    <w:rsid w:val="00774999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2B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E71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F8"/>
    <w:rsid w:val="007A43A6"/>
    <w:rsid w:val="007A4A85"/>
    <w:rsid w:val="007A55EF"/>
    <w:rsid w:val="007A584C"/>
    <w:rsid w:val="007A58A6"/>
    <w:rsid w:val="007A61F7"/>
    <w:rsid w:val="007A6600"/>
    <w:rsid w:val="007A693F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2F9"/>
    <w:rsid w:val="007C237A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10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61E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D05"/>
    <w:rsid w:val="00837EDA"/>
    <w:rsid w:val="00837F6B"/>
    <w:rsid w:val="0084044A"/>
    <w:rsid w:val="008407DD"/>
    <w:rsid w:val="00840838"/>
    <w:rsid w:val="00840EEF"/>
    <w:rsid w:val="00841118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2017"/>
    <w:rsid w:val="008C23DF"/>
    <w:rsid w:val="008C256E"/>
    <w:rsid w:val="008C2AA7"/>
    <w:rsid w:val="008C2B48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6EC"/>
    <w:rsid w:val="008D6737"/>
    <w:rsid w:val="008D6AD5"/>
    <w:rsid w:val="008D6CC6"/>
    <w:rsid w:val="008D6D1A"/>
    <w:rsid w:val="008D6DC1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3F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E12"/>
    <w:rsid w:val="009412B7"/>
    <w:rsid w:val="00941636"/>
    <w:rsid w:val="009419FB"/>
    <w:rsid w:val="00941E13"/>
    <w:rsid w:val="00942273"/>
    <w:rsid w:val="009424D7"/>
    <w:rsid w:val="0094296D"/>
    <w:rsid w:val="00942C3A"/>
    <w:rsid w:val="00942E24"/>
    <w:rsid w:val="00942E74"/>
    <w:rsid w:val="0094320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E3"/>
    <w:rsid w:val="00953454"/>
    <w:rsid w:val="00953516"/>
    <w:rsid w:val="00953920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5B2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72"/>
    <w:rsid w:val="0099007C"/>
    <w:rsid w:val="009902EF"/>
    <w:rsid w:val="00990630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5CD1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7A3"/>
    <w:rsid w:val="009E4897"/>
    <w:rsid w:val="009E4CD3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1EC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1C7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629A"/>
    <w:rsid w:val="00A56433"/>
    <w:rsid w:val="00A566E3"/>
    <w:rsid w:val="00A56798"/>
    <w:rsid w:val="00A56942"/>
    <w:rsid w:val="00A56A74"/>
    <w:rsid w:val="00A56EE0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C7"/>
    <w:rsid w:val="00AC733C"/>
    <w:rsid w:val="00AC75A5"/>
    <w:rsid w:val="00AC7B22"/>
    <w:rsid w:val="00AD00BB"/>
    <w:rsid w:val="00AD026B"/>
    <w:rsid w:val="00AD02B0"/>
    <w:rsid w:val="00AD044D"/>
    <w:rsid w:val="00AD0550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DFB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5E65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7ED"/>
    <w:rsid w:val="00B56916"/>
    <w:rsid w:val="00B56A8F"/>
    <w:rsid w:val="00B56D9B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F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6"/>
    <w:rsid w:val="00C26FAA"/>
    <w:rsid w:val="00C27291"/>
    <w:rsid w:val="00C2783A"/>
    <w:rsid w:val="00C279B5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ED4"/>
    <w:rsid w:val="00C32FD1"/>
    <w:rsid w:val="00C34144"/>
    <w:rsid w:val="00C34DA5"/>
    <w:rsid w:val="00C35447"/>
    <w:rsid w:val="00C35564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88F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9F4"/>
    <w:rsid w:val="00CA1A0D"/>
    <w:rsid w:val="00CA1ED8"/>
    <w:rsid w:val="00CA2572"/>
    <w:rsid w:val="00CA277C"/>
    <w:rsid w:val="00CA2885"/>
    <w:rsid w:val="00CA2BF4"/>
    <w:rsid w:val="00CA331B"/>
    <w:rsid w:val="00CA3474"/>
    <w:rsid w:val="00CA34C1"/>
    <w:rsid w:val="00CA3634"/>
    <w:rsid w:val="00CA374B"/>
    <w:rsid w:val="00CA38BC"/>
    <w:rsid w:val="00CA3B76"/>
    <w:rsid w:val="00CA42B2"/>
    <w:rsid w:val="00CA4300"/>
    <w:rsid w:val="00CA4C17"/>
    <w:rsid w:val="00CA4CF2"/>
    <w:rsid w:val="00CA5093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1057"/>
    <w:rsid w:val="00CC111F"/>
    <w:rsid w:val="00CC1475"/>
    <w:rsid w:val="00CC14E9"/>
    <w:rsid w:val="00CC1613"/>
    <w:rsid w:val="00CC16FC"/>
    <w:rsid w:val="00CC17FD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B1A"/>
    <w:rsid w:val="00CD2D0C"/>
    <w:rsid w:val="00CD2ED1"/>
    <w:rsid w:val="00CD2F77"/>
    <w:rsid w:val="00CD2FA3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948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D0"/>
    <w:rsid w:val="00CE56D6"/>
    <w:rsid w:val="00CE5F0B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5E7"/>
    <w:rsid w:val="00D01925"/>
    <w:rsid w:val="00D01F9C"/>
    <w:rsid w:val="00D02289"/>
    <w:rsid w:val="00D0241D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993"/>
    <w:rsid w:val="00D04A7D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2C2E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1B71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06C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671D"/>
    <w:rsid w:val="00D7751A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6BCF"/>
    <w:rsid w:val="00D97068"/>
    <w:rsid w:val="00D971D9"/>
    <w:rsid w:val="00D97336"/>
    <w:rsid w:val="00D97666"/>
    <w:rsid w:val="00D97E3F"/>
    <w:rsid w:val="00D97EF6"/>
    <w:rsid w:val="00DA02A8"/>
    <w:rsid w:val="00DA0471"/>
    <w:rsid w:val="00DA08A9"/>
    <w:rsid w:val="00DA0BF5"/>
    <w:rsid w:val="00DA1116"/>
    <w:rsid w:val="00DA1241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400A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ADF"/>
    <w:rsid w:val="00DC7CD0"/>
    <w:rsid w:val="00DC7E2E"/>
    <w:rsid w:val="00DD0200"/>
    <w:rsid w:val="00DD0299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2FE"/>
    <w:rsid w:val="00DD2727"/>
    <w:rsid w:val="00DD2FD3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65F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3943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21"/>
    <w:rsid w:val="00E16CCF"/>
    <w:rsid w:val="00E172AB"/>
    <w:rsid w:val="00E174B1"/>
    <w:rsid w:val="00E17C09"/>
    <w:rsid w:val="00E17FA2"/>
    <w:rsid w:val="00E20081"/>
    <w:rsid w:val="00E20601"/>
    <w:rsid w:val="00E209C7"/>
    <w:rsid w:val="00E20A0E"/>
    <w:rsid w:val="00E20D61"/>
    <w:rsid w:val="00E20FEC"/>
    <w:rsid w:val="00E21003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7"/>
    <w:rsid w:val="00E35BC4"/>
    <w:rsid w:val="00E35BCD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BC9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92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467"/>
    <w:rsid w:val="00E63838"/>
    <w:rsid w:val="00E63AAE"/>
    <w:rsid w:val="00E63EA7"/>
    <w:rsid w:val="00E64031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7DA"/>
    <w:rsid w:val="00E85928"/>
    <w:rsid w:val="00E85BD4"/>
    <w:rsid w:val="00E85CC8"/>
    <w:rsid w:val="00E85D48"/>
    <w:rsid w:val="00E85DDF"/>
    <w:rsid w:val="00E85F5E"/>
    <w:rsid w:val="00E86020"/>
    <w:rsid w:val="00E860C9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D2E"/>
    <w:rsid w:val="00EA2D56"/>
    <w:rsid w:val="00EA35BC"/>
    <w:rsid w:val="00EA43EF"/>
    <w:rsid w:val="00EA4483"/>
    <w:rsid w:val="00EA49A5"/>
    <w:rsid w:val="00EA4D4D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B97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3C7D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1D5"/>
    <w:rsid w:val="00F0051C"/>
    <w:rsid w:val="00F00783"/>
    <w:rsid w:val="00F00D88"/>
    <w:rsid w:val="00F0186E"/>
    <w:rsid w:val="00F0265A"/>
    <w:rsid w:val="00F0361C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C77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0D88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D"/>
    <w:rsid w:val="00F579DD"/>
    <w:rsid w:val="00F57A6A"/>
    <w:rsid w:val="00F57D9A"/>
    <w:rsid w:val="00F57EF5"/>
    <w:rsid w:val="00F604DE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676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9DB"/>
    <w:rsid w:val="00FB5FC4"/>
    <w:rsid w:val="00FB60A0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C7C82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3185"/>
    <w:rsid w:val="00FE32A8"/>
    <w:rsid w:val="00FE3AC0"/>
    <w:rsid w:val="00FE3B20"/>
    <w:rsid w:val="00FE3C6C"/>
    <w:rsid w:val="00FE4C7B"/>
    <w:rsid w:val="00FE5566"/>
    <w:rsid w:val="00FE58D1"/>
    <w:rsid w:val="00FE5CEC"/>
    <w:rsid w:val="00FE5D2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D41B7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uiPriority w:val="9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454</TotalTime>
  <Pages>3</Pages>
  <Words>1569</Words>
  <Characters>7108</Characters>
  <Application>Microsoft Office Word</Application>
  <DocSecurity>0</DocSecurity>
  <Lines>546</Lines>
  <Paragraphs>510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8167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116</cp:revision>
  <cp:lastPrinted>2019-05-08T01:41:00Z</cp:lastPrinted>
  <dcterms:created xsi:type="dcterms:W3CDTF">2020-08-07T04:23:00Z</dcterms:created>
  <dcterms:modified xsi:type="dcterms:W3CDTF">2021-04-06T00:39:00Z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