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72293149" w:rsidR="00695123" w:rsidRPr="00695123" w:rsidRDefault="008857D2" w:rsidP="00695123">
      <w:pPr>
        <w:tabs>
          <w:tab w:val="center" w:pos="4536"/>
          <w:tab w:val="right" w:pos="8280"/>
          <w:tab w:val="right" w:pos="9639"/>
        </w:tabs>
        <w:ind w:right="2"/>
        <w:rPr>
          <w:b/>
          <w:bCs/>
          <w:sz w:val="28"/>
        </w:rPr>
      </w:pPr>
      <w:r>
        <w:rPr>
          <w:b/>
          <w:bCs/>
          <w:sz w:val="28"/>
        </w:rPr>
        <w:t>3GPP TSG RAN WG1 #104</w:t>
      </w:r>
      <w:r w:rsidR="00AB69CB">
        <w:rPr>
          <w:b/>
          <w:bCs/>
          <w:sz w:val="28"/>
        </w:rPr>
        <w:t>b</w:t>
      </w:r>
      <w:r w:rsidR="00695123" w:rsidRPr="00695123">
        <w:rPr>
          <w:b/>
          <w:bCs/>
          <w:sz w:val="28"/>
        </w:rPr>
        <w:t>-e</w:t>
      </w:r>
      <w:r w:rsidR="00695123" w:rsidRPr="00695123">
        <w:rPr>
          <w:b/>
          <w:bCs/>
          <w:sz w:val="28"/>
        </w:rPr>
        <w:tab/>
      </w:r>
      <w:r w:rsidR="00695123" w:rsidRPr="00695123">
        <w:rPr>
          <w:b/>
          <w:bCs/>
          <w:sz w:val="28"/>
        </w:rPr>
        <w:tab/>
      </w:r>
      <w:r w:rsidR="00E06A43">
        <w:rPr>
          <w:b/>
          <w:bCs/>
          <w:sz w:val="28"/>
        </w:rPr>
        <w:tab/>
      </w:r>
      <w:r w:rsidR="00881E73">
        <w:rPr>
          <w:b/>
          <w:bCs/>
          <w:sz w:val="28"/>
        </w:rPr>
        <w:t>R1-2102688</w:t>
      </w:r>
    </w:p>
    <w:p w14:paraId="468022D7" w14:textId="228471E5" w:rsidR="005C41F1" w:rsidRPr="00F341FE" w:rsidRDefault="00BD0369" w:rsidP="00695123">
      <w:pPr>
        <w:spacing w:afterLines="50" w:after="120"/>
        <w:ind w:left="1985" w:hanging="1985"/>
        <w:rPr>
          <w:b/>
          <w:sz w:val="28"/>
          <w:szCs w:val="28"/>
        </w:rPr>
      </w:pPr>
      <w:r>
        <w:rPr>
          <w:rFonts w:eastAsia="MS Mincho"/>
          <w:b/>
          <w:bCs/>
          <w:sz w:val="28"/>
          <w:lang w:eastAsia="ja-JP"/>
        </w:rPr>
        <w:t>e-Meeting, April 12</w:t>
      </w:r>
      <w:r w:rsidR="00695123" w:rsidRPr="00695123">
        <w:rPr>
          <w:rFonts w:eastAsia="MS Mincho"/>
          <w:b/>
          <w:bCs/>
          <w:sz w:val="28"/>
          <w:vertAlign w:val="superscript"/>
          <w:lang w:eastAsia="ja-JP"/>
        </w:rPr>
        <w:t>th</w:t>
      </w:r>
      <w:r>
        <w:rPr>
          <w:rFonts w:eastAsia="MS Mincho"/>
          <w:b/>
          <w:bCs/>
          <w:sz w:val="28"/>
          <w:lang w:eastAsia="ja-JP"/>
        </w:rPr>
        <w:t xml:space="preserve"> – April 20</w:t>
      </w:r>
      <w:r w:rsidR="00695123" w:rsidRPr="00695123">
        <w:rPr>
          <w:rFonts w:eastAsia="MS Mincho"/>
          <w:b/>
          <w:bCs/>
          <w:sz w:val="28"/>
          <w:vertAlign w:val="superscript"/>
          <w:lang w:eastAsia="ja-JP"/>
        </w:rPr>
        <w:t>th</w:t>
      </w:r>
      <w:r w:rsidR="00F341FE">
        <w:rPr>
          <w:rFonts w:eastAsia="MS Mincho"/>
          <w:b/>
          <w:bCs/>
          <w:sz w:val="28"/>
          <w:lang w:eastAsia="ja-JP"/>
        </w:rPr>
        <w:t>, 2021</w:t>
      </w:r>
      <w:bookmarkStart w:id="0" w:name="_GoBack"/>
      <w:bookmarkEnd w:id="0"/>
    </w:p>
    <w:p w14:paraId="301899BC" w14:textId="747C2C8A"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.1</w:t>
      </w:r>
    </w:p>
    <w:p w14:paraId="3ACE8376" w14:textId="091BB285" w:rsidR="003C20D3" w:rsidRPr="007D4109" w:rsidRDefault="0050043D" w:rsidP="008857D2">
      <w:pPr>
        <w:spacing w:afterLines="50" w:after="120"/>
        <w:ind w:left="1985" w:hanging="1985"/>
        <w:rPr>
          <w:b/>
          <w:sz w:val="28"/>
          <w:szCs w:val="28"/>
        </w:rPr>
      </w:pPr>
      <w:r>
        <w:rPr>
          <w:b/>
          <w:sz w:val="28"/>
          <w:szCs w:val="28"/>
        </w:rPr>
        <w:t>Title:</w:t>
      </w:r>
      <w:r>
        <w:rPr>
          <w:b/>
          <w:sz w:val="28"/>
          <w:szCs w:val="28"/>
        </w:rPr>
        <w:tab/>
      </w:r>
      <w:r w:rsidR="0032370A" w:rsidRPr="0032370A">
        <w:rPr>
          <w:b/>
          <w:sz w:val="28"/>
          <w:szCs w:val="28"/>
        </w:rPr>
        <w:t>Discussion on initial access of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551043"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af2"/>
        <w:numPr>
          <w:ilvl w:val="0"/>
          <w:numId w:val="5"/>
        </w:numPr>
        <w:spacing w:afterLines="50" w:after="120"/>
        <w:outlineLvl w:val="0"/>
        <w:rPr>
          <w:b/>
          <w:sz w:val="28"/>
        </w:rPr>
      </w:pPr>
      <w:r w:rsidRPr="007D4109">
        <w:rPr>
          <w:b/>
          <w:sz w:val="28"/>
        </w:rPr>
        <w:t>Introduction</w:t>
      </w:r>
    </w:p>
    <w:p w14:paraId="3C5917C2" w14:textId="2A2EB214" w:rsidR="0032370A" w:rsidRDefault="0032370A" w:rsidP="008857D2">
      <w:r>
        <w:t xml:space="preserve">     The initial access aspect for 52.6-71 GHz NR operation were agree to be part of work items during </w:t>
      </w:r>
      <w:r w:rsidRPr="00C75289">
        <w:t>RAN #90e</w:t>
      </w:r>
      <w:r>
        <w:t xml:space="preserve"> [1]. The agreements are listed as follows.</w:t>
      </w:r>
    </w:p>
    <w:p w14:paraId="472E0113" w14:textId="77777777" w:rsidR="0032370A" w:rsidRDefault="0032370A" w:rsidP="008857D2"/>
    <w:tbl>
      <w:tblPr>
        <w:tblW w:w="10443"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3"/>
      </w:tblGrid>
      <w:tr w:rsidR="0032370A" w14:paraId="2FC2B6A0" w14:textId="77777777" w:rsidTr="0032370A">
        <w:trPr>
          <w:trHeight w:val="6086"/>
        </w:trPr>
        <w:tc>
          <w:tcPr>
            <w:tcW w:w="10443" w:type="dxa"/>
          </w:tcPr>
          <w:p w14:paraId="76E75C23" w14:textId="77777777" w:rsidR="0032370A" w:rsidRPr="0032370A" w:rsidRDefault="0032370A" w:rsidP="00B704E7">
            <w:pPr>
              <w:pStyle w:val="B1"/>
              <w:numPr>
                <w:ilvl w:val="0"/>
                <w:numId w:val="6"/>
              </w:numPr>
              <w:overflowPunct w:val="0"/>
              <w:autoSpaceDE w:val="0"/>
              <w:autoSpaceDN w:val="0"/>
              <w:adjustRightInd w:val="0"/>
              <w:spacing w:before="180" w:after="180"/>
              <w:ind w:left="839"/>
              <w:jc w:val="left"/>
              <w:textAlignment w:val="baseline"/>
              <w:rPr>
                <w:rFonts w:ascii="Times New Roman" w:hAnsi="Times New Roman"/>
                <w:lang w:eastAsia="ja-JP"/>
              </w:rPr>
            </w:pPr>
            <w:r w:rsidRPr="0032370A">
              <w:rPr>
                <w:rFonts w:ascii="Times New Roman" w:hAnsi="Times New Roman"/>
                <w:lang w:eastAsia="ja-JP"/>
              </w:rPr>
              <w:t>Physical layer aspects including [RAN1]:</w:t>
            </w:r>
          </w:p>
          <w:p w14:paraId="5D3360B8" w14:textId="7AA7CBE9" w:rsidR="0032370A" w:rsidRPr="0032370A" w:rsidRDefault="0032370A" w:rsidP="00B704E7">
            <w:pPr>
              <w:pStyle w:val="B1"/>
              <w:numPr>
                <w:ilvl w:val="1"/>
                <w:numId w:val="6"/>
              </w:numPr>
              <w:overflowPunct w:val="0"/>
              <w:autoSpaceDE w:val="0"/>
              <w:autoSpaceDN w:val="0"/>
              <w:adjustRightInd w:val="0"/>
              <w:spacing w:before="180" w:after="180"/>
              <w:ind w:left="1559"/>
              <w:jc w:val="left"/>
              <w:textAlignment w:val="baseline"/>
              <w:rPr>
                <w:rFonts w:ascii="Times New Roman" w:hAnsi="Times New Roman"/>
                <w:lang w:eastAsia="ja-JP"/>
              </w:rPr>
            </w:pPr>
            <w:r w:rsidRPr="0032370A">
              <w:rPr>
                <w:rFonts w:ascii="Times New Roman" w:hAnsi="Times New Roman"/>
                <w:lang w:eastAsia="ja-JP"/>
              </w:rPr>
              <w:t xml:space="preserve">In addition to 120kHz SCS, specify </w:t>
            </w:r>
            <w:r w:rsidRPr="0032370A">
              <w:rPr>
                <w:rFonts w:ascii="Times New Roman" w:hAnsi="Times New Roman"/>
              </w:rPr>
              <w:t xml:space="preserve">new SCS, </w:t>
            </w:r>
            <w:r w:rsidRPr="0032370A">
              <w:rPr>
                <w:rFonts w:ascii="Times New Roman" w:hAnsi="Times New Roman"/>
                <w:lang w:eastAsia="ja-JP"/>
              </w:rPr>
              <w:t xml:space="preserve">480kHz and 960kHz, and define maximum bandwidth(s), for operation in this frequency range for data and control channels and </w:t>
            </w:r>
            <w:bookmarkStart w:id="1" w:name="_Hlk58583563"/>
            <w:r w:rsidRPr="0032370A">
              <w:rPr>
                <w:rFonts w:ascii="Times New Roman" w:hAnsi="Times New Roman"/>
                <w:lang w:eastAsia="ja-JP"/>
              </w:rPr>
              <w:t>reference signals, only NCP supported</w:t>
            </w:r>
            <w:bookmarkEnd w:id="1"/>
            <w:r w:rsidRPr="0032370A">
              <w:rPr>
                <w:rFonts w:ascii="Times New Roman" w:hAnsi="Times New Roman"/>
                <w:lang w:eastAsia="ja-JP"/>
              </w:rPr>
              <w:t xml:space="preserve">. </w:t>
            </w:r>
          </w:p>
          <w:p w14:paraId="1F4BC00D" w14:textId="12469DC9" w:rsidR="0032370A" w:rsidRPr="0032370A" w:rsidRDefault="0032370A" w:rsidP="00B704E7">
            <w:pPr>
              <w:pStyle w:val="B1"/>
              <w:numPr>
                <w:ilvl w:val="1"/>
                <w:numId w:val="6"/>
              </w:numPr>
              <w:overflowPunct w:val="0"/>
              <w:autoSpaceDE w:val="0"/>
              <w:autoSpaceDN w:val="0"/>
              <w:adjustRightInd w:val="0"/>
              <w:spacing w:before="180" w:after="180"/>
              <w:ind w:left="1559"/>
              <w:jc w:val="left"/>
              <w:textAlignment w:val="baseline"/>
              <w:rPr>
                <w:rFonts w:ascii="Times New Roman" w:hAnsi="Times New Roman"/>
                <w:lang w:eastAsia="ja-JP"/>
              </w:rPr>
            </w:pPr>
            <w:r w:rsidRPr="0032370A">
              <w:rPr>
                <w:rFonts w:ascii="Times New Roman" w:hAnsi="Times New Roman"/>
              </w:rPr>
              <w:t>Supports 120kHz SCS for SSB and 120kHz SCS for initial access related signals/channels in an</w:t>
            </w:r>
            <w:r w:rsidRPr="0032370A">
              <w:rPr>
                <w:rFonts w:ascii="Times New Roman" w:hAnsi="Times New Roman"/>
                <w:color w:val="FF0000"/>
              </w:rPr>
              <w:t xml:space="preserve"> </w:t>
            </w:r>
            <w:r w:rsidRPr="0032370A">
              <w:rPr>
                <w:rFonts w:ascii="Times New Roman" w:hAnsi="Times New Roman"/>
              </w:rPr>
              <w:t>initial BWP.</w:t>
            </w:r>
          </w:p>
          <w:p w14:paraId="5A096E12" w14:textId="77777777" w:rsidR="0032370A" w:rsidRPr="0032370A" w:rsidRDefault="0032370A" w:rsidP="00B704E7">
            <w:pPr>
              <w:pStyle w:val="B1"/>
              <w:numPr>
                <w:ilvl w:val="2"/>
                <w:numId w:val="6"/>
              </w:numPr>
              <w:overflowPunct w:val="0"/>
              <w:autoSpaceDE w:val="0"/>
              <w:autoSpaceDN w:val="0"/>
              <w:adjustRightInd w:val="0"/>
              <w:spacing w:before="180" w:after="180"/>
              <w:ind w:left="2279"/>
              <w:jc w:val="left"/>
              <w:textAlignment w:val="baseline"/>
              <w:rPr>
                <w:rFonts w:ascii="Times New Roman" w:hAnsi="Times New Roman"/>
              </w:rPr>
            </w:pPr>
            <w:r w:rsidRPr="0032370A">
              <w:rPr>
                <w:rFonts w:ascii="Times New Roman" w:hAnsi="Times New Roman"/>
              </w:rPr>
              <w:t>Study and specify, if needed, additional SCS (240kHz, 480kHz, 960kHz) for SSB, and additional SCS(480kHz, 960kHz) for initial access related signals/channels in initial BWP.</w:t>
            </w:r>
          </w:p>
          <w:p w14:paraId="6D5C77A6" w14:textId="77777777" w:rsidR="0032370A" w:rsidRPr="0032370A" w:rsidRDefault="0032370A" w:rsidP="00B704E7">
            <w:pPr>
              <w:pStyle w:val="B1"/>
              <w:numPr>
                <w:ilvl w:val="2"/>
                <w:numId w:val="6"/>
              </w:numPr>
              <w:overflowPunct w:val="0"/>
              <w:autoSpaceDE w:val="0"/>
              <w:autoSpaceDN w:val="0"/>
              <w:adjustRightInd w:val="0"/>
              <w:spacing w:before="180" w:after="180"/>
              <w:ind w:left="2279"/>
              <w:jc w:val="left"/>
              <w:textAlignment w:val="baseline"/>
              <w:rPr>
                <w:rFonts w:ascii="Times New Roman" w:hAnsi="Times New Roman"/>
              </w:rPr>
            </w:pPr>
            <w:r w:rsidRPr="0032370A">
              <w:rPr>
                <w:rFonts w:ascii="Times New Roman" w:hAnsi="Times New Roman"/>
              </w:rPr>
              <w:t>Study and specify, if needed, additional SCS (480kHz, 960kHz) for SSB for cases other than initial access.</w:t>
            </w:r>
          </w:p>
          <w:p w14:paraId="021E35F9" w14:textId="77777777" w:rsidR="0032370A" w:rsidRPr="0032370A" w:rsidRDefault="0032370A" w:rsidP="00B704E7">
            <w:pPr>
              <w:pStyle w:val="B1"/>
              <w:numPr>
                <w:ilvl w:val="2"/>
                <w:numId w:val="6"/>
              </w:numPr>
              <w:overflowPunct w:val="0"/>
              <w:autoSpaceDE w:val="0"/>
              <w:autoSpaceDN w:val="0"/>
              <w:adjustRightInd w:val="0"/>
              <w:spacing w:before="180" w:after="180"/>
              <w:ind w:left="2279"/>
              <w:jc w:val="left"/>
              <w:textAlignment w:val="baseline"/>
              <w:rPr>
                <w:rFonts w:ascii="Times New Roman" w:hAnsi="Times New Roman"/>
              </w:rPr>
            </w:pPr>
            <w:r w:rsidRPr="0032370A">
              <w:rPr>
                <w:rFonts w:ascii="Times New Roman" w:hAnsi="Times New Roman"/>
              </w:rPr>
              <w:t>Note: coverage enhancement for SSB is not pursued.</w:t>
            </w:r>
          </w:p>
          <w:p w14:paraId="3510B27C" w14:textId="77777777" w:rsidR="0032370A" w:rsidRPr="0032370A" w:rsidRDefault="0032370A" w:rsidP="00B704E7">
            <w:pPr>
              <w:pStyle w:val="B1"/>
              <w:numPr>
                <w:ilvl w:val="1"/>
                <w:numId w:val="6"/>
              </w:numPr>
              <w:overflowPunct w:val="0"/>
              <w:autoSpaceDE w:val="0"/>
              <w:autoSpaceDN w:val="0"/>
              <w:adjustRightInd w:val="0"/>
              <w:spacing w:before="180" w:after="180"/>
              <w:ind w:left="1559"/>
              <w:jc w:val="left"/>
              <w:textAlignment w:val="baseline"/>
              <w:rPr>
                <w:rFonts w:ascii="Times New Roman" w:eastAsia="DengXian" w:hAnsi="Times New Roman"/>
                <w:lang w:eastAsia="ko-KR"/>
              </w:rPr>
            </w:pPr>
            <w:r w:rsidRPr="0032370A">
              <w:rPr>
                <w:rFonts w:ascii="Times New Roman" w:hAnsi="Times New Roman"/>
                <w:lang w:eastAsia="ko-KR"/>
              </w:rPr>
              <w:t xml:space="preserve">Specify support for PRACH sequence lengths (i.e. L=139, L=571 and L=1151) and study, if needed, specify support for RO configuration for non-consecutive RACH occasions </w:t>
            </w:r>
            <w:bookmarkStart w:id="2" w:name="_Hlk58594915"/>
            <w:r w:rsidRPr="0032370A">
              <w:rPr>
                <w:rFonts w:ascii="Times New Roman" w:hAnsi="Times New Roman"/>
                <w:lang w:eastAsia="ko-KR"/>
              </w:rPr>
              <w:t xml:space="preserve">(RO) in </w:t>
            </w:r>
            <w:bookmarkEnd w:id="2"/>
            <w:r w:rsidRPr="0032370A">
              <w:rPr>
                <w:rFonts w:ascii="Times New Roman" w:hAnsi="Times New Roman"/>
                <w:lang w:eastAsia="ko-KR"/>
              </w:rPr>
              <w:t>time domain for operation in shared spectrum</w:t>
            </w:r>
            <w:r w:rsidRPr="0032370A">
              <w:rPr>
                <w:rFonts w:ascii="Times New Roman" w:eastAsia="DengXian" w:hAnsi="Times New Roman"/>
                <w:lang w:eastAsia="ko-KR"/>
              </w:rPr>
              <w:t xml:space="preserve"> </w:t>
            </w:r>
          </w:p>
          <w:p w14:paraId="2C901D59" w14:textId="7A5EDD9F" w:rsidR="0032370A" w:rsidRDefault="0032370A" w:rsidP="00B704E7">
            <w:pPr>
              <w:pStyle w:val="B1"/>
              <w:numPr>
                <w:ilvl w:val="1"/>
                <w:numId w:val="6"/>
              </w:numPr>
              <w:overflowPunct w:val="0"/>
              <w:autoSpaceDE w:val="0"/>
              <w:autoSpaceDN w:val="0"/>
              <w:adjustRightInd w:val="0"/>
              <w:spacing w:before="180" w:after="180"/>
              <w:ind w:left="1559"/>
              <w:jc w:val="left"/>
              <w:textAlignment w:val="baseline"/>
              <w:rPr>
                <w:rFonts w:ascii="Times New Roman" w:hAnsi="Times New Roman"/>
                <w:lang w:eastAsia="ja-JP"/>
              </w:rPr>
            </w:pPr>
            <w:r w:rsidRPr="0032370A">
              <w:rPr>
                <w:rFonts w:ascii="Times New Roman" w:eastAsia="DengXian" w:hAnsi="Times New Roman"/>
                <w:lang w:eastAsia="ko-KR"/>
              </w:rPr>
              <w:t>Evaluate, and if needed, specify the PTRS enhancement for 120kHz SCS, 480kHz SCS and/or 960kHz SCS, as well as DMRS enhancement for 480kHz SCS and/or 960kHz SCS.</w:t>
            </w:r>
          </w:p>
        </w:tc>
      </w:tr>
    </w:tbl>
    <w:p w14:paraId="40F14E49" w14:textId="24690CEE" w:rsidR="0032370A" w:rsidRPr="0032370A" w:rsidRDefault="0032370A" w:rsidP="0032370A">
      <w:pPr>
        <w:pStyle w:val="B1"/>
        <w:overflowPunct w:val="0"/>
        <w:autoSpaceDE w:val="0"/>
        <w:autoSpaceDN w:val="0"/>
        <w:adjustRightInd w:val="0"/>
        <w:spacing w:before="180" w:after="180"/>
        <w:ind w:left="0" w:firstLine="0"/>
        <w:jc w:val="left"/>
        <w:textAlignment w:val="baseline"/>
        <w:rPr>
          <w:rFonts w:ascii="Times New Roman" w:eastAsia="DengXian" w:hAnsi="Times New Roman"/>
          <w:lang w:eastAsia="ko-KR"/>
        </w:rPr>
      </w:pPr>
    </w:p>
    <w:p w14:paraId="02219E3F" w14:textId="21BC3945" w:rsidR="004E01EA" w:rsidRPr="008857D2" w:rsidRDefault="0032370A" w:rsidP="008857D2">
      <w:pPr>
        <w:rPr>
          <w:i/>
          <w:sz w:val="8"/>
          <w:szCs w:val="12"/>
        </w:rPr>
      </w:pPr>
      <w:r>
        <w:t xml:space="preserve">     </w:t>
      </w:r>
      <w:r w:rsidR="008857D2">
        <w:t>In this contribution, we provide our view on initial access aspects for NR operations in 52.6-71 GHz.</w:t>
      </w:r>
    </w:p>
    <w:p w14:paraId="479BFEA9" w14:textId="165C02DE" w:rsidR="00494DC2" w:rsidRPr="007D4109" w:rsidRDefault="00551043"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60049C96" w:rsidR="004366E0" w:rsidRPr="0032370A" w:rsidRDefault="0032370A" w:rsidP="004366E0">
      <w:pPr>
        <w:pStyle w:val="af2"/>
        <w:numPr>
          <w:ilvl w:val="0"/>
          <w:numId w:val="5"/>
        </w:numPr>
        <w:spacing w:beforeLines="50" w:before="120" w:afterLines="50" w:after="120"/>
        <w:contextualSpacing w:val="0"/>
        <w:outlineLvl w:val="0"/>
        <w:rPr>
          <w:rFonts w:eastAsia="SimSun"/>
          <w:b/>
          <w:sz w:val="28"/>
        </w:rPr>
      </w:pPr>
      <w:bookmarkStart w:id="3" w:name="_Ref494794648"/>
      <w:r>
        <w:rPr>
          <w:b/>
          <w:sz w:val="28"/>
        </w:rPr>
        <w:t>Discussion</w:t>
      </w:r>
    </w:p>
    <w:p w14:paraId="67002E38" w14:textId="6F99EF66" w:rsidR="0032370A" w:rsidRPr="0032370A" w:rsidRDefault="0032370A" w:rsidP="0032370A">
      <w:pPr>
        <w:pStyle w:val="3"/>
        <w:rPr>
          <w:i/>
          <w:iCs/>
          <w:color w:val="404040" w:themeColor="text1" w:themeTint="BF"/>
          <w:sz w:val="28"/>
          <w:szCs w:val="28"/>
        </w:rPr>
      </w:pPr>
      <w:r>
        <w:rPr>
          <w:rStyle w:val="af6"/>
          <w:sz w:val="28"/>
          <w:szCs w:val="28"/>
        </w:rPr>
        <w:t>2</w:t>
      </w:r>
      <w:r w:rsidR="00CA60EA">
        <w:rPr>
          <w:rStyle w:val="af6"/>
          <w:sz w:val="28"/>
          <w:szCs w:val="28"/>
        </w:rPr>
        <w:t>.1 Discovery burst transmission window</w:t>
      </w:r>
      <w:r>
        <w:rPr>
          <w:rStyle w:val="af6"/>
          <w:sz w:val="28"/>
          <w:szCs w:val="28"/>
        </w:rPr>
        <w:t xml:space="preserve"> related aspects</w:t>
      </w:r>
    </w:p>
    <w:p w14:paraId="768A9ED4" w14:textId="19B0EC8F" w:rsidR="00307542" w:rsidRDefault="00EC1C88" w:rsidP="008857D2">
      <w:pPr>
        <w:rPr>
          <w:color w:val="000000" w:themeColor="text1"/>
          <w:lang w:val="en-GB" w:eastAsia="x-none"/>
        </w:rPr>
      </w:pPr>
      <w:r>
        <w:rPr>
          <w:color w:val="000000" w:themeColor="text1"/>
          <w:lang w:val="en-GB" w:eastAsia="x-none"/>
        </w:rPr>
        <w:t xml:space="preserve">     SSB transmission with LBT were agreed to be supported in the </w:t>
      </w:r>
      <w:r w:rsidR="00C2365F">
        <w:rPr>
          <w:color w:val="000000" w:themeColor="text1"/>
          <w:lang w:val="en-GB" w:eastAsia="x-none"/>
        </w:rPr>
        <w:t>RAN 1 #104-e meeting [2].</w:t>
      </w:r>
    </w:p>
    <w:p w14:paraId="14E46986" w14:textId="77777777" w:rsidR="00C2365F" w:rsidRDefault="00C2365F" w:rsidP="008857D2">
      <w:pPr>
        <w:rPr>
          <w:color w:val="000000" w:themeColor="text1"/>
          <w:lang w:val="en-GB" w:eastAsia="x-none"/>
        </w:rPr>
      </w:pPr>
    </w:p>
    <w:p w14:paraId="2BECAFEB" w14:textId="77777777" w:rsidR="00C2365F" w:rsidRDefault="00C2365F" w:rsidP="008857D2">
      <w:pPr>
        <w:rPr>
          <w:color w:val="000000" w:themeColor="text1"/>
          <w:lang w:val="en-GB" w:eastAsia="x-none"/>
        </w:rPr>
      </w:pPr>
    </w:p>
    <w:tbl>
      <w:tblPr>
        <w:tblW w:w="1044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3"/>
      </w:tblGrid>
      <w:tr w:rsidR="00C2365F" w14:paraId="4210DF37" w14:textId="77777777" w:rsidTr="00C2365F">
        <w:trPr>
          <w:trHeight w:val="1791"/>
        </w:trPr>
        <w:tc>
          <w:tcPr>
            <w:tcW w:w="10443" w:type="dxa"/>
          </w:tcPr>
          <w:p w14:paraId="469DAD6B" w14:textId="77777777" w:rsidR="00C2365F" w:rsidRPr="003161F7" w:rsidRDefault="00C2365F" w:rsidP="00C2365F">
            <w:pPr>
              <w:pStyle w:val="discussionpoint"/>
              <w:spacing w:after="0"/>
              <w:ind w:left="94"/>
              <w:rPr>
                <w:rFonts w:ascii="Times" w:hAnsi="Times" w:cs="Times"/>
                <w:highlight w:val="green"/>
              </w:rPr>
            </w:pPr>
            <w:r w:rsidRPr="003161F7">
              <w:rPr>
                <w:rFonts w:ascii="Times" w:hAnsi="Times" w:cs="Times"/>
                <w:highlight w:val="green"/>
              </w:rPr>
              <w:lastRenderedPageBreak/>
              <w:t>Agreement:</w:t>
            </w:r>
          </w:p>
          <w:p w14:paraId="5A87DDE2" w14:textId="1F7D0546" w:rsidR="00C2365F" w:rsidRPr="003161F7" w:rsidRDefault="00C2365F" w:rsidP="00B704E7">
            <w:pPr>
              <w:pStyle w:val="af2"/>
              <w:numPr>
                <w:ilvl w:val="0"/>
                <w:numId w:val="8"/>
              </w:numPr>
              <w:overflowPunct w:val="0"/>
              <w:snapToGrid w:val="0"/>
              <w:spacing w:line="252" w:lineRule="auto"/>
              <w:ind w:left="814"/>
              <w:rPr>
                <w:rFonts w:cs="Times"/>
                <w:szCs w:val="20"/>
              </w:rPr>
            </w:pPr>
            <w:r w:rsidRPr="003161F7">
              <w:rPr>
                <w:rFonts w:cs="Times"/>
                <w:szCs w:val="20"/>
              </w:rPr>
              <w:t xml:space="preserve">SSB transmission with LBT is supported, at least when the conditions for contention </w:t>
            </w:r>
            <w:r w:rsidR="006E1CA5">
              <w:rPr>
                <w:rFonts w:cs="Times"/>
                <w:szCs w:val="20"/>
              </w:rPr>
              <w:t>exempt short control signa</w:t>
            </w:r>
            <w:r w:rsidRPr="003161F7">
              <w:rPr>
                <w:rFonts w:cs="Times"/>
                <w:szCs w:val="20"/>
              </w:rPr>
              <w:t xml:space="preserve">ling based SSB transmission is not met </w:t>
            </w:r>
          </w:p>
          <w:p w14:paraId="2D3C3E37" w14:textId="77777777" w:rsidR="00C2365F" w:rsidRPr="003161F7" w:rsidRDefault="00C2365F" w:rsidP="00B704E7">
            <w:pPr>
              <w:pStyle w:val="af2"/>
              <w:numPr>
                <w:ilvl w:val="1"/>
                <w:numId w:val="8"/>
              </w:numPr>
              <w:overflowPunct w:val="0"/>
              <w:snapToGrid w:val="0"/>
              <w:spacing w:line="252" w:lineRule="auto"/>
              <w:ind w:left="1534"/>
              <w:rPr>
                <w:rFonts w:cs="Times"/>
                <w:szCs w:val="20"/>
              </w:rPr>
            </w:pPr>
            <w:r w:rsidRPr="003161F7">
              <w:rPr>
                <w:rFonts w:cs="Times"/>
                <w:szCs w:val="20"/>
              </w:rPr>
              <w:t>Note the channel access for SSB with LBT may not be different from a normal COT with multiple beams</w:t>
            </w:r>
          </w:p>
          <w:p w14:paraId="505B751A" w14:textId="77777777" w:rsidR="00C2365F" w:rsidRPr="003161F7" w:rsidRDefault="00C2365F" w:rsidP="00B704E7">
            <w:pPr>
              <w:pStyle w:val="af2"/>
              <w:numPr>
                <w:ilvl w:val="1"/>
                <w:numId w:val="8"/>
              </w:numPr>
              <w:overflowPunct w:val="0"/>
              <w:snapToGrid w:val="0"/>
              <w:spacing w:line="252" w:lineRule="auto"/>
              <w:ind w:left="1534"/>
              <w:rPr>
                <w:rFonts w:cs="Times"/>
                <w:szCs w:val="20"/>
              </w:rPr>
            </w:pPr>
            <w:r w:rsidRPr="003161F7">
              <w:rPr>
                <w:rFonts w:cs="Times"/>
                <w:szCs w:val="20"/>
              </w:rPr>
              <w:t>FFS: If any difference from a multi-beam COT LBT needs to be introduced</w:t>
            </w:r>
          </w:p>
          <w:p w14:paraId="169A8C9B" w14:textId="3211993D" w:rsidR="00C2365F" w:rsidRDefault="00C2365F" w:rsidP="00C2365F">
            <w:pPr>
              <w:ind w:left="94"/>
              <w:rPr>
                <w:rFonts w:ascii="Times" w:hAnsi="Times" w:cs="Times"/>
                <w:highlight w:val="green"/>
              </w:rPr>
            </w:pPr>
          </w:p>
        </w:tc>
      </w:tr>
    </w:tbl>
    <w:p w14:paraId="5AB7C7C2" w14:textId="0888A5C1" w:rsidR="007A3AEB" w:rsidRDefault="00C2365F" w:rsidP="008857D2">
      <w:pPr>
        <w:rPr>
          <w:color w:val="000000" w:themeColor="text1"/>
          <w:lang w:val="en-GB" w:eastAsia="x-none"/>
        </w:rPr>
      </w:pPr>
      <w:r>
        <w:rPr>
          <w:color w:val="000000" w:themeColor="text1"/>
          <w:lang w:val="en-GB" w:eastAsia="x-none"/>
        </w:rPr>
        <w:t xml:space="preserve">    With the use of LBT, d</w:t>
      </w:r>
      <w:r w:rsidRPr="00C2365F">
        <w:rPr>
          <w:color w:val="000000" w:themeColor="text1"/>
          <w:lang w:val="en-GB" w:eastAsia="x-none"/>
        </w:rPr>
        <w:t>iscovery burst transmission window</w:t>
      </w:r>
      <w:r>
        <w:rPr>
          <w:color w:val="000000" w:themeColor="text1"/>
          <w:lang w:val="en-GB" w:eastAsia="x-none"/>
        </w:rPr>
        <w:t xml:space="preserve"> (DBTW) should be defined without violating following agreements. </w:t>
      </w:r>
    </w:p>
    <w:p w14:paraId="3971555B" w14:textId="77777777" w:rsidR="00C2365F" w:rsidRDefault="00C2365F" w:rsidP="008857D2">
      <w:pPr>
        <w:rPr>
          <w:color w:val="000000" w:themeColor="text1"/>
          <w:lang w:val="en-GB" w:eastAsia="x-none"/>
        </w:rPr>
      </w:pPr>
    </w:p>
    <w:tbl>
      <w:tblPr>
        <w:tblW w:w="10456"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56"/>
      </w:tblGrid>
      <w:tr w:rsidR="00C2365F" w14:paraId="696CAB17" w14:textId="77777777" w:rsidTr="00C2365F">
        <w:trPr>
          <w:trHeight w:val="5685"/>
        </w:trPr>
        <w:tc>
          <w:tcPr>
            <w:tcW w:w="10456" w:type="dxa"/>
          </w:tcPr>
          <w:p w14:paraId="74CA2171" w14:textId="77777777" w:rsidR="00C2365F" w:rsidRDefault="00C2365F" w:rsidP="00C2365F">
            <w:pPr>
              <w:ind w:left="182"/>
              <w:rPr>
                <w:color w:val="000000" w:themeColor="text1"/>
                <w:lang w:val="en-GB" w:eastAsia="x-none"/>
              </w:rPr>
            </w:pPr>
          </w:p>
          <w:p w14:paraId="6E625ABF" w14:textId="77777777" w:rsidR="00C2365F" w:rsidRDefault="00C2365F" w:rsidP="00C2365F">
            <w:pPr>
              <w:ind w:left="182"/>
              <w:rPr>
                <w:lang w:eastAsia="x-none"/>
              </w:rPr>
            </w:pPr>
            <w:r w:rsidRPr="00623440">
              <w:rPr>
                <w:highlight w:val="green"/>
                <w:lang w:eastAsia="x-none"/>
              </w:rPr>
              <w:t>Agreement:</w:t>
            </w:r>
          </w:p>
          <w:p w14:paraId="437C45A5" w14:textId="77777777" w:rsidR="00C2365F" w:rsidRDefault="00C2365F" w:rsidP="00C2365F">
            <w:pPr>
              <w:tabs>
                <w:tab w:val="left" w:pos="720"/>
              </w:tabs>
              <w:ind w:left="182"/>
              <w:textAlignment w:val="center"/>
              <w:rPr>
                <w:szCs w:val="20"/>
              </w:rPr>
            </w:pPr>
            <w:r w:rsidRPr="001B3067">
              <w:rPr>
                <w:szCs w:val="20"/>
              </w:rPr>
              <w:t xml:space="preserve">For an unlicensed band that requires LBT, further study whether/how to support </w:t>
            </w:r>
            <w:r w:rsidRPr="00C54530">
              <w:rPr>
                <w:szCs w:val="20"/>
              </w:rPr>
              <w:t xml:space="preserve">discovery burst (DB) anddiscovery burst transmission window (DBTW) </w:t>
            </w:r>
            <w:r w:rsidRPr="001B3067">
              <w:rPr>
                <w:szCs w:val="20"/>
              </w:rPr>
              <w:t>at least for 120 kHz SSB SCS</w:t>
            </w:r>
          </w:p>
          <w:p w14:paraId="0AA6CCAA" w14:textId="77777777" w:rsidR="00C2365F" w:rsidRDefault="00C2365F" w:rsidP="00B704E7">
            <w:pPr>
              <w:numPr>
                <w:ilvl w:val="0"/>
                <w:numId w:val="9"/>
              </w:numPr>
              <w:tabs>
                <w:tab w:val="left" w:pos="720"/>
              </w:tabs>
              <w:ind w:left="902"/>
              <w:textAlignment w:val="center"/>
              <w:rPr>
                <w:szCs w:val="20"/>
              </w:rPr>
            </w:pPr>
            <w:r w:rsidRPr="00026107">
              <w:rPr>
                <w:szCs w:val="20"/>
              </w:rPr>
              <w:t xml:space="preserve">If DB supported </w:t>
            </w:r>
          </w:p>
          <w:p w14:paraId="58C0A5C4" w14:textId="77777777" w:rsidR="00C2365F" w:rsidRPr="006F0CA9" w:rsidRDefault="00C2365F" w:rsidP="00B704E7">
            <w:pPr>
              <w:numPr>
                <w:ilvl w:val="1"/>
                <w:numId w:val="9"/>
              </w:numPr>
              <w:tabs>
                <w:tab w:val="left" w:pos="720"/>
                <w:tab w:val="left" w:pos="1440"/>
              </w:tabs>
              <w:ind w:left="1622"/>
              <w:textAlignment w:val="center"/>
              <w:rPr>
                <w:szCs w:val="20"/>
              </w:rPr>
            </w:pPr>
            <w:r w:rsidRPr="006F0CA9">
              <w:rPr>
                <w:szCs w:val="20"/>
              </w:rPr>
              <w:t>FFS: What signals/channels are included in DB other than SS/PBCH block</w:t>
            </w:r>
          </w:p>
          <w:p w14:paraId="3A1B1174" w14:textId="77777777" w:rsidR="00C2365F" w:rsidRPr="00026107" w:rsidRDefault="00C2365F" w:rsidP="00B704E7">
            <w:pPr>
              <w:numPr>
                <w:ilvl w:val="0"/>
                <w:numId w:val="9"/>
              </w:numPr>
              <w:tabs>
                <w:tab w:val="left" w:pos="720"/>
              </w:tabs>
              <w:ind w:left="902"/>
              <w:textAlignment w:val="center"/>
              <w:rPr>
                <w:szCs w:val="20"/>
              </w:rPr>
            </w:pPr>
            <w:r w:rsidRPr="00026107">
              <w:rPr>
                <w:szCs w:val="20"/>
              </w:rPr>
              <w:t>If DBTW is supported</w:t>
            </w:r>
          </w:p>
          <w:p w14:paraId="3E018440" w14:textId="77777777" w:rsidR="00C2365F" w:rsidRDefault="00C2365F" w:rsidP="00B704E7">
            <w:pPr>
              <w:numPr>
                <w:ilvl w:val="1"/>
                <w:numId w:val="9"/>
              </w:numPr>
              <w:tabs>
                <w:tab w:val="left" w:pos="720"/>
                <w:tab w:val="left" w:pos="1440"/>
              </w:tabs>
              <w:ind w:left="1622"/>
              <w:textAlignment w:val="center"/>
              <w:rPr>
                <w:szCs w:val="20"/>
              </w:rPr>
            </w:pPr>
            <w:r w:rsidRPr="00026107">
              <w:rPr>
                <w:szCs w:val="20"/>
              </w:rPr>
              <w:t>Support mechanism to indicate or inform that DBTW is enabled/disabled for both IDLE and CONNECTED mode UEs</w:t>
            </w:r>
          </w:p>
          <w:p w14:paraId="1284B2D7" w14:textId="77777777" w:rsidR="00C2365F" w:rsidRPr="006F0CA9" w:rsidRDefault="00C2365F" w:rsidP="00B704E7">
            <w:pPr>
              <w:numPr>
                <w:ilvl w:val="2"/>
                <w:numId w:val="9"/>
              </w:numPr>
              <w:tabs>
                <w:tab w:val="left" w:pos="720"/>
                <w:tab w:val="left" w:pos="1440"/>
              </w:tabs>
              <w:ind w:left="2342"/>
              <w:textAlignment w:val="center"/>
              <w:rPr>
                <w:szCs w:val="20"/>
              </w:rPr>
            </w:pPr>
            <w:r w:rsidRPr="006F0CA9">
              <w:rPr>
                <w:szCs w:val="20"/>
              </w:rPr>
              <w:t>FFS: how to support UEs performing initial access that do not have any prior information on DBTW.</w:t>
            </w:r>
          </w:p>
          <w:p w14:paraId="7B5D170F" w14:textId="77777777" w:rsidR="00C2365F" w:rsidRPr="00026107" w:rsidRDefault="00C2365F" w:rsidP="00B704E7">
            <w:pPr>
              <w:numPr>
                <w:ilvl w:val="1"/>
                <w:numId w:val="9"/>
              </w:numPr>
              <w:tabs>
                <w:tab w:val="left" w:pos="720"/>
                <w:tab w:val="left" w:pos="1440"/>
              </w:tabs>
              <w:ind w:left="1622"/>
              <w:textAlignment w:val="center"/>
              <w:rPr>
                <w:szCs w:val="20"/>
              </w:rPr>
            </w:pPr>
            <w:r w:rsidRPr="00026107">
              <w:rPr>
                <w:szCs w:val="20"/>
              </w:rPr>
              <w:t>PBCH payload size is no greater than that for FR2</w:t>
            </w:r>
          </w:p>
          <w:p w14:paraId="56EE8DA3" w14:textId="77777777" w:rsidR="00C2365F" w:rsidRPr="00026107" w:rsidRDefault="00C2365F" w:rsidP="00B704E7">
            <w:pPr>
              <w:numPr>
                <w:ilvl w:val="1"/>
                <w:numId w:val="9"/>
              </w:numPr>
              <w:tabs>
                <w:tab w:val="left" w:pos="720"/>
                <w:tab w:val="left" w:pos="1440"/>
              </w:tabs>
              <w:ind w:left="1622"/>
              <w:textAlignment w:val="center"/>
              <w:rPr>
                <w:szCs w:val="20"/>
              </w:rPr>
            </w:pPr>
            <w:r w:rsidRPr="00026107">
              <w:rPr>
                <w:szCs w:val="20"/>
              </w:rPr>
              <w:t>Duration of DBTW is no greater than 5 ms</w:t>
            </w:r>
          </w:p>
          <w:p w14:paraId="343CF4C2" w14:textId="77777777" w:rsidR="00C2365F" w:rsidRPr="00026107" w:rsidRDefault="00C2365F" w:rsidP="00B704E7">
            <w:pPr>
              <w:numPr>
                <w:ilvl w:val="1"/>
                <w:numId w:val="9"/>
              </w:numPr>
              <w:tabs>
                <w:tab w:val="left" w:pos="720"/>
                <w:tab w:val="left" w:pos="1440"/>
              </w:tabs>
              <w:ind w:left="1622"/>
              <w:textAlignment w:val="center"/>
              <w:rPr>
                <w:szCs w:val="20"/>
              </w:rPr>
            </w:pPr>
            <w:r w:rsidRPr="00026107">
              <w:rPr>
                <w:szCs w:val="20"/>
              </w:rPr>
              <w:t>Number of PBCH DMRS sequences is the same as for FR2</w:t>
            </w:r>
          </w:p>
          <w:p w14:paraId="1F9F0ECA" w14:textId="77777777" w:rsidR="00C2365F" w:rsidRPr="00026107" w:rsidRDefault="00C2365F" w:rsidP="00B704E7">
            <w:pPr>
              <w:numPr>
                <w:ilvl w:val="0"/>
                <w:numId w:val="9"/>
              </w:numPr>
              <w:tabs>
                <w:tab w:val="left" w:pos="720"/>
              </w:tabs>
              <w:ind w:left="902"/>
              <w:textAlignment w:val="center"/>
              <w:rPr>
                <w:szCs w:val="20"/>
              </w:rPr>
            </w:pPr>
            <w:r w:rsidRPr="00026107">
              <w:rPr>
                <w:szCs w:val="20"/>
              </w:rPr>
              <w:t>The following points are additionally FFS:</w:t>
            </w:r>
          </w:p>
          <w:p w14:paraId="2D6AFDAA" w14:textId="77777777" w:rsidR="00C2365F" w:rsidRPr="00026107" w:rsidRDefault="00C2365F" w:rsidP="00B704E7">
            <w:pPr>
              <w:numPr>
                <w:ilvl w:val="1"/>
                <w:numId w:val="9"/>
              </w:numPr>
              <w:tabs>
                <w:tab w:val="left" w:pos="720"/>
                <w:tab w:val="left" w:pos="1440"/>
              </w:tabs>
              <w:ind w:left="1622"/>
              <w:textAlignment w:val="center"/>
              <w:rPr>
                <w:szCs w:val="20"/>
              </w:rPr>
            </w:pPr>
            <w:r w:rsidRPr="00026107">
              <w:rPr>
                <w:szCs w:val="20"/>
              </w:rPr>
              <w:t>How to indicate candidate SSB indices and QCL relation without exceeding limit on PBCH payload size</w:t>
            </w:r>
          </w:p>
          <w:p w14:paraId="11FA79C6" w14:textId="77777777" w:rsidR="00C2365F" w:rsidRPr="00026107" w:rsidRDefault="00C2365F" w:rsidP="00B704E7">
            <w:pPr>
              <w:numPr>
                <w:ilvl w:val="1"/>
                <w:numId w:val="9"/>
              </w:numPr>
              <w:tabs>
                <w:tab w:val="left" w:pos="720"/>
                <w:tab w:val="left" w:pos="1440"/>
              </w:tabs>
              <w:ind w:left="1622"/>
              <w:textAlignment w:val="center"/>
              <w:rPr>
                <w:szCs w:val="20"/>
              </w:rPr>
            </w:pPr>
            <w:r w:rsidRPr="00026107">
              <w:rPr>
                <w:szCs w:val="20"/>
              </w:rPr>
              <w:t>Details of the mechanism for enabling/disabling DBTW considering LBT exempt operation and overlapping licensed/unlicensed bands</w:t>
            </w:r>
          </w:p>
          <w:p w14:paraId="746593F8" w14:textId="77777777" w:rsidR="00C2365F" w:rsidRPr="00026107" w:rsidRDefault="00C2365F" w:rsidP="00B704E7">
            <w:pPr>
              <w:numPr>
                <w:ilvl w:val="1"/>
                <w:numId w:val="9"/>
              </w:numPr>
              <w:tabs>
                <w:tab w:val="left" w:pos="720"/>
                <w:tab w:val="left" w:pos="1440"/>
              </w:tabs>
              <w:ind w:left="1622"/>
              <w:textAlignment w:val="center"/>
              <w:rPr>
                <w:szCs w:val="20"/>
              </w:rPr>
            </w:pPr>
            <w:r w:rsidRPr="00026107">
              <w:rPr>
                <w:szCs w:val="20"/>
              </w:rPr>
              <w:t>Whether or not to support DBTW for SSB SCS(s) other than 120 kHz if other SSB SCS(s)are supported</w:t>
            </w:r>
          </w:p>
          <w:p w14:paraId="11F46FAB" w14:textId="6E172745" w:rsidR="00C2365F" w:rsidRDefault="00C2365F" w:rsidP="00C2365F">
            <w:pPr>
              <w:ind w:left="182"/>
              <w:rPr>
                <w:color w:val="000000" w:themeColor="text1"/>
                <w:lang w:val="en-GB" w:eastAsia="x-none"/>
              </w:rPr>
            </w:pPr>
          </w:p>
        </w:tc>
      </w:tr>
    </w:tbl>
    <w:p w14:paraId="155E5F83" w14:textId="391430A1" w:rsidR="00C2365F" w:rsidRPr="00C04488" w:rsidRDefault="00C2365F" w:rsidP="008857D2">
      <w:pPr>
        <w:rPr>
          <w:color w:val="000000" w:themeColor="text1"/>
          <w:lang w:val="en-GB" w:eastAsia="x-none"/>
        </w:rPr>
      </w:pPr>
      <w:r>
        <w:rPr>
          <w:szCs w:val="20"/>
        </w:rPr>
        <w:t xml:space="preserve">     </w:t>
      </w:r>
      <w:r w:rsidRPr="00C54530">
        <w:rPr>
          <w:szCs w:val="20"/>
        </w:rPr>
        <w:t xml:space="preserve"> </w:t>
      </w:r>
      <w:r w:rsidRPr="00026107">
        <w:rPr>
          <w:szCs w:val="20"/>
        </w:rPr>
        <w:t xml:space="preserve"> </w:t>
      </w:r>
      <w:r w:rsidR="004B665D">
        <w:rPr>
          <w:szCs w:val="20"/>
        </w:rPr>
        <w:t xml:space="preserve">In our view, DBTW is beneficial for coping with LBT failure. More candidate SSB positions can also help increase </w:t>
      </w:r>
      <w:r w:rsidR="004B665D" w:rsidRPr="004B665D">
        <w:rPr>
          <w:rFonts w:hint="eastAsia"/>
          <w:sz w:val="22"/>
          <w:szCs w:val="22"/>
        </w:rPr>
        <w:t>the opportunities for SSB/DRS</w:t>
      </w:r>
      <w:r w:rsidR="004B665D">
        <w:rPr>
          <w:sz w:val="22"/>
          <w:szCs w:val="22"/>
        </w:rPr>
        <w:t>. However, increasing SSB positions can results in larger PBCH payload size or longer DBTW duration, which violates constrains in the above agreement.</w:t>
      </w:r>
    </w:p>
    <w:p w14:paraId="4BE45CD9" w14:textId="77777777" w:rsidR="00C2365F" w:rsidRDefault="00C2365F" w:rsidP="00026B8D">
      <w:pPr>
        <w:rPr>
          <w:b/>
        </w:rPr>
      </w:pPr>
      <w:bookmarkStart w:id="4" w:name="_Ref61380731"/>
    </w:p>
    <w:p w14:paraId="3EFC25E6" w14:textId="3841557C" w:rsidR="00307542" w:rsidRPr="00026B8D" w:rsidRDefault="008857D2" w:rsidP="00026B8D">
      <w:pPr>
        <w:rPr>
          <w:b/>
        </w:rPr>
      </w:pPr>
      <w:r w:rsidRPr="00026B8D">
        <w:rPr>
          <w:b/>
        </w:rPr>
        <w:t xml:space="preserve">Proposal </w:t>
      </w:r>
      <w:r w:rsidRPr="00026B8D">
        <w:rPr>
          <w:b/>
        </w:rPr>
        <w:fldChar w:fldCharType="begin"/>
      </w:r>
      <w:r w:rsidRPr="00026B8D">
        <w:rPr>
          <w:b/>
        </w:rPr>
        <w:instrText xml:space="preserve"> SEQ Proposal \* ARABIC </w:instrText>
      </w:r>
      <w:r w:rsidRPr="00026B8D">
        <w:rPr>
          <w:b/>
        </w:rPr>
        <w:fldChar w:fldCharType="separate"/>
      </w:r>
      <w:r w:rsidRPr="00026B8D">
        <w:rPr>
          <w:b/>
          <w:noProof/>
        </w:rPr>
        <w:t>1</w:t>
      </w:r>
      <w:r w:rsidRPr="00026B8D">
        <w:rPr>
          <w:b/>
        </w:rPr>
        <w:fldChar w:fldCharType="end"/>
      </w:r>
      <w:r w:rsidRPr="00026B8D">
        <w:rPr>
          <w:b/>
        </w:rPr>
        <w:t>:</w:t>
      </w:r>
      <w:r w:rsidRPr="00026B8D">
        <w:rPr>
          <w:b/>
          <w:i/>
        </w:rPr>
        <w:t xml:space="preserve"> </w:t>
      </w:r>
      <w:bookmarkEnd w:id="4"/>
      <w:r w:rsidR="00C2365F">
        <w:rPr>
          <w:b/>
        </w:rPr>
        <w:t>Candidate positions</w:t>
      </w:r>
      <w:r w:rsidR="004B665D">
        <w:rPr>
          <w:b/>
        </w:rPr>
        <w:t xml:space="preserve"> of SSB</w:t>
      </w:r>
      <w:r w:rsidR="00C2365F">
        <w:rPr>
          <w:b/>
        </w:rPr>
        <w:t xml:space="preserve"> should not be increased. </w:t>
      </w:r>
    </w:p>
    <w:p w14:paraId="577731C5" w14:textId="77777777" w:rsidR="007A3AEB" w:rsidRDefault="007A3AEB" w:rsidP="00026B8D"/>
    <w:p w14:paraId="5A5516AA" w14:textId="13A32BAA" w:rsidR="0032370A" w:rsidRPr="007C3D4C" w:rsidRDefault="0032370A" w:rsidP="0032370A">
      <w:pPr>
        <w:pStyle w:val="3"/>
        <w:rPr>
          <w:rStyle w:val="af6"/>
          <w:sz w:val="28"/>
          <w:szCs w:val="28"/>
        </w:rPr>
      </w:pPr>
      <w:r>
        <w:rPr>
          <w:rStyle w:val="af6"/>
          <w:sz w:val="28"/>
          <w:szCs w:val="28"/>
        </w:rPr>
        <w:t>2.2</w:t>
      </w:r>
      <w:r w:rsidR="00E72CF3">
        <w:rPr>
          <w:rStyle w:val="af6"/>
          <w:sz w:val="28"/>
          <w:szCs w:val="28"/>
        </w:rPr>
        <w:t xml:space="preserve"> Supported numerology</w:t>
      </w:r>
    </w:p>
    <w:p w14:paraId="51037719" w14:textId="63E9EC32" w:rsidR="0032370A" w:rsidRDefault="0074316F" w:rsidP="00026B8D">
      <w:r>
        <w:rPr>
          <w:rFonts w:asciiTheme="minorEastAsia" w:eastAsiaTheme="minorEastAsia" w:hAnsiTheme="minorEastAsia"/>
          <w:color w:val="000000" w:themeColor="text1"/>
          <w:lang w:val="en-GB" w:eastAsia="zh-TW"/>
        </w:rPr>
        <w:t xml:space="preserve">     </w:t>
      </w:r>
      <w:r>
        <w:rPr>
          <w:rFonts w:asciiTheme="minorEastAsia" w:eastAsiaTheme="minorEastAsia" w:hAnsiTheme="minorEastAsia" w:hint="eastAsia"/>
          <w:color w:val="000000" w:themeColor="text1"/>
          <w:lang w:val="en-GB" w:eastAsia="zh-TW"/>
        </w:rPr>
        <w:t>I</w:t>
      </w:r>
      <w:r>
        <w:rPr>
          <w:color w:val="000000" w:themeColor="text1"/>
          <w:lang w:val="en-GB" w:eastAsia="x-none"/>
        </w:rPr>
        <w:t>n the RAN 1 #104-e meeting [2], many aspects for SSB SCS were discussed. The timeline to decide SSB SCS</w:t>
      </w:r>
      <w:r>
        <w:t xml:space="preserve"> were agreed:   </w:t>
      </w:r>
    </w:p>
    <w:tbl>
      <w:tblPr>
        <w:tblW w:w="10493"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3"/>
      </w:tblGrid>
      <w:tr w:rsidR="0074316F" w14:paraId="3D78F92D" w14:textId="77777777" w:rsidTr="0074316F">
        <w:trPr>
          <w:trHeight w:val="1265"/>
        </w:trPr>
        <w:tc>
          <w:tcPr>
            <w:tcW w:w="10493" w:type="dxa"/>
          </w:tcPr>
          <w:p w14:paraId="3248567E" w14:textId="77777777" w:rsidR="0074316F" w:rsidRDefault="0074316F" w:rsidP="0074316F">
            <w:pPr>
              <w:ind w:left="220"/>
            </w:pPr>
          </w:p>
          <w:p w14:paraId="3727142D" w14:textId="77777777" w:rsidR="0074316F" w:rsidRDefault="0074316F" w:rsidP="0074316F">
            <w:pPr>
              <w:ind w:left="220"/>
              <w:rPr>
                <w:lang w:eastAsia="x-none"/>
              </w:rPr>
            </w:pPr>
            <w:r w:rsidRPr="00F05825">
              <w:rPr>
                <w:highlight w:val="green"/>
                <w:lang w:eastAsia="x-none"/>
              </w:rPr>
              <w:t>Agreement:</w:t>
            </w:r>
          </w:p>
          <w:p w14:paraId="22A675C5" w14:textId="77777777" w:rsidR="0074316F" w:rsidRDefault="0074316F" w:rsidP="0074316F">
            <w:pPr>
              <w:ind w:left="220"/>
            </w:pPr>
            <w:r>
              <w:rPr>
                <w:rFonts w:cs="Times"/>
                <w:szCs w:val="20"/>
              </w:rPr>
              <w:t>Whether or not to s</w:t>
            </w:r>
            <w:r w:rsidRPr="00C232BC">
              <w:rPr>
                <w:rFonts w:cs="Times"/>
                <w:szCs w:val="20"/>
              </w:rPr>
              <w:t xml:space="preserve">upport </w:t>
            </w:r>
            <w:r>
              <w:rPr>
                <w:rFonts w:cs="Times"/>
                <w:szCs w:val="20"/>
              </w:rPr>
              <w:t xml:space="preserve">240 kHz, </w:t>
            </w:r>
            <w:r w:rsidRPr="00C232BC">
              <w:rPr>
                <w:rFonts w:cs="Times"/>
                <w:szCs w:val="20"/>
              </w:rPr>
              <w:t xml:space="preserve">480kHz and 960kHz SCS for SSB and the conditions under which SSB for </w:t>
            </w:r>
            <w:r>
              <w:rPr>
                <w:rFonts w:cs="Times"/>
                <w:szCs w:val="20"/>
              </w:rPr>
              <w:t xml:space="preserve">240 kHz, </w:t>
            </w:r>
            <w:r w:rsidRPr="00C232BC">
              <w:rPr>
                <w:rFonts w:cs="Times"/>
                <w:szCs w:val="20"/>
              </w:rPr>
              <w:t xml:space="preserve">480 </w:t>
            </w:r>
            <w:r>
              <w:rPr>
                <w:rFonts w:cs="Times"/>
                <w:szCs w:val="20"/>
              </w:rPr>
              <w:t xml:space="preserve">kHz </w:t>
            </w:r>
            <w:r w:rsidRPr="00C232BC">
              <w:rPr>
                <w:rFonts w:cs="Times"/>
                <w:szCs w:val="20"/>
              </w:rPr>
              <w:t xml:space="preserve">and 960 kHz </w:t>
            </w:r>
            <w:r>
              <w:rPr>
                <w:rFonts w:cs="Times"/>
                <w:szCs w:val="20"/>
              </w:rPr>
              <w:t xml:space="preserve">may be </w:t>
            </w:r>
            <w:r w:rsidRPr="00C232BC">
              <w:rPr>
                <w:rFonts w:cs="Times"/>
                <w:szCs w:val="20"/>
              </w:rPr>
              <w:t>supported will be decided no later than RAN1#104bis-e.</w:t>
            </w:r>
          </w:p>
          <w:p w14:paraId="288CD29F" w14:textId="3D86F489" w:rsidR="0074316F" w:rsidRDefault="0074316F" w:rsidP="0074316F">
            <w:pPr>
              <w:ind w:left="220"/>
            </w:pPr>
          </w:p>
        </w:tc>
      </w:tr>
    </w:tbl>
    <w:p w14:paraId="4504FA72" w14:textId="1904DD81" w:rsidR="0074316F" w:rsidRDefault="0074316F" w:rsidP="0074316F">
      <w:pPr>
        <w:rPr>
          <w:rFonts w:cs="Times"/>
          <w:szCs w:val="20"/>
          <w:lang w:eastAsia="x-none"/>
        </w:rPr>
      </w:pPr>
      <w:r>
        <w:rPr>
          <w:rFonts w:cs="Times"/>
          <w:szCs w:val="20"/>
          <w:lang w:eastAsia="x-none"/>
        </w:rPr>
        <w:t xml:space="preserve">     The motivation to introduce</w:t>
      </w:r>
      <w:r w:rsidR="0022688B">
        <w:rPr>
          <w:rFonts w:cs="Times"/>
          <w:szCs w:val="20"/>
          <w:lang w:eastAsia="x-none"/>
        </w:rPr>
        <w:t xml:space="preserve"> higher</w:t>
      </w:r>
      <w:r>
        <w:rPr>
          <w:rFonts w:cs="Times"/>
          <w:szCs w:val="20"/>
          <w:lang w:eastAsia="x-none"/>
        </w:rPr>
        <w:t xml:space="preserve"> SCSs other than 120 kHz for SSB comes from the timing error caused by mixed numerology. </w:t>
      </w:r>
      <w:r w:rsidR="0022688B">
        <w:rPr>
          <w:rFonts w:cs="Times"/>
          <w:szCs w:val="20"/>
          <w:lang w:eastAsia="x-none"/>
        </w:rPr>
        <w:t xml:space="preserve">Because different SCS has different slot boundary and higher SCS has </w:t>
      </w:r>
      <w:r w:rsidR="0022688B">
        <w:rPr>
          <w:rFonts w:cs="Times"/>
          <w:szCs w:val="20"/>
          <w:lang w:eastAsia="x-none"/>
        </w:rPr>
        <w:lastRenderedPageBreak/>
        <w:t>shorter CP length, when SSB has different SCS with initial BWP or active BWP, the timing error can be problematic. One solution to handle such timing error is to limit SCS of SSB to be the same as that of initial BWP/active BWP.</w:t>
      </w:r>
    </w:p>
    <w:p w14:paraId="7032C648" w14:textId="77777777" w:rsidR="00A10D41" w:rsidRDefault="00A10D41" w:rsidP="0074316F">
      <w:pPr>
        <w:rPr>
          <w:rFonts w:cs="Times"/>
          <w:szCs w:val="20"/>
          <w:lang w:eastAsia="x-none"/>
        </w:rPr>
      </w:pPr>
    </w:p>
    <w:p w14:paraId="27D8ABA3" w14:textId="52B43F7F" w:rsidR="00F1077E" w:rsidRPr="00A10D41" w:rsidRDefault="00F1077E" w:rsidP="0074316F">
      <w:pPr>
        <w:rPr>
          <w:rFonts w:cs="Times"/>
          <w:b/>
          <w:szCs w:val="20"/>
          <w:lang w:eastAsia="zh-TW"/>
        </w:rPr>
      </w:pPr>
      <w:r>
        <w:rPr>
          <w:rFonts w:cs="Times"/>
          <w:b/>
          <w:szCs w:val="20"/>
          <w:lang w:eastAsia="x-none"/>
        </w:rPr>
        <w:t xml:space="preserve">Observation 1: </w:t>
      </w:r>
      <w:r w:rsidRPr="00A10D41">
        <w:rPr>
          <w:rFonts w:cs="Times"/>
          <w:b/>
          <w:szCs w:val="20"/>
          <w:lang w:eastAsia="x-none"/>
        </w:rPr>
        <w:t>The timing error caused by mixed numerology can be resolved by limi</w:t>
      </w:r>
      <w:r w:rsidRPr="00A10D41">
        <w:rPr>
          <w:rFonts w:cs="Times"/>
          <w:b/>
          <w:szCs w:val="20"/>
          <w:lang w:eastAsia="zh-TW"/>
        </w:rPr>
        <w:t>ting SCS of SSB and initial BWP/active BWP to be the same.</w:t>
      </w:r>
    </w:p>
    <w:p w14:paraId="66EDA879" w14:textId="77777777" w:rsidR="00A10D41" w:rsidRDefault="00A10D41" w:rsidP="0074316F">
      <w:pPr>
        <w:rPr>
          <w:rFonts w:cs="Times"/>
          <w:szCs w:val="20"/>
          <w:lang w:eastAsia="zh-TW"/>
        </w:rPr>
      </w:pPr>
    </w:p>
    <w:p w14:paraId="2698F066" w14:textId="482D0904" w:rsidR="004327CC" w:rsidRDefault="004327CC" w:rsidP="0074316F">
      <w:pPr>
        <w:rPr>
          <w:rFonts w:eastAsiaTheme="minorEastAsia"/>
          <w:szCs w:val="20"/>
          <w:lang w:eastAsia="zh-TW"/>
        </w:rPr>
      </w:pPr>
      <w:r>
        <w:rPr>
          <w:rFonts w:cs="Times"/>
          <w:szCs w:val="20"/>
          <w:lang w:eastAsia="zh-TW"/>
        </w:rPr>
        <w:t xml:space="preserve">     Introducing higher SSB SCS can result in several negative impact to system performance. Firstly, additional SSB SCS increases cell search complexity for UE to implement blind detection. </w:t>
      </w:r>
      <w:r w:rsidR="009834FB">
        <w:rPr>
          <w:rFonts w:cs="Times"/>
          <w:szCs w:val="20"/>
          <w:lang w:eastAsia="zh-TW"/>
        </w:rPr>
        <w:t>The number of time samples per unit time is also proportional to the SCS, which induces additional complexity for UE if higher SCS</w:t>
      </w:r>
      <w:r w:rsidR="009834FB">
        <w:rPr>
          <w:rFonts w:asciiTheme="minorEastAsia" w:eastAsiaTheme="minorEastAsia" w:hAnsiTheme="minorEastAsia" w:cs="Times"/>
          <w:szCs w:val="20"/>
          <w:lang w:eastAsia="zh-TW"/>
        </w:rPr>
        <w:t xml:space="preserve"> </w:t>
      </w:r>
      <w:r w:rsidR="009834FB">
        <w:rPr>
          <w:rFonts w:eastAsiaTheme="minorEastAsia"/>
          <w:szCs w:val="20"/>
          <w:lang w:eastAsia="zh-TW"/>
        </w:rPr>
        <w:t>is introduced. Moreover, higher SCS has inferior performance compared with 120 kHz SCS in terms of coverage. Besides, new SCS involves specification effort, including SSB pattern, SSB and CORESET 0 multiplexing patterns and revisiting the relevant signals/channels. Since the major concern of mixed numerology can be handle by the solution in Observation 1, there is no need to introduce higher SCS</w:t>
      </w:r>
      <w:r w:rsidR="00477818">
        <w:rPr>
          <w:rFonts w:eastAsiaTheme="minorEastAsia"/>
          <w:szCs w:val="20"/>
          <w:lang w:eastAsia="zh-TW"/>
        </w:rPr>
        <w:t>. Combining these reasons and Observation 1, 120 kHz for SSB and initial BWP is sufficient.</w:t>
      </w:r>
    </w:p>
    <w:p w14:paraId="2C6CE966" w14:textId="77777777" w:rsidR="00477818" w:rsidRDefault="00477818" w:rsidP="00477818">
      <w:pPr>
        <w:rPr>
          <w:rFonts w:cs="Times"/>
          <w:b/>
          <w:szCs w:val="20"/>
          <w:lang w:eastAsia="zh-TW"/>
        </w:rPr>
      </w:pPr>
    </w:p>
    <w:p w14:paraId="469A66F7" w14:textId="77777777" w:rsidR="00477818" w:rsidRPr="00A10D41" w:rsidRDefault="00477818" w:rsidP="00477818">
      <w:pPr>
        <w:rPr>
          <w:rFonts w:cs="Times"/>
          <w:b/>
          <w:szCs w:val="20"/>
          <w:lang w:eastAsia="zh-TW"/>
        </w:rPr>
      </w:pPr>
      <w:r>
        <w:rPr>
          <w:rFonts w:cs="Times"/>
          <w:b/>
          <w:szCs w:val="20"/>
          <w:lang w:eastAsia="zh-TW"/>
        </w:rPr>
        <w:t>Proposal 2</w:t>
      </w:r>
      <w:r w:rsidRPr="00A10D41">
        <w:rPr>
          <w:rFonts w:cs="Times"/>
          <w:b/>
          <w:szCs w:val="20"/>
          <w:lang w:eastAsia="zh-TW"/>
        </w:rPr>
        <w:t>: The SCS of SSB and initial BWP should be both 120 kHz to prevent the timing error from mixed numerology in idle mode.</w:t>
      </w:r>
    </w:p>
    <w:p w14:paraId="544B4BC6" w14:textId="77777777" w:rsidR="004327CC" w:rsidRDefault="004327CC" w:rsidP="0074316F">
      <w:pPr>
        <w:rPr>
          <w:rFonts w:cs="Times"/>
          <w:szCs w:val="20"/>
          <w:lang w:eastAsia="zh-TW"/>
        </w:rPr>
      </w:pPr>
    </w:p>
    <w:p w14:paraId="1F4A712D" w14:textId="64972AD0" w:rsidR="0002539B" w:rsidRDefault="00A10D41" w:rsidP="0074316F">
      <w:pPr>
        <w:rPr>
          <w:rFonts w:cs="Times"/>
          <w:szCs w:val="20"/>
          <w:lang w:eastAsia="zh-TW"/>
        </w:rPr>
      </w:pPr>
      <w:r>
        <w:rPr>
          <w:rFonts w:cs="Times"/>
          <w:szCs w:val="20"/>
          <w:lang w:eastAsia="zh-TW"/>
        </w:rPr>
        <w:t xml:space="preserve">     </w:t>
      </w:r>
      <w:r w:rsidR="0002539B">
        <w:rPr>
          <w:rFonts w:cs="Times"/>
          <w:szCs w:val="20"/>
          <w:lang w:eastAsia="zh-TW"/>
        </w:rPr>
        <w:t xml:space="preserve">After initial access, 480/960 kHz are supported as candidate SCSs of active BWP. </w:t>
      </w:r>
      <w:r w:rsidR="00CD3EAA">
        <w:rPr>
          <w:rFonts w:cs="Times"/>
          <w:szCs w:val="20"/>
          <w:lang w:eastAsia="zh-TW"/>
        </w:rPr>
        <w:t>In this case, timing error due to mixed numerology between SSB and active BWP. Compared with introducing new SCS to cope with such problem, which can cause specification effort for relevant signals/channels, using existing technology to mitigate its influence to an accepta</w:t>
      </w:r>
      <w:r w:rsidR="001276F6">
        <w:rPr>
          <w:rFonts w:cs="Times"/>
          <w:szCs w:val="20"/>
          <w:lang w:eastAsia="zh-TW"/>
        </w:rPr>
        <w:t xml:space="preserve">ble extent seems more logic. </w:t>
      </w:r>
      <w:r w:rsidR="00747EEF">
        <w:rPr>
          <w:rFonts w:cs="Times"/>
          <w:szCs w:val="20"/>
          <w:lang w:eastAsia="zh-TW"/>
        </w:rPr>
        <w:t>In our view, timing error in connected more can be compensated using CSI-RS.</w:t>
      </w:r>
    </w:p>
    <w:p w14:paraId="51D7EB64" w14:textId="77777777" w:rsidR="00A10D41" w:rsidRDefault="00A10D41" w:rsidP="0074316F">
      <w:pPr>
        <w:rPr>
          <w:rFonts w:cs="Times"/>
          <w:szCs w:val="20"/>
          <w:lang w:eastAsia="zh-TW"/>
        </w:rPr>
      </w:pPr>
    </w:p>
    <w:p w14:paraId="636E3D8F" w14:textId="16525A49" w:rsidR="00A10D41" w:rsidRPr="00A10D41" w:rsidRDefault="000178EB" w:rsidP="0074316F">
      <w:pPr>
        <w:rPr>
          <w:rFonts w:cs="Times"/>
          <w:b/>
          <w:szCs w:val="20"/>
          <w:lang w:eastAsia="zh-TW"/>
        </w:rPr>
      </w:pPr>
      <w:r>
        <w:rPr>
          <w:rFonts w:cs="Times"/>
          <w:b/>
          <w:szCs w:val="20"/>
          <w:lang w:eastAsia="zh-TW"/>
        </w:rPr>
        <w:t>Observation</w:t>
      </w:r>
      <w:r w:rsidR="00A10D41" w:rsidRPr="00A10D41">
        <w:rPr>
          <w:rFonts w:cs="Times"/>
          <w:b/>
          <w:szCs w:val="20"/>
          <w:lang w:eastAsia="zh-TW"/>
        </w:rPr>
        <w:t xml:space="preserve"> 2: The timing error due to mixed numerology in connected mode can be compensated by</w:t>
      </w:r>
      <w:r w:rsidR="00747EEF">
        <w:rPr>
          <w:rFonts w:cs="Times"/>
          <w:b/>
          <w:szCs w:val="20"/>
          <w:lang w:eastAsia="zh-TW"/>
        </w:rPr>
        <w:t xml:space="preserve"> using</w:t>
      </w:r>
      <w:r w:rsidR="00A10D41" w:rsidRPr="00A10D41">
        <w:rPr>
          <w:rFonts w:cs="Times"/>
          <w:b/>
          <w:szCs w:val="20"/>
          <w:lang w:eastAsia="zh-TW"/>
        </w:rPr>
        <w:t xml:space="preserve"> CSI-RS.</w:t>
      </w:r>
    </w:p>
    <w:p w14:paraId="60B9F4E9" w14:textId="77777777" w:rsidR="00A10D41" w:rsidRPr="00A10D41" w:rsidRDefault="00A10D41" w:rsidP="00A10D41">
      <w:pPr>
        <w:rPr>
          <w:rFonts w:cs="Times"/>
          <w:szCs w:val="20"/>
          <w:lang w:eastAsia="zh-TW"/>
        </w:rPr>
      </w:pPr>
    </w:p>
    <w:p w14:paraId="761690A4" w14:textId="77777777" w:rsidR="007A3AEB" w:rsidRPr="00307542" w:rsidRDefault="007A3AEB" w:rsidP="005C1573">
      <w:pPr>
        <w:rPr>
          <w:b/>
        </w:rPr>
      </w:pPr>
    </w:p>
    <w:p w14:paraId="04799358" w14:textId="77777777" w:rsidR="00FD3E20" w:rsidRPr="000D5DFA"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Conclusion</w:t>
      </w:r>
    </w:p>
    <w:p w14:paraId="5D2D2AD3" w14:textId="77777777" w:rsidR="005C1573" w:rsidRDefault="005C1573" w:rsidP="005C1573">
      <w:r w:rsidRPr="00A11CA4">
        <w:t xml:space="preserve">In this contribution we have discussed </w:t>
      </w:r>
      <w:r>
        <w:t>various aspects for initial access above 52.6 GHz and provided following proposals</w:t>
      </w:r>
      <w:r w:rsidRPr="00A11CA4">
        <w:t>:</w:t>
      </w:r>
    </w:p>
    <w:p w14:paraId="288D17CF" w14:textId="77777777" w:rsidR="00307542" w:rsidRDefault="00307542" w:rsidP="005C1573"/>
    <w:p w14:paraId="2EDC4347" w14:textId="2AE9C92A" w:rsidR="005C1573" w:rsidRDefault="005C1573" w:rsidP="005C1573">
      <w:pPr>
        <w:rPr>
          <w:b/>
        </w:rPr>
      </w:pPr>
      <w:r w:rsidRPr="005C1573">
        <w:rPr>
          <w:b/>
          <w:lang w:val="en-GB"/>
        </w:rPr>
        <w:t>Proposal</w:t>
      </w:r>
      <w:r w:rsidRPr="005C1573">
        <w:rPr>
          <w:b/>
        </w:rPr>
        <w:t xml:space="preserve"> 1: </w:t>
      </w:r>
      <w:r w:rsidR="00811BB5">
        <w:rPr>
          <w:b/>
        </w:rPr>
        <w:t xml:space="preserve">Candidate positions of SSB should not be increased if additional bits are required. </w:t>
      </w:r>
    </w:p>
    <w:p w14:paraId="21A4F990" w14:textId="77777777" w:rsidR="005C1573" w:rsidRPr="005C1573" w:rsidRDefault="005C1573" w:rsidP="005C1573">
      <w:pPr>
        <w:rPr>
          <w:b/>
        </w:rPr>
      </w:pPr>
    </w:p>
    <w:p w14:paraId="530DBFF3" w14:textId="21D2502C" w:rsidR="005C1573" w:rsidRPr="00811BB5" w:rsidRDefault="00811BB5" w:rsidP="005C1573">
      <w:pPr>
        <w:rPr>
          <w:rFonts w:cs="Times"/>
          <w:b/>
          <w:szCs w:val="20"/>
          <w:lang w:eastAsia="zh-TW"/>
        </w:rPr>
      </w:pPr>
      <w:r>
        <w:rPr>
          <w:b/>
          <w:lang w:val="en-GB"/>
        </w:rPr>
        <w:t>Observation 1</w:t>
      </w:r>
      <w:r w:rsidR="005C1573" w:rsidRPr="005C1573">
        <w:rPr>
          <w:b/>
        </w:rPr>
        <w:t xml:space="preserve">: </w:t>
      </w:r>
      <w:r w:rsidRPr="00A10D41">
        <w:rPr>
          <w:rFonts w:cs="Times"/>
          <w:b/>
          <w:szCs w:val="20"/>
          <w:lang w:eastAsia="x-none"/>
        </w:rPr>
        <w:t>The timing error caused by mixed numerology can be resolved by limi</w:t>
      </w:r>
      <w:r w:rsidRPr="00A10D41">
        <w:rPr>
          <w:rFonts w:cs="Times"/>
          <w:b/>
          <w:szCs w:val="20"/>
          <w:lang w:eastAsia="zh-TW"/>
        </w:rPr>
        <w:t>ting SCS of SSB and initial BWP/active BWP to be the same.</w:t>
      </w:r>
    </w:p>
    <w:p w14:paraId="5106BF7C" w14:textId="77777777" w:rsidR="005C1573" w:rsidRDefault="005C1573" w:rsidP="005C1573">
      <w:pPr>
        <w:rPr>
          <w:b/>
        </w:rPr>
      </w:pPr>
    </w:p>
    <w:p w14:paraId="2FE93C99" w14:textId="56639253" w:rsidR="00B052D4" w:rsidRPr="00B052D4" w:rsidRDefault="00B052D4" w:rsidP="005C1573">
      <w:pPr>
        <w:rPr>
          <w:rFonts w:cs="Times"/>
          <w:b/>
          <w:szCs w:val="20"/>
          <w:lang w:eastAsia="zh-TW"/>
        </w:rPr>
      </w:pPr>
      <w:r>
        <w:rPr>
          <w:b/>
          <w:lang w:val="en-GB"/>
        </w:rPr>
        <w:t>Proposal</w:t>
      </w:r>
      <w:r>
        <w:rPr>
          <w:b/>
        </w:rPr>
        <w:t xml:space="preserve"> 2</w:t>
      </w:r>
      <w:r w:rsidRPr="005C1573">
        <w:rPr>
          <w:b/>
        </w:rPr>
        <w:t xml:space="preserve">: </w:t>
      </w:r>
      <w:r w:rsidRPr="00A10D41">
        <w:rPr>
          <w:rFonts w:cs="Times"/>
          <w:b/>
          <w:szCs w:val="20"/>
          <w:lang w:eastAsia="zh-TW"/>
        </w:rPr>
        <w:t>The SCS of SSB and initial BWP should be both 120 kHz to prevent the timing error from mixed numerology in idle mode.</w:t>
      </w:r>
    </w:p>
    <w:p w14:paraId="55CCE139" w14:textId="77777777" w:rsidR="00B052D4" w:rsidRDefault="00B052D4" w:rsidP="005C1573">
      <w:pPr>
        <w:rPr>
          <w:b/>
        </w:rPr>
      </w:pPr>
    </w:p>
    <w:p w14:paraId="5189C037" w14:textId="705E6B7F" w:rsidR="005C1573" w:rsidRPr="00811BB5" w:rsidRDefault="000178EB" w:rsidP="005C1573">
      <w:pPr>
        <w:rPr>
          <w:rFonts w:cs="Times"/>
          <w:b/>
          <w:szCs w:val="20"/>
          <w:lang w:eastAsia="zh-TW"/>
        </w:rPr>
      </w:pPr>
      <w:r>
        <w:rPr>
          <w:b/>
        </w:rPr>
        <w:t>Observation</w:t>
      </w:r>
      <w:r w:rsidR="00811BB5">
        <w:rPr>
          <w:b/>
        </w:rPr>
        <w:t xml:space="preserve"> 2</w:t>
      </w:r>
      <w:r w:rsidR="005C1573" w:rsidRPr="005C1573">
        <w:rPr>
          <w:b/>
        </w:rPr>
        <w:t xml:space="preserve">: </w:t>
      </w:r>
      <w:r w:rsidR="00811BB5" w:rsidRPr="00A10D41">
        <w:rPr>
          <w:rFonts w:cs="Times"/>
          <w:b/>
          <w:szCs w:val="20"/>
          <w:lang w:eastAsia="zh-TW"/>
        </w:rPr>
        <w:t>The timing error due to mixed numerology in connected mode can be compensated by</w:t>
      </w:r>
      <w:r w:rsidR="00747EEF">
        <w:rPr>
          <w:rFonts w:cs="Times"/>
          <w:b/>
          <w:szCs w:val="20"/>
          <w:lang w:eastAsia="zh-TW"/>
        </w:rPr>
        <w:t xml:space="preserve"> using</w:t>
      </w:r>
      <w:r w:rsidR="00811BB5" w:rsidRPr="00A10D41">
        <w:rPr>
          <w:rFonts w:cs="Times"/>
          <w:b/>
          <w:szCs w:val="20"/>
          <w:lang w:eastAsia="zh-TW"/>
        </w:rPr>
        <w:t xml:space="preserve"> CSI-RS.</w:t>
      </w:r>
    </w:p>
    <w:p w14:paraId="0AECDE67" w14:textId="77777777" w:rsidR="005C1573" w:rsidRDefault="005C1573" w:rsidP="005C1573">
      <w:pPr>
        <w:rPr>
          <w:b/>
        </w:rPr>
      </w:pPr>
    </w:p>
    <w:p w14:paraId="798A870D" w14:textId="77777777" w:rsidR="00FD3E20" w:rsidRPr="00AD111F"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References</w:t>
      </w:r>
    </w:p>
    <w:p w14:paraId="450FB827" w14:textId="77777777" w:rsidR="005C1573" w:rsidRPr="005C1573" w:rsidRDefault="005C1573" w:rsidP="00B704E7">
      <w:pPr>
        <w:pStyle w:val="af2"/>
        <w:numPr>
          <w:ilvl w:val="0"/>
          <w:numId w:val="7"/>
        </w:numPr>
        <w:spacing w:line="259" w:lineRule="auto"/>
      </w:pPr>
      <w:bookmarkStart w:id="5" w:name="_Ref31097917"/>
      <w:bookmarkStart w:id="6" w:name="_Ref31097847"/>
      <w:bookmarkStart w:id="7" w:name="_Ref53738358"/>
      <w:bookmarkStart w:id="8" w:name="_Ref528680018"/>
      <w:bookmarkStart w:id="9" w:name="_Ref481596356"/>
      <w:bookmarkStart w:id="10" w:name="_Ref481781528"/>
      <w:bookmarkStart w:id="11" w:name="_Ref481782557"/>
      <w:r w:rsidRPr="005C1573">
        <w:t>RP-202925, “Revised WID: Extending current NR operation to 71 GHz”, CMCC</w:t>
      </w:r>
    </w:p>
    <w:p w14:paraId="3793824A" w14:textId="19A3FE13" w:rsidR="000D6052" w:rsidRPr="00215987" w:rsidRDefault="00EC1C88" w:rsidP="00264C7B">
      <w:pPr>
        <w:pStyle w:val="af2"/>
        <w:numPr>
          <w:ilvl w:val="0"/>
          <w:numId w:val="7"/>
        </w:numPr>
        <w:spacing w:afterLines="50" w:after="120"/>
      </w:pPr>
      <w:bookmarkStart w:id="12" w:name="_Ref31097951"/>
      <w:bookmarkEnd w:id="5"/>
      <w:r>
        <w:t>Chairman’s Notes, RAN1 #104-e, Jan. 2021</w:t>
      </w:r>
      <w:bookmarkEnd w:id="3"/>
      <w:bookmarkEnd w:id="6"/>
      <w:bookmarkEnd w:id="7"/>
      <w:bookmarkEnd w:id="8"/>
      <w:bookmarkEnd w:id="9"/>
      <w:bookmarkEnd w:id="10"/>
      <w:bookmarkEnd w:id="11"/>
      <w:bookmarkEnd w:id="12"/>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08040" w14:textId="77777777" w:rsidR="00551043" w:rsidRDefault="00551043">
      <w:r>
        <w:separator/>
      </w:r>
    </w:p>
  </w:endnote>
  <w:endnote w:type="continuationSeparator" w:id="0">
    <w:p w14:paraId="6FB2177E" w14:textId="77777777" w:rsidR="00551043" w:rsidRDefault="0055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E78E6" w14:textId="77777777" w:rsidR="00551043" w:rsidRDefault="00551043">
      <w:r>
        <w:separator/>
      </w:r>
    </w:p>
  </w:footnote>
  <w:footnote w:type="continuationSeparator" w:id="0">
    <w:p w14:paraId="68178DDE" w14:textId="77777777" w:rsidR="00551043" w:rsidRDefault="005510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A620CD"/>
    <w:multiLevelType w:val="hybridMultilevel"/>
    <w:tmpl w:val="EAB4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
  </w:num>
  <w:num w:numId="5">
    <w:abstractNumId w:val="2"/>
  </w:num>
  <w:num w:numId="6">
    <w:abstractNumId w:val="6"/>
  </w:num>
  <w:num w:numId="7">
    <w:abstractNumId w:val="0"/>
  </w:num>
  <w:num w:numId="8">
    <w:abstractNumId w:val="8"/>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214C"/>
    <w:rsid w:val="00006925"/>
    <w:rsid w:val="00006B8B"/>
    <w:rsid w:val="0000759B"/>
    <w:rsid w:val="000110AC"/>
    <w:rsid w:val="000158B4"/>
    <w:rsid w:val="00016194"/>
    <w:rsid w:val="00017715"/>
    <w:rsid w:val="000178EB"/>
    <w:rsid w:val="00020508"/>
    <w:rsid w:val="00020FD3"/>
    <w:rsid w:val="00021CC2"/>
    <w:rsid w:val="00021EE8"/>
    <w:rsid w:val="00021FE9"/>
    <w:rsid w:val="0002539B"/>
    <w:rsid w:val="00025A48"/>
    <w:rsid w:val="00026B8D"/>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21D8"/>
    <w:rsid w:val="000A3C08"/>
    <w:rsid w:val="000A471A"/>
    <w:rsid w:val="000A76E4"/>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3102"/>
    <w:rsid w:val="000E4BBD"/>
    <w:rsid w:val="000E4BCD"/>
    <w:rsid w:val="000E639C"/>
    <w:rsid w:val="000F1E63"/>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C64"/>
    <w:rsid w:val="00120A67"/>
    <w:rsid w:val="00121200"/>
    <w:rsid w:val="001225B7"/>
    <w:rsid w:val="00122847"/>
    <w:rsid w:val="001236A4"/>
    <w:rsid w:val="0012372F"/>
    <w:rsid w:val="00123908"/>
    <w:rsid w:val="001243FA"/>
    <w:rsid w:val="00125716"/>
    <w:rsid w:val="00125CE8"/>
    <w:rsid w:val="001276F6"/>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9BA"/>
    <w:rsid w:val="00150097"/>
    <w:rsid w:val="00152DB4"/>
    <w:rsid w:val="00153063"/>
    <w:rsid w:val="001547AD"/>
    <w:rsid w:val="00156128"/>
    <w:rsid w:val="00157297"/>
    <w:rsid w:val="001574BF"/>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FE6"/>
    <w:rsid w:val="00177FC5"/>
    <w:rsid w:val="00180126"/>
    <w:rsid w:val="00180E36"/>
    <w:rsid w:val="001818C8"/>
    <w:rsid w:val="0018358E"/>
    <w:rsid w:val="00190D08"/>
    <w:rsid w:val="00190DFE"/>
    <w:rsid w:val="00192F8D"/>
    <w:rsid w:val="0019328A"/>
    <w:rsid w:val="00194486"/>
    <w:rsid w:val="00194682"/>
    <w:rsid w:val="001948C2"/>
    <w:rsid w:val="00194C34"/>
    <w:rsid w:val="00195717"/>
    <w:rsid w:val="00197675"/>
    <w:rsid w:val="00197CF7"/>
    <w:rsid w:val="001A0B1E"/>
    <w:rsid w:val="001A28FE"/>
    <w:rsid w:val="001A2F1C"/>
    <w:rsid w:val="001A2FF5"/>
    <w:rsid w:val="001A7B82"/>
    <w:rsid w:val="001B062D"/>
    <w:rsid w:val="001B11C8"/>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2E49"/>
    <w:rsid w:val="001D3D7B"/>
    <w:rsid w:val="001E0B66"/>
    <w:rsid w:val="001E3EE1"/>
    <w:rsid w:val="001E6370"/>
    <w:rsid w:val="001F0231"/>
    <w:rsid w:val="001F1DE9"/>
    <w:rsid w:val="001F24B6"/>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483D"/>
    <w:rsid w:val="00215285"/>
    <w:rsid w:val="00215987"/>
    <w:rsid w:val="002164D8"/>
    <w:rsid w:val="0021718D"/>
    <w:rsid w:val="00217F2E"/>
    <w:rsid w:val="002214BF"/>
    <w:rsid w:val="00221A15"/>
    <w:rsid w:val="00221AE6"/>
    <w:rsid w:val="00223789"/>
    <w:rsid w:val="00223F2E"/>
    <w:rsid w:val="002259D0"/>
    <w:rsid w:val="0022688B"/>
    <w:rsid w:val="00227213"/>
    <w:rsid w:val="00230019"/>
    <w:rsid w:val="0023012B"/>
    <w:rsid w:val="002309F0"/>
    <w:rsid w:val="0023102D"/>
    <w:rsid w:val="002312A4"/>
    <w:rsid w:val="00232F53"/>
    <w:rsid w:val="00234B24"/>
    <w:rsid w:val="00235A20"/>
    <w:rsid w:val="00235FDB"/>
    <w:rsid w:val="00236AA8"/>
    <w:rsid w:val="00237B6F"/>
    <w:rsid w:val="00241112"/>
    <w:rsid w:val="00242CE2"/>
    <w:rsid w:val="0024342E"/>
    <w:rsid w:val="00243DC2"/>
    <w:rsid w:val="0024455E"/>
    <w:rsid w:val="00246837"/>
    <w:rsid w:val="002476D1"/>
    <w:rsid w:val="00247F87"/>
    <w:rsid w:val="002538ED"/>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46A4"/>
    <w:rsid w:val="002952E1"/>
    <w:rsid w:val="00296E15"/>
    <w:rsid w:val="00297B83"/>
    <w:rsid w:val="002A0AD7"/>
    <w:rsid w:val="002A6AD4"/>
    <w:rsid w:val="002A7B32"/>
    <w:rsid w:val="002B036F"/>
    <w:rsid w:val="002B04E1"/>
    <w:rsid w:val="002B0BA9"/>
    <w:rsid w:val="002B2653"/>
    <w:rsid w:val="002B276E"/>
    <w:rsid w:val="002B364B"/>
    <w:rsid w:val="002B4D54"/>
    <w:rsid w:val="002B51AC"/>
    <w:rsid w:val="002B6BF2"/>
    <w:rsid w:val="002B71A5"/>
    <w:rsid w:val="002B7A18"/>
    <w:rsid w:val="002C041B"/>
    <w:rsid w:val="002C145E"/>
    <w:rsid w:val="002C1C5A"/>
    <w:rsid w:val="002C4988"/>
    <w:rsid w:val="002C64F0"/>
    <w:rsid w:val="002C6E28"/>
    <w:rsid w:val="002C7BC1"/>
    <w:rsid w:val="002D0A17"/>
    <w:rsid w:val="002D0E6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17BC"/>
    <w:rsid w:val="003027C8"/>
    <w:rsid w:val="00302A97"/>
    <w:rsid w:val="00303A46"/>
    <w:rsid w:val="00303C1F"/>
    <w:rsid w:val="00304298"/>
    <w:rsid w:val="00304DC0"/>
    <w:rsid w:val="00305D34"/>
    <w:rsid w:val="00307020"/>
    <w:rsid w:val="00307542"/>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370A"/>
    <w:rsid w:val="00326615"/>
    <w:rsid w:val="003276BC"/>
    <w:rsid w:val="00327E72"/>
    <w:rsid w:val="00330F0B"/>
    <w:rsid w:val="00333217"/>
    <w:rsid w:val="00335660"/>
    <w:rsid w:val="00336533"/>
    <w:rsid w:val="003367E0"/>
    <w:rsid w:val="003374E0"/>
    <w:rsid w:val="00341882"/>
    <w:rsid w:val="0034247C"/>
    <w:rsid w:val="003427C0"/>
    <w:rsid w:val="00343A2F"/>
    <w:rsid w:val="00345CE7"/>
    <w:rsid w:val="003460CA"/>
    <w:rsid w:val="0034687F"/>
    <w:rsid w:val="003505B9"/>
    <w:rsid w:val="0035139C"/>
    <w:rsid w:val="0035140D"/>
    <w:rsid w:val="003521AD"/>
    <w:rsid w:val="003530DA"/>
    <w:rsid w:val="003531AC"/>
    <w:rsid w:val="00354230"/>
    <w:rsid w:val="00354E8A"/>
    <w:rsid w:val="00355A6E"/>
    <w:rsid w:val="00355D12"/>
    <w:rsid w:val="003560F8"/>
    <w:rsid w:val="003566C3"/>
    <w:rsid w:val="0036041F"/>
    <w:rsid w:val="00361736"/>
    <w:rsid w:val="00363A69"/>
    <w:rsid w:val="00364844"/>
    <w:rsid w:val="003656B5"/>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393"/>
    <w:rsid w:val="003A6706"/>
    <w:rsid w:val="003A6CD7"/>
    <w:rsid w:val="003A76B1"/>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63F"/>
    <w:rsid w:val="003D13A1"/>
    <w:rsid w:val="003D266A"/>
    <w:rsid w:val="003D2687"/>
    <w:rsid w:val="003D46BE"/>
    <w:rsid w:val="003D46D1"/>
    <w:rsid w:val="003D4AF3"/>
    <w:rsid w:val="003D4B3A"/>
    <w:rsid w:val="003D4BC8"/>
    <w:rsid w:val="003D4DD1"/>
    <w:rsid w:val="003D51BD"/>
    <w:rsid w:val="003D7794"/>
    <w:rsid w:val="003D7971"/>
    <w:rsid w:val="003D7BD4"/>
    <w:rsid w:val="003E2F37"/>
    <w:rsid w:val="003E30AE"/>
    <w:rsid w:val="003E4EF1"/>
    <w:rsid w:val="003E577B"/>
    <w:rsid w:val="003F0199"/>
    <w:rsid w:val="003F10BD"/>
    <w:rsid w:val="003F17AD"/>
    <w:rsid w:val="003F1D19"/>
    <w:rsid w:val="003F1D8E"/>
    <w:rsid w:val="003F1EEF"/>
    <w:rsid w:val="003F2EE5"/>
    <w:rsid w:val="003F47CB"/>
    <w:rsid w:val="003F4D51"/>
    <w:rsid w:val="003F5555"/>
    <w:rsid w:val="003F5F57"/>
    <w:rsid w:val="003F698B"/>
    <w:rsid w:val="003F7051"/>
    <w:rsid w:val="003F7D6F"/>
    <w:rsid w:val="004006F8"/>
    <w:rsid w:val="004009C0"/>
    <w:rsid w:val="00402D16"/>
    <w:rsid w:val="004036E8"/>
    <w:rsid w:val="00405104"/>
    <w:rsid w:val="004063B2"/>
    <w:rsid w:val="004064E9"/>
    <w:rsid w:val="004120B8"/>
    <w:rsid w:val="004141EB"/>
    <w:rsid w:val="00414ACF"/>
    <w:rsid w:val="0041604B"/>
    <w:rsid w:val="004164A4"/>
    <w:rsid w:val="004170CE"/>
    <w:rsid w:val="004171DB"/>
    <w:rsid w:val="00421346"/>
    <w:rsid w:val="004244F2"/>
    <w:rsid w:val="00425206"/>
    <w:rsid w:val="00426912"/>
    <w:rsid w:val="0042691E"/>
    <w:rsid w:val="004269C1"/>
    <w:rsid w:val="00427F43"/>
    <w:rsid w:val="00430C8E"/>
    <w:rsid w:val="004320D4"/>
    <w:rsid w:val="004327CC"/>
    <w:rsid w:val="00432B61"/>
    <w:rsid w:val="00433460"/>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2E78"/>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77818"/>
    <w:rsid w:val="00480132"/>
    <w:rsid w:val="004804B7"/>
    <w:rsid w:val="00480C37"/>
    <w:rsid w:val="00480C51"/>
    <w:rsid w:val="00480CF0"/>
    <w:rsid w:val="0048132D"/>
    <w:rsid w:val="00481D56"/>
    <w:rsid w:val="00482252"/>
    <w:rsid w:val="004828F8"/>
    <w:rsid w:val="00483DAC"/>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426"/>
    <w:rsid w:val="004B05A5"/>
    <w:rsid w:val="004B1775"/>
    <w:rsid w:val="004B44C4"/>
    <w:rsid w:val="004B45F3"/>
    <w:rsid w:val="004B4948"/>
    <w:rsid w:val="004B4EC9"/>
    <w:rsid w:val="004B665D"/>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56D8"/>
    <w:rsid w:val="004E01EA"/>
    <w:rsid w:val="004E2D81"/>
    <w:rsid w:val="004E2EA2"/>
    <w:rsid w:val="004E2FB9"/>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65C9"/>
    <w:rsid w:val="00537B1B"/>
    <w:rsid w:val="0054126A"/>
    <w:rsid w:val="00541BFD"/>
    <w:rsid w:val="0054263A"/>
    <w:rsid w:val="00543AAF"/>
    <w:rsid w:val="0054455E"/>
    <w:rsid w:val="00544883"/>
    <w:rsid w:val="0054509E"/>
    <w:rsid w:val="00545B11"/>
    <w:rsid w:val="00550D87"/>
    <w:rsid w:val="00551043"/>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F03"/>
    <w:rsid w:val="00584C38"/>
    <w:rsid w:val="00585D2C"/>
    <w:rsid w:val="005860A0"/>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701A"/>
    <w:rsid w:val="005B1155"/>
    <w:rsid w:val="005B187A"/>
    <w:rsid w:val="005B5D3D"/>
    <w:rsid w:val="005B635F"/>
    <w:rsid w:val="005B67AD"/>
    <w:rsid w:val="005B67F5"/>
    <w:rsid w:val="005C01EF"/>
    <w:rsid w:val="005C1573"/>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3C75"/>
    <w:rsid w:val="005F49DE"/>
    <w:rsid w:val="005F63B1"/>
    <w:rsid w:val="005F64FF"/>
    <w:rsid w:val="005F7976"/>
    <w:rsid w:val="005F79DE"/>
    <w:rsid w:val="006010E0"/>
    <w:rsid w:val="006012DC"/>
    <w:rsid w:val="00602BAE"/>
    <w:rsid w:val="0060339F"/>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5856"/>
    <w:rsid w:val="00645F4C"/>
    <w:rsid w:val="00646844"/>
    <w:rsid w:val="0064702E"/>
    <w:rsid w:val="006471B0"/>
    <w:rsid w:val="006509A7"/>
    <w:rsid w:val="006525B0"/>
    <w:rsid w:val="00654E6E"/>
    <w:rsid w:val="0065586D"/>
    <w:rsid w:val="00655B65"/>
    <w:rsid w:val="0066201D"/>
    <w:rsid w:val="00662C60"/>
    <w:rsid w:val="00663D3E"/>
    <w:rsid w:val="00664204"/>
    <w:rsid w:val="00666E4E"/>
    <w:rsid w:val="00667C5E"/>
    <w:rsid w:val="006713F3"/>
    <w:rsid w:val="00672EDB"/>
    <w:rsid w:val="00673D75"/>
    <w:rsid w:val="00674805"/>
    <w:rsid w:val="00674BBB"/>
    <w:rsid w:val="00675676"/>
    <w:rsid w:val="006760DE"/>
    <w:rsid w:val="0067627C"/>
    <w:rsid w:val="0067740E"/>
    <w:rsid w:val="00680A5A"/>
    <w:rsid w:val="00681EA2"/>
    <w:rsid w:val="006832D4"/>
    <w:rsid w:val="006834F7"/>
    <w:rsid w:val="006843EF"/>
    <w:rsid w:val="00686AB8"/>
    <w:rsid w:val="00691650"/>
    <w:rsid w:val="00691983"/>
    <w:rsid w:val="00693ADB"/>
    <w:rsid w:val="00693FAE"/>
    <w:rsid w:val="00694C4A"/>
    <w:rsid w:val="00695123"/>
    <w:rsid w:val="00695414"/>
    <w:rsid w:val="00695FE9"/>
    <w:rsid w:val="0069640D"/>
    <w:rsid w:val="00697BBB"/>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7F53"/>
    <w:rsid w:val="006C0827"/>
    <w:rsid w:val="006C0CA7"/>
    <w:rsid w:val="006C1381"/>
    <w:rsid w:val="006C1D67"/>
    <w:rsid w:val="006C2731"/>
    <w:rsid w:val="006C2FAE"/>
    <w:rsid w:val="006C346B"/>
    <w:rsid w:val="006C3C52"/>
    <w:rsid w:val="006C536D"/>
    <w:rsid w:val="006C6181"/>
    <w:rsid w:val="006C65D7"/>
    <w:rsid w:val="006C66AD"/>
    <w:rsid w:val="006C6861"/>
    <w:rsid w:val="006D0FDF"/>
    <w:rsid w:val="006D1CDD"/>
    <w:rsid w:val="006D4C32"/>
    <w:rsid w:val="006D51F8"/>
    <w:rsid w:val="006D6280"/>
    <w:rsid w:val="006E143C"/>
    <w:rsid w:val="006E1CA5"/>
    <w:rsid w:val="006E1FBE"/>
    <w:rsid w:val="006E26DD"/>
    <w:rsid w:val="006E31ED"/>
    <w:rsid w:val="006E4BA2"/>
    <w:rsid w:val="006E6392"/>
    <w:rsid w:val="006E7A57"/>
    <w:rsid w:val="006F36CB"/>
    <w:rsid w:val="006F3968"/>
    <w:rsid w:val="006F54EA"/>
    <w:rsid w:val="006F614A"/>
    <w:rsid w:val="006F7B83"/>
    <w:rsid w:val="00701078"/>
    <w:rsid w:val="00702C58"/>
    <w:rsid w:val="00703BAC"/>
    <w:rsid w:val="007057F3"/>
    <w:rsid w:val="007067CD"/>
    <w:rsid w:val="00706EEA"/>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3146"/>
    <w:rsid w:val="00735673"/>
    <w:rsid w:val="007358BD"/>
    <w:rsid w:val="007364B4"/>
    <w:rsid w:val="007371B6"/>
    <w:rsid w:val="00741B34"/>
    <w:rsid w:val="00742CAF"/>
    <w:rsid w:val="0074316F"/>
    <w:rsid w:val="00743177"/>
    <w:rsid w:val="00743460"/>
    <w:rsid w:val="0074456C"/>
    <w:rsid w:val="007458D6"/>
    <w:rsid w:val="00746FF0"/>
    <w:rsid w:val="00747DDC"/>
    <w:rsid w:val="00747EEF"/>
    <w:rsid w:val="0075095F"/>
    <w:rsid w:val="0075123C"/>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37"/>
    <w:rsid w:val="007775E1"/>
    <w:rsid w:val="00781432"/>
    <w:rsid w:val="007815A3"/>
    <w:rsid w:val="00783E63"/>
    <w:rsid w:val="007857DD"/>
    <w:rsid w:val="00785C38"/>
    <w:rsid w:val="00786DA7"/>
    <w:rsid w:val="0078701F"/>
    <w:rsid w:val="00787ED2"/>
    <w:rsid w:val="00790B4C"/>
    <w:rsid w:val="00791FCE"/>
    <w:rsid w:val="00792718"/>
    <w:rsid w:val="00794443"/>
    <w:rsid w:val="007956A3"/>
    <w:rsid w:val="007971E2"/>
    <w:rsid w:val="007A19F3"/>
    <w:rsid w:val="007A1CC4"/>
    <w:rsid w:val="007A3AEB"/>
    <w:rsid w:val="007A41F6"/>
    <w:rsid w:val="007A4749"/>
    <w:rsid w:val="007A4D83"/>
    <w:rsid w:val="007A4E87"/>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D4C"/>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4F4"/>
    <w:rsid w:val="007E0F32"/>
    <w:rsid w:val="007E21EA"/>
    <w:rsid w:val="007E36DB"/>
    <w:rsid w:val="007E40DA"/>
    <w:rsid w:val="007E52E1"/>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26F7"/>
    <w:rsid w:val="00802BAD"/>
    <w:rsid w:val="00803B9C"/>
    <w:rsid w:val="00806378"/>
    <w:rsid w:val="00810A3A"/>
    <w:rsid w:val="00811BB5"/>
    <w:rsid w:val="00812A1D"/>
    <w:rsid w:val="008132F0"/>
    <w:rsid w:val="0081386B"/>
    <w:rsid w:val="00815506"/>
    <w:rsid w:val="00815850"/>
    <w:rsid w:val="00816D90"/>
    <w:rsid w:val="00821311"/>
    <w:rsid w:val="00821E19"/>
    <w:rsid w:val="008233F0"/>
    <w:rsid w:val="00823C69"/>
    <w:rsid w:val="00823FE1"/>
    <w:rsid w:val="00824F30"/>
    <w:rsid w:val="00825069"/>
    <w:rsid w:val="008266A6"/>
    <w:rsid w:val="00827A7A"/>
    <w:rsid w:val="00827CDD"/>
    <w:rsid w:val="00831642"/>
    <w:rsid w:val="00833393"/>
    <w:rsid w:val="008342E9"/>
    <w:rsid w:val="008351C1"/>
    <w:rsid w:val="008369BD"/>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17F"/>
    <w:rsid w:val="00855942"/>
    <w:rsid w:val="00855953"/>
    <w:rsid w:val="00855A87"/>
    <w:rsid w:val="00857B0E"/>
    <w:rsid w:val="00864E4A"/>
    <w:rsid w:val="008655A7"/>
    <w:rsid w:val="00866459"/>
    <w:rsid w:val="00867B4C"/>
    <w:rsid w:val="00867C8A"/>
    <w:rsid w:val="008715DA"/>
    <w:rsid w:val="00871CC7"/>
    <w:rsid w:val="00872FD5"/>
    <w:rsid w:val="008732C5"/>
    <w:rsid w:val="0087537B"/>
    <w:rsid w:val="00881C58"/>
    <w:rsid w:val="00881DDA"/>
    <w:rsid w:val="00881E73"/>
    <w:rsid w:val="00882846"/>
    <w:rsid w:val="00883380"/>
    <w:rsid w:val="008857D2"/>
    <w:rsid w:val="00886D7C"/>
    <w:rsid w:val="008909B3"/>
    <w:rsid w:val="0089260E"/>
    <w:rsid w:val="00892753"/>
    <w:rsid w:val="00892E43"/>
    <w:rsid w:val="00892EF1"/>
    <w:rsid w:val="00893B6A"/>
    <w:rsid w:val="008940FE"/>
    <w:rsid w:val="00894C8F"/>
    <w:rsid w:val="00894FD8"/>
    <w:rsid w:val="00896264"/>
    <w:rsid w:val="008969FF"/>
    <w:rsid w:val="00896EEB"/>
    <w:rsid w:val="008A2437"/>
    <w:rsid w:val="008A3C16"/>
    <w:rsid w:val="008A5849"/>
    <w:rsid w:val="008A5C74"/>
    <w:rsid w:val="008A5E82"/>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7FE3"/>
    <w:rsid w:val="008E08A3"/>
    <w:rsid w:val="008E20AD"/>
    <w:rsid w:val="008E2E28"/>
    <w:rsid w:val="008E3116"/>
    <w:rsid w:val="008E7348"/>
    <w:rsid w:val="008E7957"/>
    <w:rsid w:val="008F0808"/>
    <w:rsid w:val="008F2727"/>
    <w:rsid w:val="008F5767"/>
    <w:rsid w:val="008F57BA"/>
    <w:rsid w:val="008F5E05"/>
    <w:rsid w:val="008F7A9D"/>
    <w:rsid w:val="00900AFA"/>
    <w:rsid w:val="00900B4D"/>
    <w:rsid w:val="0090194F"/>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DF2"/>
    <w:rsid w:val="009532AD"/>
    <w:rsid w:val="0095542F"/>
    <w:rsid w:val="0095565F"/>
    <w:rsid w:val="009613D3"/>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34FB"/>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418"/>
    <w:rsid w:val="009B4AB8"/>
    <w:rsid w:val="009B67BA"/>
    <w:rsid w:val="009C1424"/>
    <w:rsid w:val="009C165C"/>
    <w:rsid w:val="009C1A77"/>
    <w:rsid w:val="009C3870"/>
    <w:rsid w:val="009C3D95"/>
    <w:rsid w:val="009C3FA8"/>
    <w:rsid w:val="009C54CF"/>
    <w:rsid w:val="009C59A8"/>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33E5"/>
    <w:rsid w:val="009F4E11"/>
    <w:rsid w:val="009F5C15"/>
    <w:rsid w:val="009F6A4E"/>
    <w:rsid w:val="009F6EFF"/>
    <w:rsid w:val="00A002C9"/>
    <w:rsid w:val="00A01276"/>
    <w:rsid w:val="00A01C6A"/>
    <w:rsid w:val="00A01EC7"/>
    <w:rsid w:val="00A020F2"/>
    <w:rsid w:val="00A027CA"/>
    <w:rsid w:val="00A04B72"/>
    <w:rsid w:val="00A06305"/>
    <w:rsid w:val="00A06610"/>
    <w:rsid w:val="00A0695F"/>
    <w:rsid w:val="00A076CE"/>
    <w:rsid w:val="00A07AB7"/>
    <w:rsid w:val="00A10D41"/>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016"/>
    <w:rsid w:val="00A6031C"/>
    <w:rsid w:val="00A60A64"/>
    <w:rsid w:val="00A62CE6"/>
    <w:rsid w:val="00A62F0A"/>
    <w:rsid w:val="00A635CC"/>
    <w:rsid w:val="00A63812"/>
    <w:rsid w:val="00A6542B"/>
    <w:rsid w:val="00A65849"/>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739D"/>
    <w:rsid w:val="00A97800"/>
    <w:rsid w:val="00AA253F"/>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9CB"/>
    <w:rsid w:val="00AB6BA4"/>
    <w:rsid w:val="00AB7529"/>
    <w:rsid w:val="00AB76CF"/>
    <w:rsid w:val="00AB7BA4"/>
    <w:rsid w:val="00AC10A4"/>
    <w:rsid w:val="00AC12CE"/>
    <w:rsid w:val="00AC1453"/>
    <w:rsid w:val="00AC1D4F"/>
    <w:rsid w:val="00AC296E"/>
    <w:rsid w:val="00AC4702"/>
    <w:rsid w:val="00AC4ED7"/>
    <w:rsid w:val="00AC63D1"/>
    <w:rsid w:val="00AC677C"/>
    <w:rsid w:val="00AC68C9"/>
    <w:rsid w:val="00AD111F"/>
    <w:rsid w:val="00AD1FC7"/>
    <w:rsid w:val="00AD2049"/>
    <w:rsid w:val="00AD2A54"/>
    <w:rsid w:val="00AD44A7"/>
    <w:rsid w:val="00AD457D"/>
    <w:rsid w:val="00AD562B"/>
    <w:rsid w:val="00AD7618"/>
    <w:rsid w:val="00AE1B95"/>
    <w:rsid w:val="00AE23C8"/>
    <w:rsid w:val="00AE245E"/>
    <w:rsid w:val="00AE28AC"/>
    <w:rsid w:val="00AE4161"/>
    <w:rsid w:val="00AE6ADA"/>
    <w:rsid w:val="00AE7EA7"/>
    <w:rsid w:val="00AF050C"/>
    <w:rsid w:val="00AF05D1"/>
    <w:rsid w:val="00AF13E2"/>
    <w:rsid w:val="00AF53D1"/>
    <w:rsid w:val="00AF7D55"/>
    <w:rsid w:val="00B0107B"/>
    <w:rsid w:val="00B01423"/>
    <w:rsid w:val="00B018E0"/>
    <w:rsid w:val="00B02135"/>
    <w:rsid w:val="00B04F85"/>
    <w:rsid w:val="00B052D4"/>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60C"/>
    <w:rsid w:val="00B34D9F"/>
    <w:rsid w:val="00B363F9"/>
    <w:rsid w:val="00B367AA"/>
    <w:rsid w:val="00B36A2B"/>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7093"/>
    <w:rsid w:val="00B704E7"/>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4B33"/>
    <w:rsid w:val="00B9514F"/>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369"/>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325B"/>
    <w:rsid w:val="00C2365F"/>
    <w:rsid w:val="00C2521A"/>
    <w:rsid w:val="00C2677C"/>
    <w:rsid w:val="00C273A7"/>
    <w:rsid w:val="00C27A4F"/>
    <w:rsid w:val="00C30115"/>
    <w:rsid w:val="00C30201"/>
    <w:rsid w:val="00C30EA7"/>
    <w:rsid w:val="00C313A4"/>
    <w:rsid w:val="00C31F06"/>
    <w:rsid w:val="00C31F55"/>
    <w:rsid w:val="00C31FFF"/>
    <w:rsid w:val="00C32C31"/>
    <w:rsid w:val="00C32D3E"/>
    <w:rsid w:val="00C33509"/>
    <w:rsid w:val="00C3372D"/>
    <w:rsid w:val="00C340E5"/>
    <w:rsid w:val="00C3476C"/>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1324"/>
    <w:rsid w:val="00C62A2F"/>
    <w:rsid w:val="00C63F89"/>
    <w:rsid w:val="00C6413D"/>
    <w:rsid w:val="00C64278"/>
    <w:rsid w:val="00C65BF5"/>
    <w:rsid w:val="00C676FF"/>
    <w:rsid w:val="00C707F4"/>
    <w:rsid w:val="00C711CA"/>
    <w:rsid w:val="00C7183E"/>
    <w:rsid w:val="00C751B0"/>
    <w:rsid w:val="00C753E0"/>
    <w:rsid w:val="00C77178"/>
    <w:rsid w:val="00C77940"/>
    <w:rsid w:val="00C811F5"/>
    <w:rsid w:val="00C8271B"/>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C25"/>
    <w:rsid w:val="00CA60EA"/>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3EAA"/>
    <w:rsid w:val="00CD7644"/>
    <w:rsid w:val="00CD7D5F"/>
    <w:rsid w:val="00CE05BC"/>
    <w:rsid w:val="00CE2A7D"/>
    <w:rsid w:val="00CE510B"/>
    <w:rsid w:val="00CE67D7"/>
    <w:rsid w:val="00CE7774"/>
    <w:rsid w:val="00CE7DBA"/>
    <w:rsid w:val="00CF1DFC"/>
    <w:rsid w:val="00CF3DF8"/>
    <w:rsid w:val="00CF443F"/>
    <w:rsid w:val="00CF65DA"/>
    <w:rsid w:val="00CF6EF5"/>
    <w:rsid w:val="00D0229D"/>
    <w:rsid w:val="00D03376"/>
    <w:rsid w:val="00D03619"/>
    <w:rsid w:val="00D0637B"/>
    <w:rsid w:val="00D0768D"/>
    <w:rsid w:val="00D106F1"/>
    <w:rsid w:val="00D15404"/>
    <w:rsid w:val="00D157EF"/>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574D"/>
    <w:rsid w:val="00D46A8B"/>
    <w:rsid w:val="00D4734E"/>
    <w:rsid w:val="00D50E5B"/>
    <w:rsid w:val="00D512E0"/>
    <w:rsid w:val="00D51C82"/>
    <w:rsid w:val="00D52B35"/>
    <w:rsid w:val="00D5403D"/>
    <w:rsid w:val="00D54B45"/>
    <w:rsid w:val="00D56C01"/>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D5B"/>
    <w:rsid w:val="00D7651E"/>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7294"/>
    <w:rsid w:val="00DB640B"/>
    <w:rsid w:val="00DB6CCD"/>
    <w:rsid w:val="00DB750E"/>
    <w:rsid w:val="00DC20BE"/>
    <w:rsid w:val="00DC2D6B"/>
    <w:rsid w:val="00DC37A0"/>
    <w:rsid w:val="00DC384E"/>
    <w:rsid w:val="00DC393B"/>
    <w:rsid w:val="00DC3A8B"/>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29E7"/>
    <w:rsid w:val="00E02D92"/>
    <w:rsid w:val="00E03053"/>
    <w:rsid w:val="00E03240"/>
    <w:rsid w:val="00E05762"/>
    <w:rsid w:val="00E059AC"/>
    <w:rsid w:val="00E05DF5"/>
    <w:rsid w:val="00E069E3"/>
    <w:rsid w:val="00E06A43"/>
    <w:rsid w:val="00E11798"/>
    <w:rsid w:val="00E11E19"/>
    <w:rsid w:val="00E12FA8"/>
    <w:rsid w:val="00E1379E"/>
    <w:rsid w:val="00E1584E"/>
    <w:rsid w:val="00E15AE7"/>
    <w:rsid w:val="00E16EE4"/>
    <w:rsid w:val="00E17314"/>
    <w:rsid w:val="00E17839"/>
    <w:rsid w:val="00E2001A"/>
    <w:rsid w:val="00E20051"/>
    <w:rsid w:val="00E209EB"/>
    <w:rsid w:val="00E22B0D"/>
    <w:rsid w:val="00E23776"/>
    <w:rsid w:val="00E239E3"/>
    <w:rsid w:val="00E24DA7"/>
    <w:rsid w:val="00E30A24"/>
    <w:rsid w:val="00E31617"/>
    <w:rsid w:val="00E31DF3"/>
    <w:rsid w:val="00E31EF6"/>
    <w:rsid w:val="00E34399"/>
    <w:rsid w:val="00E3770B"/>
    <w:rsid w:val="00E403FC"/>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17F"/>
    <w:rsid w:val="00E62048"/>
    <w:rsid w:val="00E65951"/>
    <w:rsid w:val="00E6785A"/>
    <w:rsid w:val="00E67880"/>
    <w:rsid w:val="00E7111A"/>
    <w:rsid w:val="00E71D9A"/>
    <w:rsid w:val="00E72CF3"/>
    <w:rsid w:val="00E73323"/>
    <w:rsid w:val="00E74330"/>
    <w:rsid w:val="00E748E5"/>
    <w:rsid w:val="00E7491B"/>
    <w:rsid w:val="00E75AEB"/>
    <w:rsid w:val="00E775E1"/>
    <w:rsid w:val="00E77F50"/>
    <w:rsid w:val="00E803BC"/>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C07BE"/>
    <w:rsid w:val="00EC1C88"/>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5C52"/>
    <w:rsid w:val="00ED5FCC"/>
    <w:rsid w:val="00ED72B8"/>
    <w:rsid w:val="00ED78C0"/>
    <w:rsid w:val="00EE0981"/>
    <w:rsid w:val="00EE0F5D"/>
    <w:rsid w:val="00EE0F74"/>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4FF"/>
    <w:rsid w:val="00F1077E"/>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41FE"/>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1AA7"/>
    <w:rsid w:val="00F920E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514B"/>
    <w:rsid w:val="00FB6575"/>
    <w:rsid w:val="00FC054B"/>
    <w:rsid w:val="00FC25CF"/>
    <w:rsid w:val="00FC590E"/>
    <w:rsid w:val="00FC61DB"/>
    <w:rsid w:val="00FC6693"/>
    <w:rsid w:val="00FC7F1E"/>
    <w:rsid w:val="00FD13F9"/>
    <w:rsid w:val="00FD29DA"/>
    <w:rsid w:val="00FD3E20"/>
    <w:rsid w:val="00FD42F0"/>
    <w:rsid w:val="00FD5337"/>
    <w:rsid w:val="00FD60B5"/>
    <w:rsid w:val="00FE0166"/>
    <w:rsid w:val="00FE0B35"/>
    <w:rsid w:val="00FE273A"/>
    <w:rsid w:val="00FE2B69"/>
    <w:rsid w:val="00FE38DC"/>
    <w:rsid w:val="00FE4053"/>
    <w:rsid w:val="00FE5998"/>
    <w:rsid w:val="00FE71E5"/>
    <w:rsid w:val="00FE7D4F"/>
    <w:rsid w:val="00FF08FB"/>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a"/>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90">
    <w:name w:val="toc 9"/>
    <w:basedOn w:val="80"/>
    <w:semiHidden/>
    <w:rsid w:val="008857D2"/>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rFonts w:eastAsia="SimSun"/>
      <w:b/>
      <w:noProof/>
      <w:sz w:val="22"/>
      <w:szCs w:val="20"/>
      <w:lang w:val="en-GB" w:eastAsia="en-US"/>
    </w:rPr>
  </w:style>
  <w:style w:type="paragraph" w:styleId="80">
    <w:name w:val="toc 8"/>
    <w:basedOn w:val="a"/>
    <w:next w:val="a"/>
    <w:autoRedefine/>
    <w:uiPriority w:val="39"/>
    <w:semiHidden/>
    <w:unhideWhenUsed/>
    <w:rsid w:val="008857D2"/>
    <w:pPr>
      <w:spacing w:after="100"/>
      <w:ind w:left="1680"/>
    </w:pPr>
  </w:style>
  <w:style w:type="character" w:styleId="af6">
    <w:name w:val="Subtle Emphasis"/>
    <w:basedOn w:val="a0"/>
    <w:uiPriority w:val="19"/>
    <w:qFormat/>
    <w:rsid w:val="0024342E"/>
    <w:rPr>
      <w:i/>
      <w:iCs/>
      <w:color w:val="404040" w:themeColor="text1" w:themeTint="BF"/>
    </w:rPr>
  </w:style>
  <w:style w:type="character" w:customStyle="1" w:styleId="B1Char1">
    <w:name w:val="B1 Char1"/>
    <w:locked/>
    <w:rsid w:val="0032370A"/>
    <w:rPr>
      <w:lang w:val="en-GB" w:eastAsia="en-GB"/>
    </w:rPr>
  </w:style>
  <w:style w:type="character" w:customStyle="1" w:styleId="discussionpointChar">
    <w:name w:val="discussion point Char"/>
    <w:link w:val="discussionpoint"/>
    <w:locked/>
    <w:rsid w:val="00C2365F"/>
    <w:rPr>
      <w:rFonts w:ascii="Batang" w:hAnsi="Batang"/>
    </w:rPr>
  </w:style>
  <w:style w:type="paragraph" w:customStyle="1" w:styleId="discussionpoint">
    <w:name w:val="discussion point"/>
    <w:basedOn w:val="a"/>
    <w:link w:val="discussionpointChar"/>
    <w:rsid w:val="00C2365F"/>
    <w:pPr>
      <w:overflowPunct w:val="0"/>
      <w:autoSpaceDE w:val="0"/>
      <w:autoSpaceDN w:val="0"/>
      <w:snapToGrid w:val="0"/>
      <w:spacing w:after="60" w:line="252" w:lineRule="auto"/>
      <w:jc w:val="both"/>
    </w:pPr>
    <w:rPr>
      <w:rFonts w:ascii="Batang" w:eastAsia="新細明體"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69039691">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FFA4D-49EC-481C-91CF-13197051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Eddie Fang (方俊皓)</cp:lastModifiedBy>
  <cp:revision>8</cp:revision>
  <cp:lastPrinted>2018-01-12T00:47:00Z</cp:lastPrinted>
  <dcterms:created xsi:type="dcterms:W3CDTF">2021-04-07T03:36:00Z</dcterms:created>
  <dcterms:modified xsi:type="dcterms:W3CDTF">2021-04-07T03:55:00Z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