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C511F" w14:textId="7F3F7B0B" w:rsidR="00BB5048" w:rsidRPr="00DE5B89" w:rsidRDefault="00BB5048" w:rsidP="00BB5048">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104b</w:t>
      </w:r>
      <w:r w:rsidR="00657AD1">
        <w:rPr>
          <w:bCs/>
          <w:sz w:val="24"/>
        </w:rPr>
        <w:t>is</w:t>
      </w:r>
      <w:bookmarkStart w:id="4" w:name="_GoBack"/>
      <w:bookmarkEnd w:id="4"/>
      <w:r>
        <w:rPr>
          <w:bCs/>
          <w:sz w:val="24"/>
        </w:rPr>
        <w:t>-e</w:t>
      </w:r>
      <w:r w:rsidRPr="00DE5B89">
        <w:rPr>
          <w:bCs/>
          <w:sz w:val="24"/>
        </w:rPr>
        <w:tab/>
      </w:r>
      <w:r w:rsidRPr="00657AE4">
        <w:rPr>
          <w:bCs/>
          <w:sz w:val="24"/>
        </w:rPr>
        <w:t>R1-2</w:t>
      </w:r>
      <w:r>
        <w:rPr>
          <w:bCs/>
          <w:sz w:val="24"/>
        </w:rPr>
        <w:t>1</w:t>
      </w:r>
      <w:r w:rsidR="00D70EB8">
        <w:rPr>
          <w:bCs/>
          <w:sz w:val="24"/>
        </w:rPr>
        <w:t>02651</w:t>
      </w:r>
    </w:p>
    <w:bookmarkEnd w:id="0"/>
    <w:p w14:paraId="16C0E1D7" w14:textId="77777777" w:rsidR="00BB5048" w:rsidRPr="00DE5B89" w:rsidRDefault="00BB5048" w:rsidP="00BB5048">
      <w:pPr>
        <w:pStyle w:val="Header"/>
        <w:rPr>
          <w:bCs/>
          <w:sz w:val="24"/>
        </w:rPr>
      </w:pPr>
      <w:r w:rsidRPr="00A31EF1">
        <w:rPr>
          <w:bCs/>
          <w:sz w:val="24"/>
        </w:rPr>
        <w:t xml:space="preserve">e-Meeting, </w:t>
      </w:r>
      <w:r>
        <w:rPr>
          <w:bCs/>
          <w:sz w:val="24"/>
        </w:rPr>
        <w:t>April 12</w:t>
      </w:r>
      <w:r w:rsidRPr="00621D04">
        <w:rPr>
          <w:bCs/>
          <w:sz w:val="24"/>
          <w:vertAlign w:val="superscript"/>
        </w:rPr>
        <w:t>th</w:t>
      </w:r>
      <w:r w:rsidRPr="00621D04">
        <w:rPr>
          <w:bCs/>
          <w:sz w:val="24"/>
        </w:rPr>
        <w:t xml:space="preserve"> – </w:t>
      </w:r>
      <w:r>
        <w:rPr>
          <w:bCs/>
          <w:sz w:val="24"/>
        </w:rPr>
        <w:t>20</w:t>
      </w:r>
      <w:r w:rsidRPr="00621D04">
        <w:rPr>
          <w:bCs/>
          <w:sz w:val="24"/>
          <w:vertAlign w:val="superscript"/>
        </w:rPr>
        <w:t>th</w:t>
      </w:r>
      <w:r w:rsidRPr="00621D04">
        <w:rPr>
          <w:bCs/>
          <w:sz w:val="24"/>
        </w:rPr>
        <w:t>, 202</w:t>
      </w:r>
      <w:r>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6C306E0C"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49306C">
        <w:rPr>
          <w:rFonts w:cs="Arial"/>
          <w:b/>
          <w:bCs/>
          <w:sz w:val="24"/>
          <w:lang w:val="en-US"/>
        </w:rPr>
        <w:t>8.</w:t>
      </w:r>
      <w:r w:rsidR="00407A1D" w:rsidRPr="0049306C">
        <w:rPr>
          <w:rFonts w:cs="Arial"/>
          <w:b/>
          <w:bCs/>
          <w:sz w:val="24"/>
          <w:lang w:val="en-US"/>
        </w:rPr>
        <w:t>6</w:t>
      </w:r>
      <w:r w:rsidR="00E02820" w:rsidRPr="0049306C">
        <w:rPr>
          <w:rFonts w:cs="Arial"/>
          <w:b/>
          <w:bCs/>
          <w:sz w:val="24"/>
          <w:lang w:val="en-US"/>
        </w:rPr>
        <w:t>.1</w:t>
      </w:r>
      <w:r w:rsidR="0065632C" w:rsidRPr="0049306C">
        <w:rPr>
          <w:rFonts w:cs="Arial"/>
          <w:b/>
          <w:bCs/>
          <w:sz w:val="24"/>
          <w:lang w:val="en-US"/>
        </w:rPr>
        <w:t>.</w:t>
      </w:r>
      <w:r w:rsidR="004F13F1" w:rsidRPr="0049306C">
        <w:rPr>
          <w:rFonts w:cs="Arial"/>
          <w:b/>
          <w:bCs/>
          <w:sz w:val="24"/>
          <w:lang w:val="en-US"/>
        </w:rPr>
        <w:t>3</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5" w:name="OLE_LINK1"/>
      <w:bookmarkStart w:id="6" w:name="OLE_LINK2"/>
      <w:r w:rsidR="008F23B9" w:rsidRPr="00DE5B89">
        <w:rPr>
          <w:rFonts w:ascii="Arial" w:hAnsi="Arial" w:cs="Arial"/>
          <w:b/>
          <w:bCs/>
          <w:sz w:val="24"/>
          <w:lang w:val="en-US"/>
        </w:rPr>
        <w:t>Nokia</w:t>
      </w:r>
      <w:bookmarkEnd w:id="5"/>
      <w:bookmarkEnd w:id="6"/>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3A4CB011"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4F13F1">
        <w:rPr>
          <w:rFonts w:ascii="Arial" w:hAnsi="Arial" w:cs="Arial"/>
          <w:b/>
          <w:bCs/>
          <w:sz w:val="24"/>
          <w:lang w:val="en-US"/>
        </w:rPr>
        <w:t>UE Complexity Reduction Aspects Related to Duplex Operation</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4E663C2A" w:rsidR="00626FC7" w:rsidRDefault="00626FC7" w:rsidP="00626FC7">
      <w:pPr>
        <w:pStyle w:val="ListParagraph"/>
        <w:spacing w:before="120" w:after="120"/>
        <w:ind w:left="0"/>
        <w:contextualSpacing w:val="0"/>
        <w:jc w:val="both"/>
        <w:rPr>
          <w:lang w:val="en-US"/>
        </w:rPr>
      </w:pPr>
      <w:bookmarkStart w:id="7"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0C2EE6">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One component of complexity reduction is the </w:t>
      </w:r>
      <w:r w:rsidR="00E81962">
        <w:rPr>
          <w:lang w:val="en-US"/>
        </w:rPr>
        <w:t>support for half-duplex operation</w:t>
      </w:r>
      <w:r>
        <w:rPr>
          <w:lang w:val="en-US"/>
        </w:rPr>
        <w:t xml:space="preserve"> –</w:t>
      </w:r>
    </w:p>
    <w:p w14:paraId="222FE80E" w14:textId="77777777" w:rsidR="00E81962" w:rsidRPr="00E81962" w:rsidRDefault="00E81962" w:rsidP="00E81962">
      <w:pPr>
        <w:numPr>
          <w:ilvl w:val="0"/>
          <w:numId w:val="25"/>
        </w:numPr>
        <w:autoSpaceDE/>
        <w:autoSpaceDN/>
        <w:adjustRightInd/>
        <w:spacing w:after="120"/>
        <w:jc w:val="both"/>
        <w:textAlignment w:val="auto"/>
        <w:rPr>
          <w:rFonts w:eastAsia="MS Mincho"/>
          <w:bCs/>
          <w:iCs/>
          <w:lang w:val="en-US"/>
        </w:rPr>
      </w:pPr>
      <w:r w:rsidRPr="00E81962">
        <w:rPr>
          <w:rFonts w:eastAsia="MS Mincho"/>
          <w:bCs/>
          <w:iCs/>
          <w:lang w:val="en-US"/>
        </w:rPr>
        <w:t>Duplex operation:</w:t>
      </w:r>
    </w:p>
    <w:p w14:paraId="2CE1D171" w14:textId="22E62905" w:rsidR="00E81962" w:rsidRPr="00E81962" w:rsidRDefault="00E81962" w:rsidP="00E81962">
      <w:pPr>
        <w:numPr>
          <w:ilvl w:val="1"/>
          <w:numId w:val="25"/>
        </w:numPr>
        <w:autoSpaceDE/>
        <w:autoSpaceDN/>
        <w:adjustRightInd/>
        <w:spacing w:after="120"/>
        <w:jc w:val="both"/>
        <w:textAlignment w:val="auto"/>
        <w:rPr>
          <w:rFonts w:eastAsia="MS Mincho"/>
          <w:bCs/>
          <w:iCs/>
          <w:lang w:val="en-US"/>
        </w:rPr>
      </w:pPr>
      <w:r w:rsidRPr="00E81962">
        <w:rPr>
          <w:rFonts w:eastAsia="MS Mincho"/>
          <w:bCs/>
          <w:iCs/>
          <w:lang w:val="en-US"/>
        </w:rPr>
        <w:t>HD-FDD type A with the minimum specification impact (Note that FD-FDD and TDD are also supported.)</w:t>
      </w:r>
    </w:p>
    <w:p w14:paraId="7A7101E8" w14:textId="60B7D9D4" w:rsidR="00422FD7" w:rsidRDefault="00CA7198" w:rsidP="00783BCB">
      <w:pPr>
        <w:pStyle w:val="ListParagraph"/>
        <w:spacing w:before="240" w:after="120"/>
        <w:ind w:left="0"/>
        <w:contextualSpacing w:val="0"/>
        <w:jc w:val="both"/>
        <w:rPr>
          <w:lang w:val="en-US"/>
        </w:rPr>
      </w:pPr>
      <w:r w:rsidRPr="00DE5B89">
        <w:rPr>
          <w:lang w:val="en-US"/>
        </w:rPr>
        <w:t xml:space="preserve">In </w:t>
      </w:r>
      <w:r w:rsidR="00422FD7">
        <w:rPr>
          <w:lang w:val="en-US"/>
        </w:rPr>
        <w:t>RAN1#104e, the following agreement was made with respect to this issue –</w:t>
      </w:r>
    </w:p>
    <w:p w14:paraId="5CBD9244" w14:textId="77777777" w:rsidR="00422FD7" w:rsidRPr="006C4242" w:rsidRDefault="00422FD7" w:rsidP="00422FD7">
      <w:r w:rsidRPr="006C4242">
        <w:rPr>
          <w:highlight w:val="green"/>
        </w:rPr>
        <w:t>Agreements:</w:t>
      </w:r>
    </w:p>
    <w:p w14:paraId="2D1211C2" w14:textId="77777777" w:rsidR="00B52510" w:rsidRDefault="00B52510" w:rsidP="00B52510">
      <w:pPr>
        <w:pStyle w:val="ListParagraph"/>
        <w:numPr>
          <w:ilvl w:val="0"/>
          <w:numId w:val="32"/>
        </w:numPr>
        <w:overflowPunct/>
        <w:autoSpaceDE/>
        <w:autoSpaceDN/>
        <w:adjustRightInd/>
        <w:spacing w:line="252" w:lineRule="auto"/>
        <w:textAlignment w:val="auto"/>
      </w:pPr>
      <w:r>
        <w:t xml:space="preserve">(Working assumption) </w:t>
      </w:r>
      <w:bookmarkStart w:id="8" w:name="_Hlk67991443"/>
      <w:r>
        <w:t>For HD-FDD switching time, reuse existing switching times for UE not capable of full duplex in TS 38.211, Table 4.3.2-3</w:t>
      </w:r>
      <w:bookmarkEnd w:id="8"/>
      <w:r>
        <w:t>.</w:t>
      </w:r>
    </w:p>
    <w:p w14:paraId="294006CF" w14:textId="77777777" w:rsidR="00B52510" w:rsidRDefault="00B52510" w:rsidP="00B52510">
      <w:pPr>
        <w:pStyle w:val="ListParagraph"/>
        <w:numPr>
          <w:ilvl w:val="1"/>
          <w:numId w:val="32"/>
        </w:numPr>
        <w:overflowPunct/>
        <w:autoSpaceDE/>
        <w:autoSpaceDN/>
        <w:adjustRightInd/>
        <w:spacing w:line="252" w:lineRule="auto"/>
        <w:textAlignment w:val="auto"/>
      </w:pPr>
      <w:r>
        <w:t>FFS: whether to define the guard times in symbol units</w:t>
      </w:r>
    </w:p>
    <w:p w14:paraId="18520A0B" w14:textId="77777777" w:rsidR="00B52510" w:rsidRDefault="00B52510" w:rsidP="00B52510">
      <w:pPr>
        <w:pStyle w:val="ListParagraph"/>
        <w:numPr>
          <w:ilvl w:val="1"/>
          <w:numId w:val="32"/>
        </w:numPr>
        <w:overflowPunct/>
        <w:autoSpaceDE/>
        <w:autoSpaceDN/>
        <w:adjustRightInd/>
        <w:spacing w:line="252" w:lineRule="auto"/>
        <w:textAlignment w:val="auto"/>
      </w:pPr>
      <w:r>
        <w:t>FFS: the switching positions</w:t>
      </w:r>
    </w:p>
    <w:p w14:paraId="1E580F7B" w14:textId="77777777" w:rsidR="00B52510" w:rsidRDefault="00B52510" w:rsidP="00B52510">
      <w:pPr>
        <w:pStyle w:val="ListParagraph"/>
        <w:numPr>
          <w:ilvl w:val="0"/>
          <w:numId w:val="32"/>
        </w:numPr>
        <w:overflowPunct/>
        <w:autoSpaceDE/>
        <w:autoSpaceDN/>
        <w:adjustRightInd/>
        <w:spacing w:line="252" w:lineRule="auto"/>
        <w:textAlignment w:val="auto"/>
      </w:pPr>
      <w:r>
        <w:t xml:space="preserve">Sending an LS to RAN4 to inform the above working assumption, and to ask for feedback if any </w:t>
      </w:r>
    </w:p>
    <w:p w14:paraId="7022CF3D" w14:textId="3356A01A" w:rsidR="00B52510" w:rsidRDefault="00B52510" w:rsidP="00B52510">
      <w:pPr>
        <w:pStyle w:val="ListParagraph"/>
        <w:numPr>
          <w:ilvl w:val="1"/>
          <w:numId w:val="32"/>
        </w:numPr>
        <w:overflowPunct/>
        <w:autoSpaceDE/>
        <w:autoSpaceDN/>
        <w:adjustRightInd/>
        <w:spacing w:line="252" w:lineRule="auto"/>
        <w:textAlignment w:val="auto"/>
      </w:pPr>
      <w:r>
        <w:t>The LS will not include the two FFS bullets</w:t>
      </w:r>
    </w:p>
    <w:p w14:paraId="4073D535" w14:textId="77777777" w:rsidR="00422FD7" w:rsidRPr="00B77987" w:rsidRDefault="00422FD7" w:rsidP="00422FD7">
      <w:r w:rsidRPr="00B77987">
        <w:rPr>
          <w:highlight w:val="green"/>
        </w:rPr>
        <w:t>Agreements:</w:t>
      </w:r>
    </w:p>
    <w:p w14:paraId="64FC241B" w14:textId="77777777" w:rsidR="00B52510" w:rsidRPr="00B52510" w:rsidRDefault="00B52510" w:rsidP="00B52510">
      <w:pPr>
        <w:pStyle w:val="ListParagraph"/>
        <w:numPr>
          <w:ilvl w:val="0"/>
          <w:numId w:val="32"/>
        </w:numPr>
      </w:pPr>
      <w:r w:rsidRPr="00B52510">
        <w:t>For HD-FDD, for cases (if any) where collision handling needs to be specified, then the existing collision handling principles in Rel-15/16 NR for operation on a single carrier /single cell in unpaired spectrum are used as a starting point if deemed applicable.</w:t>
      </w:r>
    </w:p>
    <w:p w14:paraId="53CB4D99" w14:textId="77777777" w:rsidR="00422FD7" w:rsidRPr="004D78B4" w:rsidRDefault="00422FD7" w:rsidP="00422FD7">
      <w:pPr>
        <w:jc w:val="both"/>
      </w:pPr>
      <w:r w:rsidRPr="004D78B4">
        <w:rPr>
          <w:highlight w:val="green"/>
        </w:rPr>
        <w:t>Agreements:</w:t>
      </w:r>
    </w:p>
    <w:p w14:paraId="44F8A668" w14:textId="03DE76E2" w:rsidR="00B52510" w:rsidRPr="00B52510" w:rsidRDefault="00B52510" w:rsidP="00B52510">
      <w:pPr>
        <w:pStyle w:val="ListParagraph"/>
        <w:numPr>
          <w:ilvl w:val="0"/>
          <w:numId w:val="33"/>
        </w:numPr>
        <w:overflowPunct/>
        <w:autoSpaceDE/>
        <w:autoSpaceDN/>
        <w:adjustRightInd/>
        <w:spacing w:line="252" w:lineRule="auto"/>
        <w:textAlignment w:val="auto"/>
        <w:rPr>
          <w:lang w:val="en-US"/>
        </w:rPr>
      </w:pPr>
      <w:r w:rsidRPr="00B52510">
        <w:t>For HD-FDD operation for RedCap UEs,</w:t>
      </w:r>
      <w:r>
        <w:t xml:space="preserve"> </w:t>
      </w:r>
      <w:r w:rsidRPr="00B52510">
        <w:t>collisions may be addressed or alleviated with proper scheduling. The following cases of potential collisions can be further studied to see if any change to the current specs is necessary:</w:t>
      </w:r>
    </w:p>
    <w:p w14:paraId="1214C557" w14:textId="77777777" w:rsidR="00B52510" w:rsidRPr="00B52510" w:rsidRDefault="00B52510" w:rsidP="00B52510">
      <w:pPr>
        <w:pStyle w:val="ListParagraph"/>
        <w:numPr>
          <w:ilvl w:val="1"/>
          <w:numId w:val="33"/>
        </w:numPr>
        <w:overflowPunct/>
        <w:autoSpaceDE/>
        <w:autoSpaceDN/>
        <w:adjustRightInd/>
        <w:spacing w:line="252" w:lineRule="auto"/>
        <w:textAlignment w:val="auto"/>
      </w:pPr>
      <w:r w:rsidRPr="00B52510">
        <w:t>Case 1: Dynamically scheduled DL reception vs. semi-statically configured UL transmission</w:t>
      </w:r>
    </w:p>
    <w:p w14:paraId="41E3611D" w14:textId="42B08A24" w:rsidR="00B52510" w:rsidRPr="00B52510" w:rsidRDefault="00B52510" w:rsidP="00B52510">
      <w:pPr>
        <w:pStyle w:val="ListParagraph"/>
        <w:numPr>
          <w:ilvl w:val="2"/>
          <w:numId w:val="33"/>
        </w:numPr>
        <w:overflowPunct/>
        <w:autoSpaceDE/>
        <w:autoSpaceDN/>
        <w:adjustRightInd/>
        <w:spacing w:line="252" w:lineRule="auto"/>
        <w:textAlignment w:val="auto"/>
      </w:pPr>
      <w:r w:rsidRPr="00B52510">
        <w:t>e.g., dynamic PDSCH or CSI-RS collides with configured SRS, PUCCH, or CG PUSCH</w:t>
      </w:r>
    </w:p>
    <w:p w14:paraId="4B116C74" w14:textId="77777777" w:rsidR="00B52510" w:rsidRPr="00B52510" w:rsidRDefault="00B52510" w:rsidP="00B52510">
      <w:pPr>
        <w:pStyle w:val="ListParagraph"/>
        <w:numPr>
          <w:ilvl w:val="1"/>
          <w:numId w:val="33"/>
        </w:numPr>
        <w:overflowPunct/>
        <w:autoSpaceDE/>
        <w:autoSpaceDN/>
        <w:adjustRightInd/>
        <w:spacing w:line="252" w:lineRule="auto"/>
        <w:textAlignment w:val="auto"/>
      </w:pPr>
      <w:r w:rsidRPr="00B52510">
        <w:t>Case 2: Semi-statically configured DL reception vs. dynamically scheduled UL transmission</w:t>
      </w:r>
    </w:p>
    <w:p w14:paraId="767A6C96" w14:textId="77777777" w:rsidR="00B52510" w:rsidRPr="00B52510" w:rsidRDefault="00B52510" w:rsidP="00B52510">
      <w:pPr>
        <w:pStyle w:val="ListParagraph"/>
        <w:numPr>
          <w:ilvl w:val="2"/>
          <w:numId w:val="33"/>
        </w:numPr>
        <w:overflowPunct/>
        <w:autoSpaceDE/>
        <w:autoSpaceDN/>
        <w:adjustRightInd/>
        <w:spacing w:line="252" w:lineRule="auto"/>
        <w:textAlignment w:val="auto"/>
        <w:rPr>
          <w:lang w:val="en-US"/>
        </w:rPr>
      </w:pPr>
      <w:r w:rsidRPr="00B52510">
        <w:t>e.g., PDCCH or SPS PDSCH collides with dynamic PUSCH or PUCCH</w:t>
      </w:r>
    </w:p>
    <w:p w14:paraId="51A4BD83" w14:textId="77777777" w:rsidR="00B52510" w:rsidRPr="00B52510" w:rsidRDefault="00B52510" w:rsidP="00B52510">
      <w:pPr>
        <w:pStyle w:val="ListParagraph"/>
        <w:numPr>
          <w:ilvl w:val="1"/>
          <w:numId w:val="33"/>
        </w:numPr>
        <w:overflowPunct/>
        <w:autoSpaceDE/>
        <w:autoSpaceDN/>
        <w:adjustRightInd/>
        <w:spacing w:line="252" w:lineRule="auto"/>
        <w:textAlignment w:val="auto"/>
      </w:pPr>
      <w:r w:rsidRPr="00B52510">
        <w:t xml:space="preserve">Case 3: Semi-statically configured DL reception vs. semi-statically configured UL transmission  </w:t>
      </w:r>
    </w:p>
    <w:p w14:paraId="380730B8" w14:textId="77777777" w:rsidR="00B52510" w:rsidRPr="00B52510" w:rsidRDefault="00B52510" w:rsidP="00B52510">
      <w:pPr>
        <w:pStyle w:val="ListParagraph"/>
        <w:numPr>
          <w:ilvl w:val="1"/>
          <w:numId w:val="33"/>
        </w:numPr>
        <w:overflowPunct/>
        <w:autoSpaceDE/>
        <w:autoSpaceDN/>
        <w:adjustRightInd/>
        <w:spacing w:line="252" w:lineRule="auto"/>
        <w:textAlignment w:val="auto"/>
      </w:pPr>
      <w:r w:rsidRPr="00B52510">
        <w:t>Case 4: Dynamically scheduled DL reception vs. dynamic scheduled UL transmission</w:t>
      </w:r>
    </w:p>
    <w:p w14:paraId="06E4CC6D" w14:textId="77777777" w:rsidR="00B52510" w:rsidRPr="00B52510" w:rsidRDefault="00B52510" w:rsidP="00B52510">
      <w:pPr>
        <w:pStyle w:val="ListParagraph"/>
        <w:numPr>
          <w:ilvl w:val="1"/>
          <w:numId w:val="33"/>
        </w:numPr>
        <w:overflowPunct/>
        <w:autoSpaceDE/>
        <w:autoSpaceDN/>
        <w:adjustRightInd/>
        <w:spacing w:line="252" w:lineRule="auto"/>
        <w:textAlignment w:val="auto"/>
      </w:pPr>
      <w:r w:rsidRPr="00B52510">
        <w:t>Case 5: Configured SSB vs. dynamically scheduled or configured UL transmission</w:t>
      </w:r>
    </w:p>
    <w:p w14:paraId="12833350" w14:textId="77777777" w:rsidR="00B52510" w:rsidRPr="00B52510" w:rsidRDefault="00B52510" w:rsidP="00B52510">
      <w:pPr>
        <w:pStyle w:val="ListParagraph"/>
        <w:numPr>
          <w:ilvl w:val="2"/>
          <w:numId w:val="33"/>
        </w:numPr>
        <w:overflowPunct/>
        <w:autoSpaceDE/>
        <w:autoSpaceDN/>
        <w:adjustRightInd/>
        <w:spacing w:line="252" w:lineRule="auto"/>
        <w:textAlignment w:val="auto"/>
        <w:rPr>
          <w:lang w:val="sv-SE"/>
        </w:rPr>
      </w:pPr>
      <w:proofErr w:type="spellStart"/>
      <w:r w:rsidRPr="00B52510">
        <w:rPr>
          <w:lang w:val="sv-SE"/>
        </w:rPr>
        <w:t>e.g</w:t>
      </w:r>
      <w:proofErr w:type="spellEnd"/>
      <w:r w:rsidRPr="00B52510">
        <w:rPr>
          <w:lang w:val="sv-SE"/>
        </w:rPr>
        <w:t>., PUSCH, PUCCH, PRACH, SRS</w:t>
      </w:r>
    </w:p>
    <w:p w14:paraId="0D005380" w14:textId="77777777" w:rsidR="00B52510" w:rsidRPr="00B52510" w:rsidRDefault="00B52510" w:rsidP="00B52510">
      <w:pPr>
        <w:pStyle w:val="ListParagraph"/>
        <w:numPr>
          <w:ilvl w:val="1"/>
          <w:numId w:val="33"/>
        </w:numPr>
        <w:overflowPunct/>
        <w:autoSpaceDE/>
        <w:autoSpaceDN/>
        <w:adjustRightInd/>
        <w:spacing w:line="252" w:lineRule="auto"/>
        <w:textAlignment w:val="auto"/>
      </w:pPr>
      <w:r w:rsidRPr="00B52510">
        <w:t>Case 8: Dynamic or semi-static DL vs. valid RO</w:t>
      </w:r>
    </w:p>
    <w:p w14:paraId="39B38543" w14:textId="79531877" w:rsidR="00422FD7" w:rsidRPr="00B52510" w:rsidRDefault="00B52510" w:rsidP="00B52510">
      <w:pPr>
        <w:pStyle w:val="ListParagraph"/>
        <w:numPr>
          <w:ilvl w:val="1"/>
          <w:numId w:val="33"/>
        </w:numPr>
        <w:overflowPunct/>
        <w:autoSpaceDE/>
        <w:autoSpaceDN/>
        <w:adjustRightInd/>
        <w:spacing w:line="252" w:lineRule="auto"/>
        <w:jc w:val="both"/>
        <w:textAlignment w:val="auto"/>
      </w:pPr>
      <w:r w:rsidRPr="00B52510">
        <w:t>Case 9: Collision due to direction switching</w:t>
      </w:r>
    </w:p>
    <w:p w14:paraId="1C0F199E" w14:textId="60701B74"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issues related to </w:t>
      </w:r>
      <w:r w:rsidR="00E81962">
        <w:rPr>
          <w:lang w:val="en-US"/>
        </w:rPr>
        <w:t>half-duplex operation</w:t>
      </w:r>
      <w:r>
        <w:rPr>
          <w:lang w:val="en-US"/>
        </w:rPr>
        <w:t>.</w:t>
      </w:r>
      <w:bookmarkEnd w:id="7"/>
    </w:p>
    <w:p w14:paraId="1E4C17F3" w14:textId="1551E7A7" w:rsidR="00FD56D1" w:rsidRPr="00DE5B89" w:rsidRDefault="00D778F2" w:rsidP="00FD56D1">
      <w:pPr>
        <w:pStyle w:val="Heading1"/>
        <w:tabs>
          <w:tab w:val="clear" w:pos="1134"/>
          <w:tab w:val="num" w:pos="709"/>
        </w:tabs>
        <w:ind w:left="709" w:hanging="709"/>
        <w:rPr>
          <w:lang w:val="en-US"/>
        </w:rPr>
      </w:pPr>
      <w:bookmarkStart w:id="9" w:name="_Hlk4137067"/>
      <w:bookmarkStart w:id="10" w:name="_Hlk520894743"/>
      <w:bookmarkStart w:id="11" w:name="_Hlk7596973"/>
      <w:r>
        <w:rPr>
          <w:lang w:val="en-US"/>
        </w:rPr>
        <w:lastRenderedPageBreak/>
        <w:t>Half-Duplex Operation</w:t>
      </w:r>
    </w:p>
    <w:p w14:paraId="4FA36DD2" w14:textId="77777777" w:rsidR="00FE3897" w:rsidRDefault="00FE3897" w:rsidP="00FE3897">
      <w:pPr>
        <w:jc w:val="both"/>
        <w:rPr>
          <w:lang w:val="en-US"/>
        </w:rPr>
      </w:pPr>
      <w:r>
        <w:rPr>
          <w:lang w:val="en-US"/>
        </w:rPr>
        <w:t>RedCap UE can support half-duplex FDD operation (in addition to FDD and TDD) although the WID specifies that this feature should be supported with minimal specification impact. There are several RAN1 specification impacts for this feature, including –</w:t>
      </w:r>
    </w:p>
    <w:p w14:paraId="4BB8F3E5" w14:textId="40F1E1A5" w:rsidR="00FE3897" w:rsidRDefault="00FE3897" w:rsidP="00FE3897">
      <w:pPr>
        <w:pStyle w:val="ListParagraph"/>
        <w:numPr>
          <w:ilvl w:val="0"/>
          <w:numId w:val="29"/>
        </w:numPr>
        <w:jc w:val="both"/>
        <w:rPr>
          <w:lang w:val="en-US"/>
        </w:rPr>
      </w:pPr>
      <w:r>
        <w:rPr>
          <w:lang w:val="en-US"/>
        </w:rPr>
        <w:t xml:space="preserve">Switching times </w:t>
      </w:r>
      <w:r w:rsidR="00F33221">
        <w:rPr>
          <w:lang w:val="en-US"/>
        </w:rPr>
        <w:t xml:space="preserve">and switching positions </w:t>
      </w:r>
      <w:r>
        <w:rPr>
          <w:lang w:val="en-US"/>
        </w:rPr>
        <w:t>between downlink and uplink</w:t>
      </w:r>
    </w:p>
    <w:p w14:paraId="11717388" w14:textId="77777777" w:rsidR="00FE3897" w:rsidRDefault="00FE3897" w:rsidP="00FE3897">
      <w:pPr>
        <w:pStyle w:val="ListParagraph"/>
        <w:numPr>
          <w:ilvl w:val="0"/>
          <w:numId w:val="29"/>
        </w:numPr>
        <w:jc w:val="both"/>
        <w:rPr>
          <w:lang w:val="en-US"/>
        </w:rPr>
      </w:pPr>
      <w:r>
        <w:rPr>
          <w:lang w:val="en-US"/>
        </w:rPr>
        <w:t>Collision handling and traffic prioritization</w:t>
      </w:r>
    </w:p>
    <w:p w14:paraId="4869EBFE" w14:textId="77777777" w:rsidR="00FE3897" w:rsidRDefault="00FE3897" w:rsidP="00FE3897">
      <w:pPr>
        <w:pStyle w:val="ListParagraph"/>
        <w:numPr>
          <w:ilvl w:val="0"/>
          <w:numId w:val="29"/>
        </w:numPr>
        <w:jc w:val="both"/>
        <w:rPr>
          <w:lang w:val="en-US"/>
        </w:rPr>
      </w:pPr>
      <w:r>
        <w:rPr>
          <w:lang w:val="en-US"/>
        </w:rPr>
        <w:t>HARQ-ACK bundling support</w:t>
      </w:r>
    </w:p>
    <w:p w14:paraId="4D6B8A40" w14:textId="3346DAB0" w:rsidR="005E698E" w:rsidRDefault="00FE3897" w:rsidP="00FE3897">
      <w:pPr>
        <w:jc w:val="both"/>
        <w:rPr>
          <w:lang w:val="en-US"/>
        </w:rPr>
      </w:pPr>
      <w:r>
        <w:rPr>
          <w:lang w:val="en-US"/>
        </w:rPr>
        <w:t xml:space="preserve">For the switching time, </w:t>
      </w:r>
      <w:r w:rsidR="005E698E">
        <w:rPr>
          <w:lang w:val="en-US"/>
        </w:rPr>
        <w:t xml:space="preserve">it has been agreed as a working assumption to </w:t>
      </w:r>
      <w:r w:rsidR="005E698E" w:rsidRPr="005E698E">
        <w:rPr>
          <w:lang w:val="en-US"/>
        </w:rPr>
        <w:t>reuse existing switching times for UE not capable of full duplex in TS 38.211, Table 4.3.2-3.</w:t>
      </w:r>
      <w:r w:rsidR="00A82575">
        <w:rPr>
          <w:lang w:val="en-US"/>
        </w:rPr>
        <w:t xml:space="preserve"> This table is duplicated below for reference –</w:t>
      </w:r>
    </w:p>
    <w:p w14:paraId="09A90ACF" w14:textId="0B9497C3" w:rsidR="00A82575" w:rsidRPr="00A82575" w:rsidRDefault="00A82575" w:rsidP="00A82575">
      <w:pPr>
        <w:pStyle w:val="Caption"/>
        <w:keepNext/>
        <w:jc w:val="center"/>
        <w:rPr>
          <w:lang w:val="en-US"/>
        </w:rPr>
      </w:pPr>
      <w:r>
        <w:t xml:space="preserve">Table </w:t>
      </w:r>
      <w:r>
        <w:fldChar w:fldCharType="begin"/>
      </w:r>
      <w:r>
        <w:instrText xml:space="preserve"> SEQ Table \* ARABIC </w:instrText>
      </w:r>
      <w:r>
        <w:fldChar w:fldCharType="separate"/>
      </w:r>
      <w:r w:rsidR="000C2EE6">
        <w:rPr>
          <w:noProof/>
        </w:rPr>
        <w:t>1</w:t>
      </w:r>
      <w:r>
        <w:fldChar w:fldCharType="end"/>
      </w:r>
      <w:r>
        <w:rPr>
          <w:lang w:val="en-US"/>
        </w:rPr>
        <w:t xml:space="preserve">.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Pr>
          <w:lang w:val="en-US"/>
        </w:rPr>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A82575" w:rsidRPr="0019164C" w14:paraId="58131D61" w14:textId="77777777" w:rsidTr="00D07EB5">
        <w:trPr>
          <w:jc w:val="center"/>
        </w:trPr>
        <w:tc>
          <w:tcPr>
            <w:tcW w:w="2122" w:type="dxa"/>
          </w:tcPr>
          <w:p w14:paraId="0A063965" w14:textId="77777777" w:rsidR="00A82575" w:rsidRPr="0019164C" w:rsidRDefault="00A82575" w:rsidP="00D07EB5">
            <w:pPr>
              <w:keepNext/>
              <w:keepLines/>
              <w:spacing w:after="0"/>
              <w:jc w:val="center"/>
              <w:rPr>
                <w:rFonts w:ascii="Arial" w:hAnsi="Arial"/>
                <w:b/>
                <w:sz w:val="18"/>
              </w:rPr>
            </w:pPr>
            <w:r w:rsidRPr="0019164C">
              <w:rPr>
                <w:rFonts w:ascii="Arial" w:hAnsi="Arial"/>
                <w:b/>
                <w:sz w:val="18"/>
              </w:rPr>
              <w:t>Transition time</w:t>
            </w:r>
          </w:p>
        </w:tc>
        <w:tc>
          <w:tcPr>
            <w:tcW w:w="1134" w:type="dxa"/>
          </w:tcPr>
          <w:p w14:paraId="2BD49C7A" w14:textId="77777777" w:rsidR="00A82575" w:rsidRPr="0019164C" w:rsidRDefault="00A82575" w:rsidP="00D07EB5">
            <w:pPr>
              <w:keepNext/>
              <w:keepLines/>
              <w:spacing w:after="0"/>
              <w:jc w:val="center"/>
              <w:rPr>
                <w:rFonts w:ascii="Arial" w:hAnsi="Arial"/>
                <w:b/>
                <w:sz w:val="18"/>
              </w:rPr>
            </w:pPr>
            <w:r w:rsidRPr="0019164C">
              <w:rPr>
                <w:rFonts w:ascii="Arial" w:hAnsi="Arial"/>
                <w:b/>
                <w:sz w:val="18"/>
              </w:rPr>
              <w:t>FR1</w:t>
            </w:r>
          </w:p>
        </w:tc>
        <w:tc>
          <w:tcPr>
            <w:tcW w:w="992" w:type="dxa"/>
          </w:tcPr>
          <w:p w14:paraId="1683C46C" w14:textId="77777777" w:rsidR="00A82575" w:rsidRPr="0019164C" w:rsidRDefault="00A82575" w:rsidP="00D07EB5">
            <w:pPr>
              <w:keepNext/>
              <w:keepLines/>
              <w:spacing w:after="0"/>
              <w:jc w:val="center"/>
              <w:rPr>
                <w:rFonts w:ascii="Arial" w:hAnsi="Arial"/>
                <w:b/>
                <w:sz w:val="18"/>
              </w:rPr>
            </w:pPr>
            <w:r w:rsidRPr="0019164C">
              <w:rPr>
                <w:rFonts w:ascii="Arial" w:hAnsi="Arial"/>
                <w:b/>
                <w:sz w:val="18"/>
              </w:rPr>
              <w:t>FR2</w:t>
            </w:r>
          </w:p>
        </w:tc>
      </w:tr>
      <w:tr w:rsidR="00A82575" w:rsidRPr="0019164C" w14:paraId="45BDB2F1" w14:textId="77777777" w:rsidTr="00D07EB5">
        <w:trPr>
          <w:jc w:val="center"/>
        </w:trPr>
        <w:tc>
          <w:tcPr>
            <w:tcW w:w="2122" w:type="dxa"/>
          </w:tcPr>
          <w:p w14:paraId="705AEA47" w14:textId="77777777" w:rsidR="00A82575" w:rsidRPr="0019164C" w:rsidRDefault="00657AD1" w:rsidP="00D07EB5">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6ADA900A" w14:textId="77777777" w:rsidR="00A82575" w:rsidRPr="004249C8" w:rsidRDefault="00A82575" w:rsidP="00D07EB5">
            <w:pPr>
              <w:keepNext/>
              <w:keepLines/>
              <w:spacing w:after="0"/>
              <w:jc w:val="center"/>
              <w:rPr>
                <w:rFonts w:ascii="Arial" w:hAnsi="Arial"/>
                <w:sz w:val="18"/>
              </w:rPr>
            </w:pPr>
            <w:r w:rsidRPr="00A728F8">
              <w:rPr>
                <w:rFonts w:ascii="Arial" w:hAnsi="Arial"/>
                <w:sz w:val="18"/>
              </w:rPr>
              <w:t>25600</w:t>
            </w:r>
          </w:p>
        </w:tc>
        <w:tc>
          <w:tcPr>
            <w:tcW w:w="992" w:type="dxa"/>
          </w:tcPr>
          <w:p w14:paraId="5DD4BF59" w14:textId="77777777" w:rsidR="00A82575" w:rsidRPr="004249C8" w:rsidRDefault="00A82575" w:rsidP="00D07EB5">
            <w:pPr>
              <w:keepNext/>
              <w:keepLines/>
              <w:spacing w:after="0"/>
              <w:jc w:val="center"/>
              <w:rPr>
                <w:rFonts w:ascii="Arial" w:hAnsi="Arial"/>
                <w:sz w:val="18"/>
              </w:rPr>
            </w:pPr>
            <w:r w:rsidRPr="00A728F8">
              <w:rPr>
                <w:rFonts w:ascii="Arial" w:hAnsi="Arial"/>
                <w:sz w:val="18"/>
              </w:rPr>
              <w:t>13792</w:t>
            </w:r>
          </w:p>
        </w:tc>
      </w:tr>
      <w:tr w:rsidR="00A82575" w:rsidRPr="0019164C" w14:paraId="6C34DE12" w14:textId="77777777" w:rsidTr="00D07EB5">
        <w:trPr>
          <w:jc w:val="center"/>
        </w:trPr>
        <w:tc>
          <w:tcPr>
            <w:tcW w:w="2122" w:type="dxa"/>
          </w:tcPr>
          <w:p w14:paraId="198699D3" w14:textId="77777777" w:rsidR="00A82575" w:rsidRPr="0019164C" w:rsidRDefault="00657AD1" w:rsidP="00D07EB5">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5BC7F80F" w14:textId="77777777" w:rsidR="00A82575" w:rsidRPr="00A96E72" w:rsidRDefault="00A82575" w:rsidP="00D07EB5">
            <w:pPr>
              <w:keepNext/>
              <w:keepLines/>
              <w:spacing w:after="0"/>
              <w:jc w:val="center"/>
              <w:rPr>
                <w:rFonts w:ascii="Arial" w:hAnsi="Arial"/>
                <w:sz w:val="18"/>
              </w:rPr>
            </w:pPr>
            <w:r w:rsidRPr="00A96E72">
              <w:rPr>
                <w:rFonts w:ascii="Arial" w:hAnsi="Arial"/>
                <w:sz w:val="18"/>
              </w:rPr>
              <w:t>25600</w:t>
            </w:r>
          </w:p>
        </w:tc>
        <w:tc>
          <w:tcPr>
            <w:tcW w:w="992" w:type="dxa"/>
          </w:tcPr>
          <w:p w14:paraId="2184516F" w14:textId="77777777" w:rsidR="00A82575" w:rsidRPr="00A96E72" w:rsidRDefault="00A82575" w:rsidP="00D07EB5">
            <w:pPr>
              <w:keepNext/>
              <w:keepLines/>
              <w:spacing w:after="0"/>
              <w:jc w:val="center"/>
              <w:rPr>
                <w:rFonts w:ascii="Arial" w:hAnsi="Arial"/>
                <w:sz w:val="18"/>
              </w:rPr>
            </w:pPr>
            <w:r w:rsidRPr="00A96E72">
              <w:rPr>
                <w:rFonts w:ascii="Arial" w:hAnsi="Arial"/>
                <w:sz w:val="18"/>
              </w:rPr>
              <w:t>13792</w:t>
            </w:r>
          </w:p>
        </w:tc>
      </w:tr>
    </w:tbl>
    <w:p w14:paraId="06B0602D" w14:textId="31E29461" w:rsidR="00A63C9A" w:rsidRPr="00A63C9A" w:rsidRDefault="00A63C9A" w:rsidP="00A63C9A">
      <w:pPr>
        <w:spacing w:before="120"/>
        <w:jc w:val="both"/>
        <w:rPr>
          <w:noProof/>
          <w:lang w:val="en-US" w:eastAsia="en-GB"/>
        </w:rPr>
      </w:pPr>
      <w:r>
        <w:rPr>
          <w:noProof/>
          <w:lang w:val="en-US" w:eastAsia="en-GB"/>
        </w:rPr>
        <w:t xml:space="preserve">Note that the switching time is 13 </w:t>
      </w:r>
      <w:r w:rsidRPr="00A63C9A">
        <w:rPr>
          <w:rFonts w:ascii="Symbol" w:hAnsi="Symbol"/>
          <w:noProof/>
          <w:lang w:val="en-US" w:eastAsia="en-GB"/>
        </w:rPr>
        <w:t>m</w:t>
      </w:r>
      <w:r>
        <w:rPr>
          <w:noProof/>
          <w:lang w:val="en-US" w:eastAsia="en-GB"/>
        </w:rPr>
        <w:t>s for FR1, which is less than 1 symbol for all applicable SCS values. For HD-FDD Type A UE, two separate local oscillators are present and therefore the switching times above should be sufficient. Therefore, from RAN1 perspective, it is proposed to confirm the working assumption.</w:t>
      </w:r>
    </w:p>
    <w:p w14:paraId="6CFFDC47" w14:textId="29A6FFCF" w:rsidR="007C7BC0" w:rsidRDefault="007C7BC0" w:rsidP="007C7BC0">
      <w:pPr>
        <w:jc w:val="both"/>
        <w:rPr>
          <w:lang w:val="en-US"/>
        </w:rPr>
      </w:pPr>
      <w:r>
        <w:rPr>
          <w:b/>
          <w:bCs/>
          <w:noProof/>
          <w:lang w:val="en-US" w:eastAsia="en-GB"/>
        </w:rPr>
        <w:t xml:space="preserve">Proposal 1: From RAN1 perspective, confirm the working assumption to </w:t>
      </w:r>
      <w:r w:rsidRPr="007C7BC0">
        <w:rPr>
          <w:b/>
          <w:bCs/>
          <w:noProof/>
          <w:lang w:val="en-US" w:eastAsia="en-GB"/>
        </w:rPr>
        <w:t>reuse existing switching times for UE not capable of full duplex</w:t>
      </w:r>
      <w:r>
        <w:rPr>
          <w:b/>
          <w:bCs/>
          <w:noProof/>
          <w:lang w:val="en-US" w:eastAsia="en-GB"/>
        </w:rPr>
        <w:t xml:space="preserve"> (</w:t>
      </w:r>
      <w:r w:rsidRPr="007C7BC0">
        <w:rPr>
          <w:b/>
          <w:bCs/>
          <w:noProof/>
          <w:lang w:val="en-US" w:eastAsia="en-GB"/>
        </w:rPr>
        <w:t>Table 4.3.2-3</w:t>
      </w:r>
      <w:r>
        <w:rPr>
          <w:b/>
          <w:bCs/>
          <w:noProof/>
          <w:lang w:val="en-US" w:eastAsia="en-GB"/>
        </w:rPr>
        <w:t xml:space="preserve"> in 38.211) for half-duplex.</w:t>
      </w:r>
    </w:p>
    <w:p w14:paraId="0C64729D" w14:textId="4AB93FB0" w:rsidR="00FE3897" w:rsidRDefault="009E1F6D" w:rsidP="00FE3897">
      <w:pPr>
        <w:jc w:val="both"/>
        <w:rPr>
          <w:lang w:val="en-US"/>
        </w:rPr>
      </w:pPr>
      <w:r>
        <w:rPr>
          <w:lang w:val="en-US"/>
        </w:rPr>
        <w:t>Another pending issue is the switching positions. O</w:t>
      </w:r>
      <w:r w:rsidR="00FE3897">
        <w:rPr>
          <w:lang w:val="en-US"/>
        </w:rPr>
        <w:t>ne option is to reuse the following times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FE3897">
        <w:rPr>
          <w:lang w:val="en-US"/>
        </w:rP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FE3897">
        <w:rPr>
          <w:lang w:val="en-US"/>
        </w:rPr>
        <w:t xml:space="preserve">) from 38.211. </w:t>
      </w:r>
    </w:p>
    <w:p w14:paraId="048DA09E" w14:textId="77777777" w:rsidR="00FE3897" w:rsidRPr="0019164C" w:rsidRDefault="00FE3897" w:rsidP="00FE3897">
      <w:pPr>
        <w:pStyle w:val="ListParagraph"/>
        <w:numPr>
          <w:ilvl w:val="0"/>
          <w:numId w:val="31"/>
        </w:numPr>
      </w:pPr>
      <w:r w:rsidRPr="00CF3704">
        <w:t xml:space="preserve">A UE not capable of full-duplex communication </w:t>
      </w:r>
      <w:r w:rsidRPr="00FE54FE">
        <w:t xml:space="preserve">and not supporting simultaneous transmission and reception as </w:t>
      </w:r>
      <w:r>
        <w:t>defined</w:t>
      </w:r>
      <w:r w:rsidRPr="00FE54FE">
        <w:t xml:space="preserve"> by </w:t>
      </w:r>
      <w:r>
        <w:t xml:space="preserve">parameter </w:t>
      </w:r>
      <w:proofErr w:type="spellStart"/>
      <w:r w:rsidRPr="002F02DF">
        <w:rPr>
          <w:i/>
        </w:rPr>
        <w:t>simultaneousRxTxInterBandENDC</w:t>
      </w:r>
      <w:proofErr w:type="spellEnd"/>
      <w:r w:rsidRPr="002F02DF">
        <w:rPr>
          <w:i/>
        </w:rPr>
        <w:t xml:space="preserve">, </w:t>
      </w:r>
      <w:proofErr w:type="spellStart"/>
      <w:r w:rsidRPr="002F02DF">
        <w:rPr>
          <w:i/>
        </w:rPr>
        <w:t>simultaneousRxTxInterBandCA</w:t>
      </w:r>
      <w:proofErr w:type="spellEnd"/>
      <w:r w:rsidRPr="002F02DF">
        <w:rPr>
          <w:i/>
        </w:rPr>
        <w:t xml:space="preserve"> or </w:t>
      </w:r>
      <w:proofErr w:type="spellStart"/>
      <w:r w:rsidRPr="002F02DF">
        <w:rPr>
          <w:i/>
        </w:rPr>
        <w:t>simultaneousRxTxSUL</w:t>
      </w:r>
      <w:proofErr w:type="spellEnd"/>
      <w:r w:rsidRPr="00FE54FE">
        <w:t xml:space="preserve"> [10, TS 38.306]</w:t>
      </w:r>
      <w:r>
        <w:t xml:space="preserve"> among all cells within 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48578DFD" w14:textId="77777777" w:rsidR="00FE3897" w:rsidRDefault="00FE3897" w:rsidP="00FE3897">
      <w:pPr>
        <w:pStyle w:val="ListParagraph"/>
        <w:numPr>
          <w:ilvl w:val="0"/>
          <w:numId w:val="31"/>
        </w:numPr>
      </w:pPr>
      <w:r w:rsidRPr="0019164C">
        <w:t>A UE not capable of full-duplex communication</w:t>
      </w:r>
      <w:r w:rsidRPr="00FE54FE">
        <w:t xml:space="preserve"> and not supporting simultaneous transmission and reception as </w:t>
      </w:r>
      <w:r>
        <w:t>defin</w:t>
      </w:r>
      <w:r w:rsidRPr="00FE54FE">
        <w:t>ed by</w:t>
      </w:r>
      <w:r>
        <w:t xml:space="preserve"> parameter</w:t>
      </w:r>
      <w:r w:rsidRPr="00FE54FE">
        <w:t xml:space="preserve"> </w:t>
      </w:r>
      <w:proofErr w:type="spellStart"/>
      <w:r w:rsidRPr="002F02DF">
        <w:rPr>
          <w:i/>
        </w:rPr>
        <w:t>simultaneousRxTxInterBandENDC</w:t>
      </w:r>
      <w:proofErr w:type="spellEnd"/>
      <w:r>
        <w:t>,</w:t>
      </w:r>
      <w:r w:rsidRPr="00FE54FE">
        <w:t xml:space="preserve"> </w:t>
      </w:r>
      <w:proofErr w:type="spellStart"/>
      <w:r w:rsidRPr="002F02DF">
        <w:rPr>
          <w:i/>
        </w:rPr>
        <w:t>simultaneousRxTxInterBandCA</w:t>
      </w:r>
      <w:proofErr w:type="spellEnd"/>
      <w:r w:rsidRPr="00FE54FE">
        <w:t xml:space="preserve"> </w:t>
      </w:r>
      <w:r w:rsidRPr="002F02DF">
        <w:rPr>
          <w:i/>
        </w:rPr>
        <w:t xml:space="preserve">or </w:t>
      </w:r>
      <w:proofErr w:type="spellStart"/>
      <w:r w:rsidRPr="002F02DF">
        <w:rPr>
          <w:i/>
        </w:rPr>
        <w:t>simultaneousRxTxSUL</w:t>
      </w:r>
      <w:proofErr w:type="spellEnd"/>
      <w:r w:rsidRPr="00FE54FE">
        <w:t xml:space="preserve"> [10, TS 38.306]</w:t>
      </w:r>
      <w:r w:rsidRPr="0019164C">
        <w:t xml:space="preserve"> </w:t>
      </w:r>
      <w:r>
        <w:t>among</w:t>
      </w:r>
      <w:r w:rsidRPr="00BB3C9F">
        <w:t xml:space="preserve"> </w:t>
      </w:r>
      <w:r>
        <w:t>all cells within 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r w:rsidRPr="00BB3C9F">
        <w:t xml:space="preserve"> </w:t>
      </w:r>
    </w:p>
    <w:p w14:paraId="61EEEC6A" w14:textId="77777777" w:rsidR="00FE3897" w:rsidRDefault="00FE3897" w:rsidP="00FE3897">
      <w:pPr>
        <w:jc w:val="both"/>
        <w:rPr>
          <w:lang w:val="en-US"/>
        </w:rPr>
      </w:pPr>
      <w:r>
        <w:rPr>
          <w:lang w:val="en-US"/>
        </w:rPr>
        <w:t>The other option is to adopt the definition of Type A HD-FDD from LTE, namely –</w:t>
      </w:r>
    </w:p>
    <w:p w14:paraId="25F07F9E" w14:textId="77777777" w:rsidR="00FE3897" w:rsidRPr="002F02DF" w:rsidRDefault="00FE3897" w:rsidP="00FE3897">
      <w:pPr>
        <w:pStyle w:val="ListParagraph"/>
        <w:numPr>
          <w:ilvl w:val="0"/>
          <w:numId w:val="30"/>
        </w:numPr>
        <w:jc w:val="both"/>
        <w:rPr>
          <w:lang w:val="en-US"/>
        </w:rPr>
      </w:pPr>
      <w:r w:rsidRPr="002F02DF">
        <w:rPr>
          <w:lang w:val="en-US"/>
        </w:rPr>
        <w:t>For type A half-duplex FDD operation, a guard period is created by the UE by not receiving the last part of a downlink subframe immediately preceding an uplink subframe from the same UE</w:t>
      </w:r>
    </w:p>
    <w:p w14:paraId="1BA28563" w14:textId="432CBE03" w:rsidR="00555CAB" w:rsidRDefault="00555CAB" w:rsidP="00FE3897">
      <w:pPr>
        <w:jc w:val="both"/>
        <w:rPr>
          <w:noProof/>
          <w:lang w:val="en-US" w:eastAsia="en-GB"/>
        </w:rPr>
      </w:pPr>
      <w:r>
        <w:rPr>
          <w:noProof/>
          <w:lang w:val="en-US" w:eastAsia="en-GB"/>
        </w:rPr>
        <w:t xml:space="preserve">For the second option, the DL-to-UL guard time is created at the UE by ignoring the last symbol in the downlink subframe. There is no impact to the network transmission although the gNB may adjust the MCS to account for this. The UL-to-DL guard time is created by </w:t>
      </w:r>
      <w:r w:rsidR="005E5448">
        <w:rPr>
          <w:noProof/>
          <w:lang w:val="en-US" w:eastAsia="en-GB"/>
        </w:rPr>
        <w:t xml:space="preserve">configuring additional </w:t>
      </w:r>
      <w:r>
        <w:rPr>
          <w:noProof/>
          <w:lang w:val="en-US" w:eastAsia="en-GB"/>
        </w:rPr>
        <w:t xml:space="preserve">timing advance adjustment at the gNB. This is shown in </w:t>
      </w:r>
      <w:r w:rsidR="00615825">
        <w:rPr>
          <w:noProof/>
          <w:lang w:val="en-US" w:eastAsia="en-GB"/>
        </w:rPr>
        <w:fldChar w:fldCharType="begin"/>
      </w:r>
      <w:r w:rsidR="00615825">
        <w:rPr>
          <w:noProof/>
          <w:lang w:val="en-US" w:eastAsia="en-GB"/>
        </w:rPr>
        <w:instrText xml:space="preserve"> REF _Ref68003600 </w:instrText>
      </w:r>
      <w:r w:rsidR="00615825">
        <w:rPr>
          <w:noProof/>
          <w:lang w:val="en-US" w:eastAsia="en-GB"/>
        </w:rPr>
        <w:fldChar w:fldCharType="separate"/>
      </w:r>
      <w:r w:rsidR="000C2EE6">
        <w:t xml:space="preserve">Figure </w:t>
      </w:r>
      <w:r w:rsidR="000C2EE6">
        <w:rPr>
          <w:noProof/>
        </w:rPr>
        <w:t>1</w:t>
      </w:r>
      <w:r w:rsidR="00615825">
        <w:rPr>
          <w:noProof/>
          <w:lang w:val="en-US" w:eastAsia="en-GB"/>
        </w:rPr>
        <w:fldChar w:fldCharType="end"/>
      </w:r>
      <w:r w:rsidR="00615825">
        <w:rPr>
          <w:noProof/>
          <w:lang w:val="en-US" w:eastAsia="en-GB"/>
        </w:rPr>
        <w:t>.</w:t>
      </w:r>
    </w:p>
    <w:p w14:paraId="4AA68656" w14:textId="77777777" w:rsidR="00615825" w:rsidRDefault="00615825" w:rsidP="00615825">
      <w:pPr>
        <w:keepNext/>
        <w:jc w:val="center"/>
      </w:pPr>
      <w:r w:rsidRPr="00615825">
        <w:rPr>
          <w:noProof/>
        </w:rPr>
        <w:drawing>
          <wp:inline distT="0" distB="0" distL="0" distR="0" wp14:anchorId="5E47117F" wp14:editId="125A857E">
            <wp:extent cx="4429125" cy="180022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1800225"/>
                    </a:xfrm>
                    <a:prstGeom prst="rect">
                      <a:avLst/>
                    </a:prstGeom>
                    <a:noFill/>
                    <a:ln>
                      <a:noFill/>
                    </a:ln>
                  </pic:spPr>
                </pic:pic>
              </a:graphicData>
            </a:graphic>
          </wp:inline>
        </w:drawing>
      </w:r>
    </w:p>
    <w:p w14:paraId="60EC3220" w14:textId="1EAE2434" w:rsidR="00555CAB" w:rsidRPr="00615825" w:rsidRDefault="00615825" w:rsidP="00615825">
      <w:pPr>
        <w:pStyle w:val="Caption"/>
        <w:jc w:val="center"/>
        <w:rPr>
          <w:noProof/>
          <w:lang w:val="en-US" w:eastAsia="en-GB"/>
        </w:rPr>
      </w:pPr>
      <w:bookmarkStart w:id="12" w:name="_Ref68003600"/>
      <w:r>
        <w:t xml:space="preserve">Figure </w:t>
      </w:r>
      <w:r>
        <w:fldChar w:fldCharType="begin"/>
      </w:r>
      <w:r>
        <w:instrText xml:space="preserve"> SEQ Figure \* ARABIC </w:instrText>
      </w:r>
      <w:r>
        <w:fldChar w:fldCharType="separate"/>
      </w:r>
      <w:r w:rsidR="000C2EE6">
        <w:rPr>
          <w:noProof/>
        </w:rPr>
        <w:t>1</w:t>
      </w:r>
      <w:r>
        <w:fldChar w:fldCharType="end"/>
      </w:r>
      <w:bookmarkEnd w:id="12"/>
      <w:r>
        <w:rPr>
          <w:lang w:val="en-US"/>
        </w:rPr>
        <w:t>. HDD Type A guard times.</w:t>
      </w:r>
    </w:p>
    <w:p w14:paraId="165C9376" w14:textId="6DDFB21F" w:rsidR="00FE3897" w:rsidRPr="00607780" w:rsidRDefault="00FE3897" w:rsidP="00FE3897">
      <w:pPr>
        <w:jc w:val="both"/>
        <w:rPr>
          <w:noProof/>
          <w:lang w:val="en-US" w:eastAsia="en-GB"/>
        </w:rPr>
      </w:pPr>
      <w:r>
        <w:rPr>
          <w:noProof/>
          <w:lang w:val="en-US" w:eastAsia="en-GB"/>
        </w:rPr>
        <w:t xml:space="preserve">Our preference is to reuse the LTE definition for Type A HD-FDD where </w:t>
      </w:r>
      <w:r w:rsidR="00EE3153">
        <w:rPr>
          <w:noProof/>
          <w:lang w:val="en-US" w:eastAsia="en-GB"/>
        </w:rPr>
        <w:t>the</w:t>
      </w:r>
      <w:r>
        <w:rPr>
          <w:noProof/>
          <w:lang w:val="en-US" w:eastAsia="en-GB"/>
        </w:rPr>
        <w:t xml:space="preserve"> switching times are incorporated into the guard period</w:t>
      </w:r>
      <w:r w:rsidR="0059525A">
        <w:rPr>
          <w:noProof/>
          <w:lang w:val="en-US" w:eastAsia="en-GB"/>
        </w:rPr>
        <w:t xml:space="preserve"> in the downlink subframe </w:t>
      </w:r>
      <w:r w:rsidR="0059525A" w:rsidRPr="0059525A">
        <w:rPr>
          <w:noProof/>
          <w:lang w:val="en-US" w:eastAsia="en-GB"/>
        </w:rPr>
        <w:t>immediately preceding an uplink subframe from the same UE</w:t>
      </w:r>
      <w:r w:rsidR="00EE3153">
        <w:rPr>
          <w:noProof/>
          <w:lang w:val="en-US" w:eastAsia="en-GB"/>
        </w:rPr>
        <w:t xml:space="preserve"> and the timing advance adjustment by the gNB</w:t>
      </w:r>
      <w:r>
        <w:rPr>
          <w:noProof/>
          <w:lang w:val="en-US" w:eastAsia="en-GB"/>
        </w:rPr>
        <w:t>.</w:t>
      </w:r>
    </w:p>
    <w:p w14:paraId="7891DF25" w14:textId="1F06CBFA" w:rsidR="00FE3897" w:rsidRDefault="00FE3897" w:rsidP="00FE3897">
      <w:pPr>
        <w:jc w:val="both"/>
        <w:rPr>
          <w:lang w:val="en-US"/>
        </w:rPr>
      </w:pPr>
      <w:r>
        <w:rPr>
          <w:b/>
          <w:bCs/>
          <w:noProof/>
          <w:lang w:val="en-US" w:eastAsia="en-GB"/>
        </w:rPr>
        <w:t xml:space="preserve">Proposal </w:t>
      </w:r>
      <w:r w:rsidR="00615825">
        <w:rPr>
          <w:b/>
          <w:bCs/>
          <w:noProof/>
          <w:lang w:val="en-US" w:eastAsia="en-GB"/>
        </w:rPr>
        <w:t>2</w:t>
      </w:r>
      <w:r>
        <w:rPr>
          <w:b/>
          <w:bCs/>
          <w:noProof/>
          <w:lang w:val="en-US" w:eastAsia="en-GB"/>
        </w:rPr>
        <w:t xml:space="preserve">: </w:t>
      </w:r>
      <w:r w:rsidRPr="00607780">
        <w:rPr>
          <w:b/>
          <w:bCs/>
          <w:noProof/>
          <w:lang w:val="en-US" w:eastAsia="en-GB"/>
        </w:rPr>
        <w:t xml:space="preserve">For half-duplex FDD operation, a guard period is created by the UE by not receiving the last part of a downlink subframe </w:t>
      </w:r>
      <w:bookmarkStart w:id="13" w:name="_Hlk67996128"/>
      <w:r w:rsidRPr="00607780">
        <w:rPr>
          <w:b/>
          <w:bCs/>
          <w:noProof/>
          <w:lang w:val="en-US" w:eastAsia="en-GB"/>
        </w:rPr>
        <w:t>immediately preceding an uplink subframe from the same UE</w:t>
      </w:r>
      <w:bookmarkEnd w:id="13"/>
      <w:r>
        <w:rPr>
          <w:b/>
          <w:bCs/>
          <w:noProof/>
          <w:lang w:val="en-US" w:eastAsia="en-GB"/>
        </w:rPr>
        <w:t>.</w:t>
      </w:r>
    </w:p>
    <w:p w14:paraId="29A851B5" w14:textId="6DF1352F" w:rsidR="00555CAB" w:rsidRDefault="00555CAB" w:rsidP="00555CAB">
      <w:pPr>
        <w:jc w:val="both"/>
      </w:pPr>
      <w:r>
        <w:rPr>
          <w:lang w:val="en-US"/>
        </w:rPr>
        <w:t>One issue is</w:t>
      </w:r>
      <w:r>
        <w:t xml:space="preserve"> whether to define the guard times in symbol units. Based on the above proposal, it is seen that there is no need to define guard times in </w:t>
      </w:r>
      <w:r w:rsidR="00615825">
        <w:t>symbol units</w:t>
      </w:r>
      <w:r>
        <w:rPr>
          <w:lang w:val="en-US"/>
        </w:rPr>
        <w:t>.</w:t>
      </w:r>
      <w:r>
        <w:t xml:space="preserve"> </w:t>
      </w:r>
    </w:p>
    <w:p w14:paraId="39535AAE" w14:textId="481A483B" w:rsidR="00555CAB" w:rsidRPr="004D1103" w:rsidRDefault="00555CAB" w:rsidP="00555CAB">
      <w:pPr>
        <w:jc w:val="both"/>
        <w:rPr>
          <w:b/>
          <w:bCs/>
          <w:noProof/>
          <w:lang w:val="en-US" w:eastAsia="en-GB"/>
        </w:rPr>
      </w:pPr>
      <w:r w:rsidRPr="004D1103">
        <w:rPr>
          <w:b/>
          <w:bCs/>
          <w:noProof/>
          <w:lang w:val="en-US" w:eastAsia="en-GB"/>
        </w:rPr>
        <w:t xml:space="preserve">Proposal </w:t>
      </w:r>
      <w:r w:rsidR="00615825">
        <w:rPr>
          <w:b/>
          <w:bCs/>
          <w:noProof/>
          <w:lang w:val="en-US" w:eastAsia="en-GB"/>
        </w:rPr>
        <w:t>3</w:t>
      </w:r>
      <w:r w:rsidRPr="004D1103">
        <w:rPr>
          <w:b/>
          <w:bCs/>
          <w:noProof/>
          <w:lang w:val="en-US" w:eastAsia="en-GB"/>
        </w:rPr>
        <w:t xml:space="preserve">: </w:t>
      </w:r>
      <w:r>
        <w:rPr>
          <w:b/>
          <w:bCs/>
          <w:noProof/>
          <w:lang w:val="en-US" w:eastAsia="en-GB"/>
        </w:rPr>
        <w:t>There is no need to define guard times</w:t>
      </w:r>
      <w:r w:rsidR="00615825">
        <w:rPr>
          <w:b/>
          <w:bCs/>
          <w:noProof/>
          <w:lang w:val="en-US" w:eastAsia="en-GB"/>
        </w:rPr>
        <w:t xml:space="preserve"> in symbol units</w:t>
      </w:r>
      <w:r w:rsidRPr="004D1103">
        <w:rPr>
          <w:b/>
          <w:bCs/>
          <w:noProof/>
          <w:lang w:val="en-US" w:eastAsia="en-GB"/>
        </w:rPr>
        <w:t>.</w:t>
      </w:r>
    </w:p>
    <w:p w14:paraId="5443F1A3" w14:textId="2FB7954A" w:rsidR="009F404C" w:rsidRDefault="00FE3897" w:rsidP="00FE3897">
      <w:pPr>
        <w:jc w:val="both"/>
        <w:rPr>
          <w:lang w:val="en-US"/>
        </w:rPr>
      </w:pPr>
      <w:r>
        <w:rPr>
          <w:lang w:val="en-US"/>
        </w:rPr>
        <w:t xml:space="preserve">In half-duplex operation, the UE is always monitoring the downlink channel unless directed by the network to transmit something in the uplink. For collision handling, </w:t>
      </w:r>
      <w:r w:rsidR="009F404C">
        <w:rPr>
          <w:lang w:val="en-US"/>
        </w:rPr>
        <w:t xml:space="preserve">it has been agreed that, </w:t>
      </w:r>
      <w:r w:rsidR="009F404C" w:rsidRPr="009F404C">
        <w:rPr>
          <w:lang w:val="en-US"/>
        </w:rPr>
        <w:t>for cases (if any) where collision handling needs to be specified, then the existing collision handling principles in Rel-15/16 NR for operation on a single carrier /single cell in unpaired spectrum are used as a starting point if deemed applicable</w:t>
      </w:r>
      <w:r w:rsidR="009F404C">
        <w:rPr>
          <w:lang w:val="en-US"/>
        </w:rPr>
        <w:t>. In RAN1#104e, t</w:t>
      </w:r>
      <w:r w:rsidR="009F404C" w:rsidRPr="009F404C">
        <w:rPr>
          <w:lang w:val="en-US"/>
        </w:rPr>
        <w:t>he following cases of potential collisions can be further studied to see if any change to the current specs is necessary</w:t>
      </w:r>
      <w:r w:rsidR="009F404C">
        <w:rPr>
          <w:lang w:val="en-US"/>
        </w:rPr>
        <w:t xml:space="preserve">. It was also noted that </w:t>
      </w:r>
      <w:r w:rsidR="009F404C" w:rsidRPr="009F404C">
        <w:rPr>
          <w:lang w:val="en-US"/>
        </w:rPr>
        <w:t>collisions may be addressed or alleviated with proper scheduling</w:t>
      </w:r>
      <w:r w:rsidR="009F404C">
        <w:rPr>
          <w:lang w:val="en-US"/>
        </w:rPr>
        <w:t>.</w:t>
      </w:r>
    </w:p>
    <w:p w14:paraId="25757FE6" w14:textId="6629402F" w:rsidR="003426CD" w:rsidRPr="003426CD" w:rsidRDefault="003426CD" w:rsidP="003426CD">
      <w:pPr>
        <w:pStyle w:val="Caption"/>
        <w:keepNext/>
        <w:jc w:val="center"/>
        <w:rPr>
          <w:lang w:val="en-US"/>
        </w:rPr>
      </w:pPr>
      <w:bookmarkStart w:id="14" w:name="_Ref68005444"/>
      <w:r>
        <w:t xml:space="preserve">Table </w:t>
      </w:r>
      <w:r>
        <w:fldChar w:fldCharType="begin"/>
      </w:r>
      <w:r>
        <w:instrText xml:space="preserve"> SEQ Table \* ARABIC </w:instrText>
      </w:r>
      <w:r>
        <w:fldChar w:fldCharType="separate"/>
      </w:r>
      <w:r w:rsidR="000C2EE6">
        <w:rPr>
          <w:noProof/>
        </w:rPr>
        <w:t>2</w:t>
      </w:r>
      <w:r>
        <w:fldChar w:fldCharType="end"/>
      </w:r>
      <w:bookmarkEnd w:id="14"/>
      <w:r>
        <w:rPr>
          <w:lang w:val="en-US"/>
        </w:rPr>
        <w:t>. Summary of potential collision cases.</w:t>
      </w:r>
    </w:p>
    <w:tbl>
      <w:tblPr>
        <w:tblStyle w:val="TableGrid"/>
        <w:tblW w:w="0" w:type="auto"/>
        <w:jc w:val="center"/>
        <w:tblCellMar>
          <w:left w:w="28" w:type="dxa"/>
          <w:right w:w="28" w:type="dxa"/>
        </w:tblCellMar>
        <w:tblLook w:val="04A0" w:firstRow="1" w:lastRow="0" w:firstColumn="1" w:lastColumn="0" w:noHBand="0" w:noVBand="1"/>
      </w:tblPr>
      <w:tblGrid>
        <w:gridCol w:w="468"/>
        <w:gridCol w:w="3780"/>
        <w:gridCol w:w="3260"/>
        <w:gridCol w:w="2317"/>
      </w:tblGrid>
      <w:tr w:rsidR="009F404C" w14:paraId="55A351B6" w14:textId="30EA8603" w:rsidTr="00CE6544">
        <w:trPr>
          <w:jc w:val="center"/>
        </w:trPr>
        <w:tc>
          <w:tcPr>
            <w:tcW w:w="468" w:type="dxa"/>
            <w:shd w:val="clear" w:color="auto" w:fill="D9D9D9" w:themeFill="background1" w:themeFillShade="D9"/>
            <w:vAlign w:val="center"/>
          </w:tcPr>
          <w:p w14:paraId="24D5C1FF" w14:textId="4A191991" w:rsidR="009F404C" w:rsidRDefault="009F404C" w:rsidP="00693899">
            <w:pPr>
              <w:spacing w:before="120" w:after="120"/>
              <w:jc w:val="center"/>
              <w:rPr>
                <w:lang w:val="en-US"/>
              </w:rPr>
            </w:pPr>
            <w:r>
              <w:rPr>
                <w:lang w:val="en-US"/>
              </w:rPr>
              <w:t>Case</w:t>
            </w:r>
          </w:p>
        </w:tc>
        <w:tc>
          <w:tcPr>
            <w:tcW w:w="3780" w:type="dxa"/>
            <w:shd w:val="clear" w:color="auto" w:fill="D9D9D9" w:themeFill="background1" w:themeFillShade="D9"/>
            <w:vAlign w:val="center"/>
          </w:tcPr>
          <w:p w14:paraId="37800B02" w14:textId="20BF458D" w:rsidR="009F404C" w:rsidRDefault="009F404C" w:rsidP="00693899">
            <w:pPr>
              <w:spacing w:before="120" w:after="120"/>
              <w:jc w:val="center"/>
              <w:rPr>
                <w:lang w:val="en-US"/>
              </w:rPr>
            </w:pPr>
            <w:r>
              <w:rPr>
                <w:lang w:val="en-US"/>
              </w:rPr>
              <w:t>Collision</w:t>
            </w:r>
          </w:p>
        </w:tc>
        <w:tc>
          <w:tcPr>
            <w:tcW w:w="3260" w:type="dxa"/>
            <w:shd w:val="clear" w:color="auto" w:fill="D9D9D9" w:themeFill="background1" w:themeFillShade="D9"/>
            <w:vAlign w:val="center"/>
          </w:tcPr>
          <w:p w14:paraId="46332E7B" w14:textId="68720354" w:rsidR="009F404C" w:rsidRDefault="009F404C" w:rsidP="00693899">
            <w:pPr>
              <w:spacing w:before="120" w:after="120"/>
              <w:jc w:val="center"/>
              <w:rPr>
                <w:lang w:val="en-US"/>
              </w:rPr>
            </w:pPr>
            <w:r>
              <w:rPr>
                <w:lang w:val="en-US"/>
              </w:rPr>
              <w:t>Analysis</w:t>
            </w:r>
          </w:p>
        </w:tc>
        <w:tc>
          <w:tcPr>
            <w:tcW w:w="2317" w:type="dxa"/>
            <w:shd w:val="clear" w:color="auto" w:fill="D9D9D9" w:themeFill="background1" w:themeFillShade="D9"/>
          </w:tcPr>
          <w:p w14:paraId="3023EB58" w14:textId="021B2058" w:rsidR="009F404C" w:rsidRDefault="009F404C" w:rsidP="00693899">
            <w:pPr>
              <w:spacing w:before="120" w:after="120"/>
              <w:jc w:val="center"/>
              <w:rPr>
                <w:lang w:val="en-US"/>
              </w:rPr>
            </w:pPr>
            <w:r>
              <w:rPr>
                <w:lang w:val="en-US"/>
              </w:rPr>
              <w:t>Conclusion</w:t>
            </w:r>
          </w:p>
        </w:tc>
      </w:tr>
      <w:tr w:rsidR="009F404C" w14:paraId="27103715" w14:textId="6D086908" w:rsidTr="00CE6544">
        <w:trPr>
          <w:jc w:val="center"/>
        </w:trPr>
        <w:tc>
          <w:tcPr>
            <w:tcW w:w="468" w:type="dxa"/>
            <w:vAlign w:val="center"/>
          </w:tcPr>
          <w:p w14:paraId="7582878F" w14:textId="21B270D1" w:rsidR="009F404C" w:rsidRDefault="009F404C" w:rsidP="00CE6544">
            <w:pPr>
              <w:spacing w:before="120" w:after="120"/>
              <w:jc w:val="center"/>
              <w:rPr>
                <w:lang w:val="en-US"/>
              </w:rPr>
            </w:pPr>
            <w:r>
              <w:rPr>
                <w:lang w:val="en-US"/>
              </w:rPr>
              <w:t>1</w:t>
            </w:r>
          </w:p>
        </w:tc>
        <w:tc>
          <w:tcPr>
            <w:tcW w:w="3780" w:type="dxa"/>
            <w:vAlign w:val="center"/>
          </w:tcPr>
          <w:p w14:paraId="2B976DFD" w14:textId="31AA04D9" w:rsidR="009F404C" w:rsidRDefault="009F404C" w:rsidP="00CE6544">
            <w:pPr>
              <w:spacing w:before="120" w:after="120"/>
              <w:ind w:left="73"/>
              <w:rPr>
                <w:lang w:val="en-US"/>
              </w:rPr>
            </w:pPr>
            <w:r w:rsidRPr="00693899">
              <w:rPr>
                <w:lang w:val="en-US"/>
              </w:rPr>
              <w:t>Dynamically scheduled DL reception vs. semi-statically configured UL transmission</w:t>
            </w:r>
            <w:r>
              <w:rPr>
                <w:lang w:val="en-US"/>
              </w:rPr>
              <w:t xml:space="preserve">, </w:t>
            </w:r>
            <w:r w:rsidRPr="00693899">
              <w:rPr>
                <w:lang w:val="en-US"/>
              </w:rPr>
              <w:t>e.g., dynamic PDSCH or CSI-RS collides with configured SRS, PUCCH, or CG PUSCH</w:t>
            </w:r>
          </w:p>
        </w:tc>
        <w:tc>
          <w:tcPr>
            <w:tcW w:w="3260" w:type="dxa"/>
            <w:vAlign w:val="center"/>
          </w:tcPr>
          <w:p w14:paraId="6B635242" w14:textId="7D92175A" w:rsidR="009F404C" w:rsidRDefault="009867F7" w:rsidP="00CE6544">
            <w:pPr>
              <w:spacing w:before="120" w:after="120"/>
              <w:rPr>
                <w:lang w:val="en-US"/>
              </w:rPr>
            </w:pPr>
            <w:r>
              <w:rPr>
                <w:lang w:val="en-US"/>
              </w:rPr>
              <w:t xml:space="preserve">In this case, the gNB should have the ability to override semi-statically configured UL transmission with dynamically scheduled PDSCH </w:t>
            </w:r>
          </w:p>
        </w:tc>
        <w:tc>
          <w:tcPr>
            <w:tcW w:w="2317" w:type="dxa"/>
            <w:vAlign w:val="center"/>
          </w:tcPr>
          <w:p w14:paraId="76B23E7B" w14:textId="69EA0D8B" w:rsidR="009F404C" w:rsidRDefault="00CE6544" w:rsidP="00CE6544">
            <w:pPr>
              <w:spacing w:before="120" w:after="120"/>
              <w:rPr>
                <w:lang w:val="en-US"/>
              </w:rPr>
            </w:pPr>
            <w:r>
              <w:rPr>
                <w:lang w:val="en-US"/>
              </w:rPr>
              <w:t xml:space="preserve">Define rule - </w:t>
            </w:r>
            <w:r w:rsidR="00EC63C2">
              <w:rPr>
                <w:lang w:val="en-US"/>
              </w:rPr>
              <w:t xml:space="preserve">Dynamic scheduled </w:t>
            </w:r>
            <w:r>
              <w:rPr>
                <w:lang w:val="en-US"/>
              </w:rPr>
              <w:t>DL reception</w:t>
            </w:r>
            <w:r w:rsidR="00EC63C2">
              <w:rPr>
                <w:lang w:val="en-US"/>
              </w:rPr>
              <w:t xml:space="preserve"> is prioritized over semi-statically configured UL transmission</w:t>
            </w:r>
          </w:p>
        </w:tc>
      </w:tr>
      <w:tr w:rsidR="009F404C" w14:paraId="76EFFDCE" w14:textId="2F13E826" w:rsidTr="00CE6544">
        <w:trPr>
          <w:jc w:val="center"/>
        </w:trPr>
        <w:tc>
          <w:tcPr>
            <w:tcW w:w="468" w:type="dxa"/>
            <w:vAlign w:val="center"/>
          </w:tcPr>
          <w:p w14:paraId="341DEEB5" w14:textId="559EB806" w:rsidR="009F404C" w:rsidRDefault="009F404C" w:rsidP="00CE6544">
            <w:pPr>
              <w:spacing w:before="120" w:after="120"/>
              <w:jc w:val="center"/>
              <w:rPr>
                <w:lang w:val="en-US"/>
              </w:rPr>
            </w:pPr>
            <w:r>
              <w:rPr>
                <w:lang w:val="en-US"/>
              </w:rPr>
              <w:t>2</w:t>
            </w:r>
          </w:p>
        </w:tc>
        <w:tc>
          <w:tcPr>
            <w:tcW w:w="3780" w:type="dxa"/>
            <w:vAlign w:val="center"/>
          </w:tcPr>
          <w:p w14:paraId="7B5B5391" w14:textId="0469B7FD" w:rsidR="009F404C" w:rsidRDefault="009F404C" w:rsidP="00CE6544">
            <w:pPr>
              <w:spacing w:before="120" w:after="120"/>
              <w:ind w:left="73"/>
              <w:rPr>
                <w:lang w:val="en-US"/>
              </w:rPr>
            </w:pPr>
            <w:r w:rsidRPr="00693899">
              <w:rPr>
                <w:lang w:val="en-US"/>
              </w:rPr>
              <w:t>Semi-statically configured DL reception vs. dynamically scheduled UL transmission</w:t>
            </w:r>
            <w:r>
              <w:rPr>
                <w:lang w:val="en-US"/>
              </w:rPr>
              <w:t xml:space="preserve">, </w:t>
            </w:r>
            <w:r w:rsidRPr="00693899">
              <w:rPr>
                <w:lang w:val="en-US"/>
              </w:rPr>
              <w:t>e.g., PDCCH or SPS PDSCH collides with dynamic PUSCH or PUCCH</w:t>
            </w:r>
          </w:p>
        </w:tc>
        <w:tc>
          <w:tcPr>
            <w:tcW w:w="3260" w:type="dxa"/>
            <w:vAlign w:val="center"/>
          </w:tcPr>
          <w:p w14:paraId="79A1DC41" w14:textId="067CD207" w:rsidR="009F404C" w:rsidRDefault="00CE6544" w:rsidP="00CE6544">
            <w:pPr>
              <w:spacing w:before="120" w:after="120"/>
              <w:rPr>
                <w:lang w:val="en-US"/>
              </w:rPr>
            </w:pPr>
            <w:r>
              <w:rPr>
                <w:lang w:val="en-US"/>
              </w:rPr>
              <w:t>In this case, the gNB should have the ability to override semi-statically configured DL reception with dynamically scheduled UL transmission</w:t>
            </w:r>
          </w:p>
        </w:tc>
        <w:tc>
          <w:tcPr>
            <w:tcW w:w="2317" w:type="dxa"/>
            <w:vAlign w:val="center"/>
          </w:tcPr>
          <w:p w14:paraId="29BDD033" w14:textId="24244C52" w:rsidR="009F404C" w:rsidRDefault="00CE6544" w:rsidP="00CE6544">
            <w:pPr>
              <w:spacing w:before="120" w:after="120"/>
              <w:rPr>
                <w:lang w:val="en-US"/>
              </w:rPr>
            </w:pPr>
            <w:r>
              <w:rPr>
                <w:lang w:val="en-US"/>
              </w:rPr>
              <w:t>Define rule - Dynamic scheduled UL transmission is prioritized over semi-statically configured DL reception</w:t>
            </w:r>
          </w:p>
        </w:tc>
      </w:tr>
      <w:tr w:rsidR="009F404C" w14:paraId="0219C7D6" w14:textId="71E8F88F" w:rsidTr="00CE6544">
        <w:trPr>
          <w:jc w:val="center"/>
        </w:trPr>
        <w:tc>
          <w:tcPr>
            <w:tcW w:w="468" w:type="dxa"/>
            <w:vAlign w:val="center"/>
          </w:tcPr>
          <w:p w14:paraId="6FE8CDA8" w14:textId="4506B491" w:rsidR="009F404C" w:rsidRDefault="009F404C" w:rsidP="00CE6544">
            <w:pPr>
              <w:spacing w:before="120" w:after="120"/>
              <w:jc w:val="center"/>
              <w:rPr>
                <w:lang w:val="en-US"/>
              </w:rPr>
            </w:pPr>
            <w:r>
              <w:rPr>
                <w:lang w:val="en-US"/>
              </w:rPr>
              <w:t>3</w:t>
            </w:r>
          </w:p>
        </w:tc>
        <w:tc>
          <w:tcPr>
            <w:tcW w:w="3780" w:type="dxa"/>
            <w:vAlign w:val="center"/>
          </w:tcPr>
          <w:p w14:paraId="51268FC1" w14:textId="4B99F5E0" w:rsidR="009F404C" w:rsidRDefault="009F404C" w:rsidP="00CE6544">
            <w:pPr>
              <w:spacing w:before="120" w:after="120"/>
              <w:ind w:left="73"/>
              <w:rPr>
                <w:lang w:val="en-US"/>
              </w:rPr>
            </w:pPr>
            <w:r w:rsidRPr="00B52510">
              <w:t>Semi-statically configured DL reception vs. semi-statically configured UL transmission </w:t>
            </w:r>
          </w:p>
        </w:tc>
        <w:tc>
          <w:tcPr>
            <w:tcW w:w="3260" w:type="dxa"/>
            <w:vAlign w:val="center"/>
          </w:tcPr>
          <w:p w14:paraId="4F65C457" w14:textId="6EC8B563" w:rsidR="009F404C" w:rsidRDefault="00CE6544" w:rsidP="00CE6544">
            <w:pPr>
              <w:spacing w:before="120" w:after="120"/>
              <w:rPr>
                <w:lang w:val="en-US"/>
              </w:rPr>
            </w:pPr>
            <w:r>
              <w:rPr>
                <w:lang w:val="en-US"/>
              </w:rPr>
              <w:t>This should be up to gNB scheduler to avoid by proper configuration</w:t>
            </w:r>
          </w:p>
        </w:tc>
        <w:tc>
          <w:tcPr>
            <w:tcW w:w="2317" w:type="dxa"/>
            <w:vAlign w:val="center"/>
          </w:tcPr>
          <w:p w14:paraId="11948375" w14:textId="45CA60F9" w:rsidR="009F404C" w:rsidRDefault="00CE6544" w:rsidP="00CE6544">
            <w:pPr>
              <w:spacing w:before="120" w:after="120"/>
              <w:rPr>
                <w:lang w:val="en-US"/>
              </w:rPr>
            </w:pPr>
            <w:r>
              <w:rPr>
                <w:lang w:val="en-US"/>
              </w:rPr>
              <w:t xml:space="preserve">Up to gNB </w:t>
            </w:r>
            <w:r w:rsidR="004B5A20">
              <w:rPr>
                <w:lang w:val="en-US"/>
              </w:rPr>
              <w:t>implementation</w:t>
            </w:r>
            <w:r>
              <w:rPr>
                <w:lang w:val="en-US"/>
              </w:rPr>
              <w:t xml:space="preserve"> to avoid, no rule needed</w:t>
            </w:r>
          </w:p>
        </w:tc>
      </w:tr>
      <w:tr w:rsidR="009F404C" w14:paraId="1F1B4E2B" w14:textId="0983DC93" w:rsidTr="00CE6544">
        <w:trPr>
          <w:jc w:val="center"/>
        </w:trPr>
        <w:tc>
          <w:tcPr>
            <w:tcW w:w="468" w:type="dxa"/>
            <w:vAlign w:val="center"/>
          </w:tcPr>
          <w:p w14:paraId="32141730" w14:textId="2D49F837" w:rsidR="009F404C" w:rsidRDefault="009F404C" w:rsidP="00CE6544">
            <w:pPr>
              <w:spacing w:before="120" w:after="120"/>
              <w:jc w:val="center"/>
              <w:rPr>
                <w:lang w:val="en-US"/>
              </w:rPr>
            </w:pPr>
            <w:r>
              <w:rPr>
                <w:lang w:val="en-US"/>
              </w:rPr>
              <w:t>4</w:t>
            </w:r>
          </w:p>
        </w:tc>
        <w:tc>
          <w:tcPr>
            <w:tcW w:w="3780" w:type="dxa"/>
            <w:vAlign w:val="center"/>
          </w:tcPr>
          <w:p w14:paraId="47CA59FE" w14:textId="706B3780" w:rsidR="009F404C" w:rsidRDefault="009F404C" w:rsidP="00CE6544">
            <w:pPr>
              <w:spacing w:before="120" w:after="120"/>
              <w:ind w:left="73"/>
              <w:rPr>
                <w:lang w:val="en-US"/>
              </w:rPr>
            </w:pPr>
            <w:r w:rsidRPr="00B52510">
              <w:t>Dynamically scheduled DL reception vs. dynamic scheduled UL transmission</w:t>
            </w:r>
          </w:p>
        </w:tc>
        <w:tc>
          <w:tcPr>
            <w:tcW w:w="3260" w:type="dxa"/>
            <w:vAlign w:val="center"/>
          </w:tcPr>
          <w:p w14:paraId="38EB2FAE" w14:textId="2CFF7754" w:rsidR="009F404C" w:rsidRDefault="0056176D" w:rsidP="00CE6544">
            <w:pPr>
              <w:spacing w:before="120" w:after="120"/>
              <w:rPr>
                <w:lang w:val="en-US"/>
              </w:rPr>
            </w:pPr>
            <w:r>
              <w:rPr>
                <w:lang w:val="en-US"/>
              </w:rPr>
              <w:t>This case is unlikely to happen and it should be up to gNB scheduler to avoid this collision</w:t>
            </w:r>
          </w:p>
        </w:tc>
        <w:tc>
          <w:tcPr>
            <w:tcW w:w="2317" w:type="dxa"/>
            <w:vAlign w:val="center"/>
          </w:tcPr>
          <w:p w14:paraId="22B1A84E" w14:textId="1EB08A84" w:rsidR="009F404C" w:rsidRDefault="004B5A20" w:rsidP="00CE6544">
            <w:pPr>
              <w:spacing w:before="120" w:after="120"/>
              <w:rPr>
                <w:lang w:val="en-US"/>
              </w:rPr>
            </w:pPr>
            <w:r>
              <w:rPr>
                <w:lang w:val="en-US"/>
              </w:rPr>
              <w:t>Up to gNB implementation to avoid, no rule needed</w:t>
            </w:r>
          </w:p>
        </w:tc>
      </w:tr>
      <w:tr w:rsidR="009F404C" w14:paraId="58DF9184" w14:textId="149274F5" w:rsidTr="00CE6544">
        <w:trPr>
          <w:jc w:val="center"/>
        </w:trPr>
        <w:tc>
          <w:tcPr>
            <w:tcW w:w="468" w:type="dxa"/>
            <w:vAlign w:val="center"/>
          </w:tcPr>
          <w:p w14:paraId="75929565" w14:textId="09C43225" w:rsidR="009F404C" w:rsidRDefault="009F404C" w:rsidP="00CE6544">
            <w:pPr>
              <w:spacing w:before="120" w:after="120"/>
              <w:jc w:val="center"/>
              <w:rPr>
                <w:lang w:val="en-US"/>
              </w:rPr>
            </w:pPr>
            <w:r>
              <w:rPr>
                <w:lang w:val="en-US"/>
              </w:rPr>
              <w:t>5</w:t>
            </w:r>
          </w:p>
        </w:tc>
        <w:tc>
          <w:tcPr>
            <w:tcW w:w="3780" w:type="dxa"/>
            <w:vAlign w:val="center"/>
          </w:tcPr>
          <w:p w14:paraId="137A325D" w14:textId="03A5A0D4" w:rsidR="009F404C" w:rsidRDefault="009F404C" w:rsidP="00CE6544">
            <w:pPr>
              <w:spacing w:before="120" w:after="120"/>
              <w:ind w:left="73"/>
              <w:rPr>
                <w:lang w:val="en-US"/>
              </w:rPr>
            </w:pPr>
            <w:r w:rsidRPr="00693899">
              <w:rPr>
                <w:lang w:val="en-US"/>
              </w:rPr>
              <w:t>Configured SSB vs. dynamically scheduled or configured UL transmission</w:t>
            </w:r>
            <w:r>
              <w:rPr>
                <w:lang w:val="en-US"/>
              </w:rPr>
              <w:t xml:space="preserve">, </w:t>
            </w:r>
            <w:r w:rsidRPr="00693899">
              <w:rPr>
                <w:lang w:val="en-US"/>
              </w:rPr>
              <w:t>e.g., PUSCH, PUCCH, PRACH, SRS</w:t>
            </w:r>
          </w:p>
        </w:tc>
        <w:tc>
          <w:tcPr>
            <w:tcW w:w="3260" w:type="dxa"/>
            <w:vAlign w:val="center"/>
          </w:tcPr>
          <w:p w14:paraId="51EAD833" w14:textId="5B20EC14" w:rsidR="009F404C" w:rsidRDefault="003426CD" w:rsidP="00CE6544">
            <w:pPr>
              <w:spacing w:before="120" w:after="120"/>
              <w:rPr>
                <w:lang w:val="en-US"/>
              </w:rPr>
            </w:pPr>
            <w:r>
              <w:rPr>
                <w:lang w:val="en-US"/>
              </w:rPr>
              <w:t>This collision can be avoided by the gNB.</w:t>
            </w:r>
          </w:p>
        </w:tc>
        <w:tc>
          <w:tcPr>
            <w:tcW w:w="2317" w:type="dxa"/>
            <w:vAlign w:val="center"/>
          </w:tcPr>
          <w:p w14:paraId="519D8C75" w14:textId="2E59833C" w:rsidR="009F404C" w:rsidRDefault="004B5A20" w:rsidP="00CE6544">
            <w:pPr>
              <w:spacing w:before="120" w:after="120"/>
              <w:rPr>
                <w:lang w:val="en-US"/>
              </w:rPr>
            </w:pPr>
            <w:r>
              <w:rPr>
                <w:lang w:val="en-US"/>
              </w:rPr>
              <w:t>Up to gNB implementation to avoid, no rule needed</w:t>
            </w:r>
          </w:p>
        </w:tc>
      </w:tr>
      <w:tr w:rsidR="009F404C" w14:paraId="32FB4FC0" w14:textId="242239D9" w:rsidTr="00CE6544">
        <w:trPr>
          <w:jc w:val="center"/>
        </w:trPr>
        <w:tc>
          <w:tcPr>
            <w:tcW w:w="468" w:type="dxa"/>
            <w:vAlign w:val="center"/>
          </w:tcPr>
          <w:p w14:paraId="13DE5384" w14:textId="46C478F4" w:rsidR="009F404C" w:rsidRDefault="009F404C" w:rsidP="00CE6544">
            <w:pPr>
              <w:spacing w:before="120" w:after="120"/>
              <w:jc w:val="center"/>
              <w:rPr>
                <w:lang w:val="en-US"/>
              </w:rPr>
            </w:pPr>
            <w:r>
              <w:rPr>
                <w:lang w:val="en-US"/>
              </w:rPr>
              <w:t>8</w:t>
            </w:r>
          </w:p>
        </w:tc>
        <w:tc>
          <w:tcPr>
            <w:tcW w:w="3780" w:type="dxa"/>
            <w:vAlign w:val="center"/>
          </w:tcPr>
          <w:p w14:paraId="5336AB45" w14:textId="33F24DCE" w:rsidR="009F404C" w:rsidRDefault="009F404C" w:rsidP="00CE6544">
            <w:pPr>
              <w:spacing w:before="120" w:after="120"/>
              <w:ind w:left="73"/>
              <w:rPr>
                <w:lang w:val="en-US"/>
              </w:rPr>
            </w:pPr>
            <w:r w:rsidRPr="00B52510">
              <w:t>Dynamic or semi-static DL vs. valid RO</w:t>
            </w:r>
          </w:p>
        </w:tc>
        <w:tc>
          <w:tcPr>
            <w:tcW w:w="3260" w:type="dxa"/>
            <w:vAlign w:val="center"/>
          </w:tcPr>
          <w:p w14:paraId="7355585F" w14:textId="08520E14" w:rsidR="009F404C" w:rsidRDefault="003426CD" w:rsidP="00CE6544">
            <w:pPr>
              <w:spacing w:before="120" w:after="120"/>
              <w:rPr>
                <w:lang w:val="en-US"/>
              </w:rPr>
            </w:pPr>
            <w:r>
              <w:rPr>
                <w:lang w:val="en-US"/>
              </w:rPr>
              <w:t>UE may need to transmit the PRACH in case of PDCCH order. However, this situation is under the gNB control and can be avoided via implementation.</w:t>
            </w:r>
          </w:p>
        </w:tc>
        <w:tc>
          <w:tcPr>
            <w:tcW w:w="2317" w:type="dxa"/>
            <w:vAlign w:val="center"/>
          </w:tcPr>
          <w:p w14:paraId="50120F66" w14:textId="66453D29" w:rsidR="009F404C" w:rsidRDefault="004B5A20" w:rsidP="00CE6544">
            <w:pPr>
              <w:spacing w:before="120" w:after="120"/>
              <w:rPr>
                <w:lang w:val="en-US"/>
              </w:rPr>
            </w:pPr>
            <w:r>
              <w:rPr>
                <w:lang w:val="en-US"/>
              </w:rPr>
              <w:t>Up to gNB implementation to avoid, no rule needed</w:t>
            </w:r>
          </w:p>
        </w:tc>
      </w:tr>
      <w:tr w:rsidR="009F404C" w14:paraId="1830548C" w14:textId="5FE5A687" w:rsidTr="00CE6544">
        <w:trPr>
          <w:jc w:val="center"/>
        </w:trPr>
        <w:tc>
          <w:tcPr>
            <w:tcW w:w="468" w:type="dxa"/>
            <w:vAlign w:val="center"/>
          </w:tcPr>
          <w:p w14:paraId="6E2F51EA" w14:textId="5F802C6B" w:rsidR="009F404C" w:rsidRDefault="009F404C" w:rsidP="00CE6544">
            <w:pPr>
              <w:spacing w:before="120" w:after="120"/>
              <w:jc w:val="center"/>
              <w:rPr>
                <w:lang w:val="en-US"/>
              </w:rPr>
            </w:pPr>
            <w:r>
              <w:rPr>
                <w:lang w:val="en-US"/>
              </w:rPr>
              <w:t>9</w:t>
            </w:r>
          </w:p>
        </w:tc>
        <w:tc>
          <w:tcPr>
            <w:tcW w:w="3780" w:type="dxa"/>
            <w:vAlign w:val="center"/>
          </w:tcPr>
          <w:p w14:paraId="28665DB1" w14:textId="1ED4A9BB" w:rsidR="009F404C" w:rsidRDefault="009F404C" w:rsidP="00CE6544">
            <w:pPr>
              <w:spacing w:before="120" w:after="120"/>
              <w:ind w:left="73"/>
              <w:rPr>
                <w:lang w:val="en-US"/>
              </w:rPr>
            </w:pPr>
            <w:r w:rsidRPr="00B52510">
              <w:t>Collision due to direction switching</w:t>
            </w:r>
          </w:p>
        </w:tc>
        <w:tc>
          <w:tcPr>
            <w:tcW w:w="3260" w:type="dxa"/>
            <w:vAlign w:val="center"/>
          </w:tcPr>
          <w:p w14:paraId="7A25277D" w14:textId="6FBF91C6" w:rsidR="009F404C" w:rsidRDefault="00834643" w:rsidP="00CE6544">
            <w:pPr>
              <w:spacing w:before="120" w:after="120"/>
              <w:rPr>
                <w:lang w:val="en-US"/>
              </w:rPr>
            </w:pPr>
            <w:r>
              <w:rPr>
                <w:lang w:val="en-US"/>
              </w:rPr>
              <w:t>No issue</w:t>
            </w:r>
          </w:p>
        </w:tc>
        <w:tc>
          <w:tcPr>
            <w:tcW w:w="2317" w:type="dxa"/>
            <w:vAlign w:val="center"/>
          </w:tcPr>
          <w:p w14:paraId="08326728" w14:textId="20D9AAE5" w:rsidR="009F404C" w:rsidRDefault="009867F7" w:rsidP="00CE6544">
            <w:pPr>
              <w:spacing w:before="120" w:after="120"/>
              <w:rPr>
                <w:lang w:val="en-US"/>
              </w:rPr>
            </w:pPr>
            <w:r>
              <w:rPr>
                <w:lang w:val="en-US"/>
              </w:rPr>
              <w:t>No issue</w:t>
            </w:r>
          </w:p>
        </w:tc>
      </w:tr>
    </w:tbl>
    <w:p w14:paraId="0657FDC2" w14:textId="77777777" w:rsidR="00693899" w:rsidRDefault="00693899" w:rsidP="00FE3897">
      <w:pPr>
        <w:jc w:val="both"/>
        <w:rPr>
          <w:lang w:val="en-US"/>
        </w:rPr>
      </w:pPr>
    </w:p>
    <w:p w14:paraId="457751CF" w14:textId="4C9DC1CE" w:rsidR="00FE3897" w:rsidRDefault="000C2EE6" w:rsidP="00FE3897">
      <w:pPr>
        <w:jc w:val="both"/>
        <w:rPr>
          <w:lang w:val="en-US"/>
        </w:rPr>
      </w:pPr>
      <w:r>
        <w:rPr>
          <w:lang w:val="en-US"/>
        </w:rPr>
        <w:t xml:space="preserve">Based on </w:t>
      </w:r>
      <w:r>
        <w:rPr>
          <w:lang w:val="en-US"/>
        </w:rPr>
        <w:fldChar w:fldCharType="begin"/>
      </w:r>
      <w:r>
        <w:rPr>
          <w:lang w:val="en-US"/>
        </w:rPr>
        <w:instrText xml:space="preserve"> REF _Ref68005444 </w:instrText>
      </w:r>
      <w:r>
        <w:rPr>
          <w:lang w:val="en-US"/>
        </w:rPr>
        <w:fldChar w:fldCharType="separate"/>
      </w:r>
      <w:r>
        <w:t xml:space="preserve">Table </w:t>
      </w:r>
      <w:r>
        <w:rPr>
          <w:noProof/>
        </w:rPr>
        <w:t>2</w:t>
      </w:r>
      <w:r>
        <w:rPr>
          <w:lang w:val="en-US"/>
        </w:rPr>
        <w:fldChar w:fldCharType="end"/>
      </w:r>
      <w:r>
        <w:rPr>
          <w:lang w:val="en-US"/>
        </w:rPr>
        <w:t>, the following proposal is made –</w:t>
      </w:r>
    </w:p>
    <w:p w14:paraId="0D8A5974" w14:textId="1385E25A" w:rsidR="00FE3897" w:rsidRDefault="00FE3897" w:rsidP="00FE3897">
      <w:pPr>
        <w:jc w:val="both"/>
        <w:rPr>
          <w:b/>
          <w:bCs/>
          <w:noProof/>
          <w:lang w:val="en-US" w:eastAsia="en-GB"/>
        </w:rPr>
      </w:pPr>
      <w:r>
        <w:rPr>
          <w:b/>
          <w:bCs/>
          <w:noProof/>
          <w:lang w:val="en-US" w:eastAsia="en-GB"/>
        </w:rPr>
        <w:t xml:space="preserve">Proposal </w:t>
      </w:r>
      <w:r w:rsidR="003426CD">
        <w:rPr>
          <w:b/>
          <w:bCs/>
          <w:noProof/>
          <w:lang w:val="en-US" w:eastAsia="en-GB"/>
        </w:rPr>
        <w:t>4</w:t>
      </w:r>
      <w:r>
        <w:rPr>
          <w:b/>
          <w:bCs/>
          <w:noProof/>
          <w:lang w:val="en-US" w:eastAsia="en-GB"/>
        </w:rPr>
        <w:t>: Define the following collision handling for HD-FDD UE –</w:t>
      </w:r>
    </w:p>
    <w:p w14:paraId="0F967629" w14:textId="0BCB1D4D" w:rsidR="00FE3897" w:rsidRDefault="00FE3897" w:rsidP="00FE3897">
      <w:pPr>
        <w:pStyle w:val="ListParagraph"/>
        <w:numPr>
          <w:ilvl w:val="0"/>
          <w:numId w:val="30"/>
        </w:numPr>
        <w:jc w:val="both"/>
        <w:rPr>
          <w:b/>
          <w:bCs/>
          <w:noProof/>
          <w:lang w:val="en-US" w:eastAsia="en-GB"/>
        </w:rPr>
      </w:pPr>
      <w:r>
        <w:rPr>
          <w:b/>
          <w:bCs/>
          <w:noProof/>
          <w:lang w:val="en-US" w:eastAsia="en-GB"/>
        </w:rPr>
        <w:t>D</w:t>
      </w:r>
      <w:r w:rsidRPr="00BE770B">
        <w:rPr>
          <w:b/>
          <w:bCs/>
          <w:noProof/>
          <w:lang w:val="en-US" w:eastAsia="en-GB"/>
        </w:rPr>
        <w:t xml:space="preserve">ynamically scheduled </w:t>
      </w:r>
      <w:r w:rsidR="000C2EE6">
        <w:rPr>
          <w:b/>
          <w:bCs/>
          <w:noProof/>
          <w:lang w:val="en-US" w:eastAsia="en-GB"/>
        </w:rPr>
        <w:t>DL reception</w:t>
      </w:r>
      <w:r w:rsidRPr="00BE770B">
        <w:rPr>
          <w:b/>
          <w:bCs/>
          <w:noProof/>
          <w:lang w:val="en-US" w:eastAsia="en-GB"/>
        </w:rPr>
        <w:t xml:space="preserve"> is prioritized over </w:t>
      </w:r>
      <w:r w:rsidR="000C2EE6" w:rsidRPr="000C2EE6">
        <w:rPr>
          <w:b/>
          <w:bCs/>
          <w:noProof/>
          <w:lang w:val="en-US" w:eastAsia="en-GB"/>
        </w:rPr>
        <w:t>semi-statically configured UL transmission</w:t>
      </w:r>
    </w:p>
    <w:p w14:paraId="62ECA060" w14:textId="24064EAB" w:rsidR="000C2EE6" w:rsidRDefault="000C2EE6" w:rsidP="000C2EE6">
      <w:pPr>
        <w:pStyle w:val="ListParagraph"/>
        <w:numPr>
          <w:ilvl w:val="0"/>
          <w:numId w:val="30"/>
        </w:numPr>
        <w:jc w:val="both"/>
        <w:rPr>
          <w:b/>
          <w:bCs/>
          <w:noProof/>
          <w:lang w:val="en-US" w:eastAsia="en-GB"/>
        </w:rPr>
      </w:pPr>
      <w:r>
        <w:rPr>
          <w:b/>
          <w:bCs/>
          <w:noProof/>
          <w:lang w:val="en-US" w:eastAsia="en-GB"/>
        </w:rPr>
        <w:t>D</w:t>
      </w:r>
      <w:r w:rsidRPr="00BE770B">
        <w:rPr>
          <w:b/>
          <w:bCs/>
          <w:noProof/>
          <w:lang w:val="en-US" w:eastAsia="en-GB"/>
        </w:rPr>
        <w:t xml:space="preserve">ynamically scheduled </w:t>
      </w:r>
      <w:r>
        <w:rPr>
          <w:b/>
          <w:bCs/>
          <w:noProof/>
          <w:lang w:val="en-US" w:eastAsia="en-GB"/>
        </w:rPr>
        <w:t>UL transmission</w:t>
      </w:r>
      <w:r w:rsidRPr="00BE770B">
        <w:rPr>
          <w:b/>
          <w:bCs/>
          <w:noProof/>
          <w:lang w:val="en-US" w:eastAsia="en-GB"/>
        </w:rPr>
        <w:t xml:space="preserve"> is prioritized over </w:t>
      </w:r>
      <w:r w:rsidRPr="000C2EE6">
        <w:rPr>
          <w:b/>
          <w:bCs/>
          <w:noProof/>
          <w:lang w:val="en-US" w:eastAsia="en-GB"/>
        </w:rPr>
        <w:t xml:space="preserve">semi-statically configured </w:t>
      </w:r>
      <w:r>
        <w:rPr>
          <w:b/>
          <w:bCs/>
          <w:noProof/>
          <w:lang w:val="en-US" w:eastAsia="en-GB"/>
        </w:rPr>
        <w:t>DL reception</w:t>
      </w:r>
    </w:p>
    <w:p w14:paraId="17E29C18" w14:textId="77777777" w:rsidR="00FE3897" w:rsidRPr="00230300" w:rsidRDefault="00FE3897" w:rsidP="00FE3897">
      <w:pPr>
        <w:jc w:val="both"/>
        <w:rPr>
          <w:b/>
          <w:bCs/>
          <w:noProof/>
          <w:lang w:val="en-US" w:eastAsia="en-GB"/>
        </w:rPr>
      </w:pPr>
      <w:r>
        <w:rPr>
          <w:b/>
          <w:bCs/>
          <w:noProof/>
          <w:lang w:val="en-US" w:eastAsia="en-GB"/>
        </w:rPr>
        <w:t>For other cases, it is up to the gNB implementation to avoid collision.</w:t>
      </w:r>
    </w:p>
    <w:p w14:paraId="6187169E" w14:textId="56358025" w:rsidR="00FE3897" w:rsidRDefault="00A21FB5" w:rsidP="00FE3897">
      <w:pPr>
        <w:jc w:val="both"/>
        <w:rPr>
          <w:lang w:val="en-US"/>
        </w:rPr>
      </w:pPr>
      <w:r>
        <w:rPr>
          <w:lang w:val="en-US"/>
        </w:rPr>
        <w:t xml:space="preserve">The final issue is about </w:t>
      </w:r>
      <w:r w:rsidRPr="00A21FB5">
        <w:rPr>
          <w:lang w:val="en-US"/>
        </w:rPr>
        <w:t>HARQ-ACK bundling support</w:t>
      </w:r>
      <w:r>
        <w:rPr>
          <w:lang w:val="en-US"/>
        </w:rPr>
        <w:t xml:space="preserve"> for HD-FDD. This can be used to increase throughput as the UE needs </w:t>
      </w:r>
      <w:r w:rsidR="003426CD">
        <w:rPr>
          <w:lang w:val="en-US"/>
        </w:rPr>
        <w:t>a smaller</w:t>
      </w:r>
      <w:r>
        <w:rPr>
          <w:lang w:val="en-US"/>
        </w:rPr>
        <w:t xml:space="preserve"> number of slots to transmit the acknowledgments. In</w:t>
      </w:r>
      <w:r w:rsidR="00FE3897">
        <w:rPr>
          <w:lang w:val="en-US"/>
        </w:rPr>
        <w:t xml:space="preserve"> our view, HARQ-ACK bundling support can be considered optimization and left to future release given WI guidance of specifying HD-FDD operation with minimum specification impact. </w:t>
      </w:r>
    </w:p>
    <w:p w14:paraId="167BA3E3" w14:textId="7967CD7A" w:rsidR="00FE3897" w:rsidRDefault="00FE3897" w:rsidP="00FE3897">
      <w:pPr>
        <w:jc w:val="both"/>
        <w:rPr>
          <w:lang w:val="en-US"/>
        </w:rPr>
      </w:pPr>
      <w:r>
        <w:rPr>
          <w:b/>
          <w:bCs/>
          <w:noProof/>
          <w:lang w:val="en-US" w:eastAsia="en-GB"/>
        </w:rPr>
        <w:t xml:space="preserve">Proposal </w:t>
      </w:r>
      <w:r w:rsidR="003426CD">
        <w:rPr>
          <w:b/>
          <w:bCs/>
          <w:noProof/>
          <w:lang w:val="en-US" w:eastAsia="en-GB"/>
        </w:rPr>
        <w:t>5</w:t>
      </w:r>
      <w:r>
        <w:rPr>
          <w:b/>
          <w:bCs/>
          <w:noProof/>
          <w:lang w:val="en-US" w:eastAsia="en-GB"/>
        </w:rPr>
        <w:t>: HARQ-ACK bundling is not considered in Rel-17.</w:t>
      </w:r>
    </w:p>
    <w:bookmarkEnd w:id="9"/>
    <w:bookmarkEnd w:id="10"/>
    <w:bookmarkEnd w:id="11"/>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2F226E72"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5275D4">
        <w:rPr>
          <w:lang w:val="en-US"/>
        </w:rPr>
        <w:t>half-duplex operation</w:t>
      </w:r>
      <w:r w:rsidR="0058133D">
        <w:rPr>
          <w:lang w:val="en-US"/>
        </w:rPr>
        <w:t xml:space="preserve"> and make the following</w:t>
      </w:r>
      <w:r w:rsidR="00B327B9">
        <w:rPr>
          <w:lang w:val="en-US"/>
        </w:rPr>
        <w:t xml:space="preserve"> proposals</w:t>
      </w:r>
      <w:r w:rsidR="003F43D8">
        <w:rPr>
          <w:lang w:val="en-US"/>
        </w:rPr>
        <w:t xml:space="preserve"> </w:t>
      </w:r>
      <w:r w:rsidRPr="002651FD">
        <w:rPr>
          <w:lang w:val="en-US"/>
        </w:rPr>
        <w:t>–</w:t>
      </w:r>
    </w:p>
    <w:p w14:paraId="4CFFC869" w14:textId="77777777" w:rsidR="0066531D" w:rsidRDefault="0066531D" w:rsidP="0066531D">
      <w:pPr>
        <w:jc w:val="both"/>
        <w:rPr>
          <w:lang w:val="en-US"/>
        </w:rPr>
      </w:pPr>
      <w:r>
        <w:rPr>
          <w:b/>
          <w:bCs/>
          <w:noProof/>
          <w:lang w:val="en-US" w:eastAsia="en-GB"/>
        </w:rPr>
        <w:t xml:space="preserve">Proposal 1: From RAN1 perspective, confirm the working assumption to </w:t>
      </w:r>
      <w:r w:rsidRPr="007C7BC0">
        <w:rPr>
          <w:b/>
          <w:bCs/>
          <w:noProof/>
          <w:lang w:val="en-US" w:eastAsia="en-GB"/>
        </w:rPr>
        <w:t>reuse existing switching times for UE not capable of full duplex</w:t>
      </w:r>
      <w:r>
        <w:rPr>
          <w:b/>
          <w:bCs/>
          <w:noProof/>
          <w:lang w:val="en-US" w:eastAsia="en-GB"/>
        </w:rPr>
        <w:t xml:space="preserve"> (</w:t>
      </w:r>
      <w:r w:rsidRPr="007C7BC0">
        <w:rPr>
          <w:b/>
          <w:bCs/>
          <w:noProof/>
          <w:lang w:val="en-US" w:eastAsia="en-GB"/>
        </w:rPr>
        <w:t>Table 4.3.2-3</w:t>
      </w:r>
      <w:r>
        <w:rPr>
          <w:b/>
          <w:bCs/>
          <w:noProof/>
          <w:lang w:val="en-US" w:eastAsia="en-GB"/>
        </w:rPr>
        <w:t xml:space="preserve"> in 38.211) for half-duplex.</w:t>
      </w:r>
    </w:p>
    <w:p w14:paraId="5B1210B1" w14:textId="77777777" w:rsidR="0066531D" w:rsidRDefault="0066531D" w:rsidP="0066531D">
      <w:pPr>
        <w:jc w:val="both"/>
        <w:rPr>
          <w:lang w:val="en-US"/>
        </w:rPr>
      </w:pPr>
      <w:r>
        <w:rPr>
          <w:b/>
          <w:bCs/>
          <w:noProof/>
          <w:lang w:val="en-US" w:eastAsia="en-GB"/>
        </w:rPr>
        <w:t xml:space="preserve">Proposal 2: </w:t>
      </w:r>
      <w:r w:rsidRPr="00607780">
        <w:rPr>
          <w:b/>
          <w:bCs/>
          <w:noProof/>
          <w:lang w:val="en-US" w:eastAsia="en-GB"/>
        </w:rPr>
        <w:t>For half-duplex FDD operation, a guard period is created by the UE by not receiving the last part of a downlink subframe immediately preceding an uplink subframe from the same UE</w:t>
      </w:r>
      <w:r>
        <w:rPr>
          <w:b/>
          <w:bCs/>
          <w:noProof/>
          <w:lang w:val="en-US" w:eastAsia="en-GB"/>
        </w:rPr>
        <w:t>.</w:t>
      </w:r>
    </w:p>
    <w:p w14:paraId="1A062BC6" w14:textId="77777777" w:rsidR="00844804" w:rsidRPr="004D1103" w:rsidRDefault="00844804" w:rsidP="00844804">
      <w:pPr>
        <w:jc w:val="both"/>
        <w:rPr>
          <w:b/>
          <w:bCs/>
          <w:noProof/>
          <w:lang w:val="en-US" w:eastAsia="en-GB"/>
        </w:rPr>
      </w:pPr>
      <w:r w:rsidRPr="004D1103">
        <w:rPr>
          <w:b/>
          <w:bCs/>
          <w:noProof/>
          <w:lang w:val="en-US" w:eastAsia="en-GB"/>
        </w:rPr>
        <w:t xml:space="preserve">Proposal </w:t>
      </w:r>
      <w:r>
        <w:rPr>
          <w:b/>
          <w:bCs/>
          <w:noProof/>
          <w:lang w:val="en-US" w:eastAsia="en-GB"/>
        </w:rPr>
        <w:t>3</w:t>
      </w:r>
      <w:r w:rsidRPr="004D1103">
        <w:rPr>
          <w:b/>
          <w:bCs/>
          <w:noProof/>
          <w:lang w:val="en-US" w:eastAsia="en-GB"/>
        </w:rPr>
        <w:t xml:space="preserve">: </w:t>
      </w:r>
      <w:r>
        <w:rPr>
          <w:b/>
          <w:bCs/>
          <w:noProof/>
          <w:lang w:val="en-US" w:eastAsia="en-GB"/>
        </w:rPr>
        <w:t>There is no need to define guard times in symbol units</w:t>
      </w:r>
      <w:r w:rsidRPr="004D1103">
        <w:rPr>
          <w:b/>
          <w:bCs/>
          <w:noProof/>
          <w:lang w:val="en-US" w:eastAsia="en-GB"/>
        </w:rPr>
        <w:t>.</w:t>
      </w:r>
    </w:p>
    <w:p w14:paraId="182CBF5A" w14:textId="44A5D22D" w:rsidR="0066531D" w:rsidRDefault="0066531D" w:rsidP="0066531D">
      <w:pPr>
        <w:jc w:val="both"/>
        <w:rPr>
          <w:b/>
          <w:bCs/>
          <w:noProof/>
          <w:lang w:val="en-US" w:eastAsia="en-GB"/>
        </w:rPr>
      </w:pPr>
      <w:r>
        <w:rPr>
          <w:b/>
          <w:bCs/>
          <w:noProof/>
          <w:lang w:val="en-US" w:eastAsia="en-GB"/>
        </w:rPr>
        <w:t>Proposal 4: Define the following collision handling for HD-FDD UE –</w:t>
      </w:r>
    </w:p>
    <w:p w14:paraId="07B58D08" w14:textId="77777777" w:rsidR="0066531D" w:rsidRDefault="0066531D" w:rsidP="0066531D">
      <w:pPr>
        <w:pStyle w:val="ListParagraph"/>
        <w:numPr>
          <w:ilvl w:val="0"/>
          <w:numId w:val="30"/>
        </w:numPr>
        <w:jc w:val="both"/>
        <w:rPr>
          <w:b/>
          <w:bCs/>
          <w:noProof/>
          <w:lang w:val="en-US" w:eastAsia="en-GB"/>
        </w:rPr>
      </w:pPr>
      <w:r>
        <w:rPr>
          <w:b/>
          <w:bCs/>
          <w:noProof/>
          <w:lang w:val="en-US" w:eastAsia="en-GB"/>
        </w:rPr>
        <w:t>D</w:t>
      </w:r>
      <w:r w:rsidRPr="00BE770B">
        <w:rPr>
          <w:b/>
          <w:bCs/>
          <w:noProof/>
          <w:lang w:val="en-US" w:eastAsia="en-GB"/>
        </w:rPr>
        <w:t xml:space="preserve">ynamically scheduled </w:t>
      </w:r>
      <w:r>
        <w:rPr>
          <w:b/>
          <w:bCs/>
          <w:noProof/>
          <w:lang w:val="en-US" w:eastAsia="en-GB"/>
        </w:rPr>
        <w:t>DL reception</w:t>
      </w:r>
      <w:r w:rsidRPr="00BE770B">
        <w:rPr>
          <w:b/>
          <w:bCs/>
          <w:noProof/>
          <w:lang w:val="en-US" w:eastAsia="en-GB"/>
        </w:rPr>
        <w:t xml:space="preserve"> is prioritized over </w:t>
      </w:r>
      <w:r w:rsidRPr="000C2EE6">
        <w:rPr>
          <w:b/>
          <w:bCs/>
          <w:noProof/>
          <w:lang w:val="en-US" w:eastAsia="en-GB"/>
        </w:rPr>
        <w:t>semi-statically configured UL transmission</w:t>
      </w:r>
    </w:p>
    <w:p w14:paraId="5AF01B42" w14:textId="77777777" w:rsidR="0066531D" w:rsidRDefault="0066531D" w:rsidP="0066531D">
      <w:pPr>
        <w:pStyle w:val="ListParagraph"/>
        <w:numPr>
          <w:ilvl w:val="0"/>
          <w:numId w:val="30"/>
        </w:numPr>
        <w:jc w:val="both"/>
        <w:rPr>
          <w:b/>
          <w:bCs/>
          <w:noProof/>
          <w:lang w:val="en-US" w:eastAsia="en-GB"/>
        </w:rPr>
      </w:pPr>
      <w:r>
        <w:rPr>
          <w:b/>
          <w:bCs/>
          <w:noProof/>
          <w:lang w:val="en-US" w:eastAsia="en-GB"/>
        </w:rPr>
        <w:t>D</w:t>
      </w:r>
      <w:r w:rsidRPr="00BE770B">
        <w:rPr>
          <w:b/>
          <w:bCs/>
          <w:noProof/>
          <w:lang w:val="en-US" w:eastAsia="en-GB"/>
        </w:rPr>
        <w:t xml:space="preserve">ynamically scheduled </w:t>
      </w:r>
      <w:r>
        <w:rPr>
          <w:b/>
          <w:bCs/>
          <w:noProof/>
          <w:lang w:val="en-US" w:eastAsia="en-GB"/>
        </w:rPr>
        <w:t>UL transmission</w:t>
      </w:r>
      <w:r w:rsidRPr="00BE770B">
        <w:rPr>
          <w:b/>
          <w:bCs/>
          <w:noProof/>
          <w:lang w:val="en-US" w:eastAsia="en-GB"/>
        </w:rPr>
        <w:t xml:space="preserve"> is prioritized over </w:t>
      </w:r>
      <w:r w:rsidRPr="000C2EE6">
        <w:rPr>
          <w:b/>
          <w:bCs/>
          <w:noProof/>
          <w:lang w:val="en-US" w:eastAsia="en-GB"/>
        </w:rPr>
        <w:t xml:space="preserve">semi-statically configured </w:t>
      </w:r>
      <w:r>
        <w:rPr>
          <w:b/>
          <w:bCs/>
          <w:noProof/>
          <w:lang w:val="en-US" w:eastAsia="en-GB"/>
        </w:rPr>
        <w:t>DL reception</w:t>
      </w:r>
    </w:p>
    <w:p w14:paraId="6AE874D9" w14:textId="5BB01669" w:rsidR="00343309" w:rsidRDefault="0066531D" w:rsidP="0066531D">
      <w:pPr>
        <w:spacing w:before="120" w:after="120"/>
        <w:jc w:val="both"/>
        <w:rPr>
          <w:b/>
          <w:bCs/>
          <w:noProof/>
          <w:lang w:val="en-US" w:eastAsia="en-GB"/>
        </w:rPr>
      </w:pPr>
      <w:r>
        <w:rPr>
          <w:b/>
          <w:bCs/>
          <w:noProof/>
          <w:lang w:val="en-US" w:eastAsia="en-GB"/>
        </w:rPr>
        <w:t>For other cases, it is up to the gNB implementation to avoid collision.</w:t>
      </w:r>
    </w:p>
    <w:p w14:paraId="1B3A7053" w14:textId="77777777" w:rsidR="0066531D" w:rsidRDefault="0066531D" w:rsidP="0066531D">
      <w:pPr>
        <w:jc w:val="both"/>
        <w:rPr>
          <w:lang w:val="en-US"/>
        </w:rPr>
      </w:pPr>
      <w:r>
        <w:rPr>
          <w:b/>
          <w:bCs/>
          <w:noProof/>
          <w:lang w:val="en-US" w:eastAsia="en-GB"/>
        </w:rPr>
        <w:t>Proposal 5: HARQ-ACK bundling is not considered in Rel-17.</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5"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5"/>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6" w:name="_Ref60741089"/>
      <w:r w:rsidRPr="005F1B1A">
        <w:rPr>
          <w:rFonts w:eastAsia="MS Mincho"/>
          <w:lang w:val="en-US" w:eastAsia="ja-JP"/>
        </w:rPr>
        <w:t>TR 38.875, “Study on support of reduced capability NR devices,” v1.0.0, December 2020.</w:t>
      </w:r>
      <w:bookmarkEnd w:id="16"/>
    </w:p>
    <w:p w14:paraId="4AF95106" w14:textId="1A9A8A5B" w:rsidR="00AA7AFE" w:rsidRPr="00642751" w:rsidRDefault="004D5BE2" w:rsidP="00642751">
      <w:pPr>
        <w:numPr>
          <w:ilvl w:val="0"/>
          <w:numId w:val="1"/>
        </w:numPr>
        <w:tabs>
          <w:tab w:val="left" w:pos="360"/>
        </w:tabs>
        <w:spacing w:after="120"/>
        <w:jc w:val="both"/>
        <w:rPr>
          <w:rFonts w:eastAsia="MS Mincho"/>
          <w:lang w:val="en-US" w:eastAsia="ja-JP"/>
        </w:rPr>
      </w:pPr>
      <w:bookmarkStart w:id="17" w:name="_Ref60822310"/>
      <w:r>
        <w:rPr>
          <w:rFonts w:eastAsia="MS Mincho"/>
          <w:lang w:val="en-US" w:eastAsia="ja-JP"/>
        </w:rPr>
        <w:t>R1-2</w:t>
      </w:r>
      <w:r w:rsidR="008A3A2F">
        <w:rPr>
          <w:rFonts w:eastAsia="MS Mincho"/>
          <w:lang w:val="en-US" w:eastAsia="ja-JP"/>
        </w:rPr>
        <w:t>1</w:t>
      </w:r>
      <w:r>
        <w:rPr>
          <w:rFonts w:eastAsia="MS Mincho"/>
          <w:lang w:val="en-US" w:eastAsia="ja-JP"/>
        </w:rPr>
        <w:t>0</w:t>
      </w:r>
      <w:r w:rsidR="008A3A2F">
        <w:rPr>
          <w:rFonts w:eastAsia="MS Mincho"/>
          <w:lang w:val="en-US" w:eastAsia="ja-JP"/>
        </w:rPr>
        <w:t>0499</w:t>
      </w:r>
      <w:r>
        <w:rPr>
          <w:rFonts w:eastAsia="MS Mincho"/>
          <w:lang w:val="en-US" w:eastAsia="ja-JP"/>
        </w:rPr>
        <w:t>,</w:t>
      </w:r>
      <w:r w:rsidRPr="00CB3152">
        <w:rPr>
          <w:rFonts w:eastAsia="MS Mincho"/>
          <w:lang w:val="en-US" w:eastAsia="ja-JP"/>
        </w:rPr>
        <w:t xml:space="preserve"> “</w:t>
      </w:r>
      <w:r w:rsidR="000D59C5" w:rsidRPr="000D59C5">
        <w:rPr>
          <w:lang w:eastAsia="x-none"/>
        </w:rPr>
        <w:t>UE Complexity Reduction Features</w:t>
      </w:r>
      <w:r>
        <w:rPr>
          <w:lang w:eastAsia="x-none"/>
        </w:rPr>
        <w:t>,</w:t>
      </w:r>
      <w:r w:rsidRPr="00CB3152">
        <w:rPr>
          <w:rFonts w:eastAsia="MS Mincho"/>
          <w:lang w:val="en-US" w:eastAsia="ja-JP"/>
        </w:rPr>
        <w:t xml:space="preserve">” </w:t>
      </w:r>
      <w:r>
        <w:rPr>
          <w:lang w:val="en-US"/>
        </w:rPr>
        <w:t>Nokia, Nokia Shanghai Bell, RAN1#10</w:t>
      </w:r>
      <w:r w:rsidR="00642751">
        <w:rPr>
          <w:lang w:val="en-US"/>
        </w:rPr>
        <w:t>4</w:t>
      </w:r>
      <w:r>
        <w:rPr>
          <w:lang w:val="en-US"/>
        </w:rPr>
        <w:t>-e, electronic meeting</w:t>
      </w:r>
      <w:r>
        <w:rPr>
          <w:rFonts w:eastAsia="MS Mincho"/>
          <w:lang w:val="en-US" w:eastAsia="ja-JP"/>
        </w:rPr>
        <w:t>.</w:t>
      </w:r>
      <w:bookmarkEnd w:id="17"/>
    </w:p>
    <w:sectPr w:rsidR="00AA7AFE" w:rsidRPr="00642751"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5539B" w14:textId="77777777" w:rsidR="00E87D6B" w:rsidRDefault="00E87D6B">
      <w:r>
        <w:separator/>
      </w:r>
    </w:p>
  </w:endnote>
  <w:endnote w:type="continuationSeparator" w:id="0">
    <w:p w14:paraId="23358E15" w14:textId="77777777" w:rsidR="00E87D6B" w:rsidRDefault="00E8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53C6B" w14:textId="77777777" w:rsidR="00E87D6B" w:rsidRDefault="00E87D6B">
      <w:r>
        <w:separator/>
      </w:r>
    </w:p>
  </w:footnote>
  <w:footnote w:type="continuationSeparator" w:id="0">
    <w:p w14:paraId="6E134ED2" w14:textId="77777777" w:rsidR="00E87D6B" w:rsidRDefault="00E87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B332F6"/>
    <w:multiLevelType w:val="hybridMultilevel"/>
    <w:tmpl w:val="84F2C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9"/>
  </w:num>
  <w:num w:numId="3">
    <w:abstractNumId w:val="13"/>
  </w:num>
  <w:num w:numId="4">
    <w:abstractNumId w:val="20"/>
  </w:num>
  <w:num w:numId="5">
    <w:abstractNumId w:val="36"/>
  </w:num>
  <w:num w:numId="6">
    <w:abstractNumId w:val="21"/>
  </w:num>
  <w:num w:numId="7">
    <w:abstractNumId w:val="18"/>
  </w:num>
  <w:num w:numId="8">
    <w:abstractNumId w:val="2"/>
  </w:num>
  <w:num w:numId="9">
    <w:abstractNumId w:val="33"/>
  </w:num>
  <w:num w:numId="10">
    <w:abstractNumId w:val="14"/>
  </w:num>
  <w:num w:numId="11">
    <w:abstractNumId w:val="35"/>
  </w:num>
  <w:num w:numId="12">
    <w:abstractNumId w:val="29"/>
  </w:num>
  <w:num w:numId="13">
    <w:abstractNumId w:val="30"/>
  </w:num>
  <w:num w:numId="14">
    <w:abstractNumId w:val="26"/>
  </w:num>
  <w:num w:numId="15">
    <w:abstractNumId w:val="17"/>
  </w:num>
  <w:num w:numId="16">
    <w:abstractNumId w:val="7"/>
  </w:num>
  <w:num w:numId="17">
    <w:abstractNumId w:val="27"/>
  </w:num>
  <w:num w:numId="18">
    <w:abstractNumId w:val="22"/>
  </w:num>
  <w:num w:numId="19">
    <w:abstractNumId w:val="3"/>
  </w:num>
  <w:num w:numId="20">
    <w:abstractNumId w:val="10"/>
  </w:num>
  <w:num w:numId="21">
    <w:abstractNumId w:val="0"/>
  </w:num>
  <w:num w:numId="22">
    <w:abstractNumId w:val="34"/>
  </w:num>
  <w:num w:numId="23">
    <w:abstractNumId w:val="16"/>
  </w:num>
  <w:num w:numId="24">
    <w:abstractNumId w:val="31"/>
  </w:num>
  <w:num w:numId="25">
    <w:abstractNumId w:val="11"/>
  </w:num>
  <w:num w:numId="26">
    <w:abstractNumId w:val="8"/>
  </w:num>
  <w:num w:numId="27">
    <w:abstractNumId w:val="12"/>
  </w:num>
  <w:num w:numId="28">
    <w:abstractNumId w:val="4"/>
  </w:num>
  <w:num w:numId="29">
    <w:abstractNumId w:val="25"/>
  </w:num>
  <w:num w:numId="30">
    <w:abstractNumId w:val="24"/>
  </w:num>
  <w:num w:numId="31">
    <w:abstractNumId w:val="19"/>
  </w:num>
  <w:num w:numId="32">
    <w:abstractNumId w:val="11"/>
  </w:num>
  <w:num w:numId="33">
    <w:abstractNumId w:val="32"/>
  </w:num>
  <w:num w:numId="34">
    <w:abstractNumId w:val="28"/>
  </w:num>
  <w:num w:numId="35">
    <w:abstractNumId w:val="15"/>
  </w:num>
  <w:num w:numId="36">
    <w:abstractNumId w:val="6"/>
  </w:num>
  <w:num w:numId="37">
    <w:abstractNumId w:val="5"/>
  </w:num>
  <w:num w:numId="38">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4D60"/>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2EE6"/>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1A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381F"/>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FA3"/>
    <w:rsid w:val="003E2396"/>
    <w:rsid w:val="003E2A36"/>
    <w:rsid w:val="003E3F38"/>
    <w:rsid w:val="003E42DD"/>
    <w:rsid w:val="003E4580"/>
    <w:rsid w:val="003E521B"/>
    <w:rsid w:val="003E5428"/>
    <w:rsid w:val="003E5AD0"/>
    <w:rsid w:val="003E5B0C"/>
    <w:rsid w:val="003E5B29"/>
    <w:rsid w:val="003E5CE8"/>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06C"/>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20"/>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3F1"/>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146A"/>
    <w:rsid w:val="00501857"/>
    <w:rsid w:val="005019AD"/>
    <w:rsid w:val="00501CBA"/>
    <w:rsid w:val="005021E2"/>
    <w:rsid w:val="00502A5B"/>
    <w:rsid w:val="00502F6A"/>
    <w:rsid w:val="0050360B"/>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5D4"/>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9D8"/>
    <w:rsid w:val="00556AA8"/>
    <w:rsid w:val="00556BE7"/>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3D09"/>
    <w:rsid w:val="005E4F2B"/>
    <w:rsid w:val="005E5021"/>
    <w:rsid w:val="005E5281"/>
    <w:rsid w:val="005E5448"/>
    <w:rsid w:val="005E58DE"/>
    <w:rsid w:val="005E6613"/>
    <w:rsid w:val="005E6953"/>
    <w:rsid w:val="005E698E"/>
    <w:rsid w:val="005E701C"/>
    <w:rsid w:val="005E778E"/>
    <w:rsid w:val="005E7A9F"/>
    <w:rsid w:val="005E7F0A"/>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5825"/>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28D"/>
    <w:rsid w:val="00657297"/>
    <w:rsid w:val="006575CB"/>
    <w:rsid w:val="00657AD1"/>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31D"/>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899"/>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4554"/>
    <w:rsid w:val="007152C6"/>
    <w:rsid w:val="00715417"/>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C7A"/>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147"/>
    <w:rsid w:val="008344AB"/>
    <w:rsid w:val="00834643"/>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804"/>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A8B"/>
    <w:rsid w:val="00864BD9"/>
    <w:rsid w:val="00864D59"/>
    <w:rsid w:val="00865910"/>
    <w:rsid w:val="00865A71"/>
    <w:rsid w:val="0086651B"/>
    <w:rsid w:val="00866F53"/>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3A2F"/>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02"/>
    <w:rsid w:val="00985F6E"/>
    <w:rsid w:val="009864B1"/>
    <w:rsid w:val="00986573"/>
    <w:rsid w:val="009867F7"/>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94D"/>
    <w:rsid w:val="009D5976"/>
    <w:rsid w:val="009D698E"/>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BD3"/>
    <w:rsid w:val="009F3421"/>
    <w:rsid w:val="009F36A4"/>
    <w:rsid w:val="009F376A"/>
    <w:rsid w:val="009F3A06"/>
    <w:rsid w:val="009F3C53"/>
    <w:rsid w:val="009F3D84"/>
    <w:rsid w:val="009F404C"/>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1FB5"/>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C9A"/>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6D4"/>
    <w:rsid w:val="00A90B2D"/>
    <w:rsid w:val="00A90C07"/>
    <w:rsid w:val="00A90CEB"/>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33A6"/>
    <w:rsid w:val="00AA4027"/>
    <w:rsid w:val="00AA447E"/>
    <w:rsid w:val="00AA4621"/>
    <w:rsid w:val="00AA57A4"/>
    <w:rsid w:val="00AA59B5"/>
    <w:rsid w:val="00AA665B"/>
    <w:rsid w:val="00AA686C"/>
    <w:rsid w:val="00AA758B"/>
    <w:rsid w:val="00AA7819"/>
    <w:rsid w:val="00AA7AFE"/>
    <w:rsid w:val="00AA7FA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510"/>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B77"/>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C40"/>
    <w:rsid w:val="00C15EDB"/>
    <w:rsid w:val="00C1675B"/>
    <w:rsid w:val="00C16906"/>
    <w:rsid w:val="00C16C4F"/>
    <w:rsid w:val="00C1770D"/>
    <w:rsid w:val="00C17FCF"/>
    <w:rsid w:val="00C20531"/>
    <w:rsid w:val="00C20BEA"/>
    <w:rsid w:val="00C21016"/>
    <w:rsid w:val="00C21368"/>
    <w:rsid w:val="00C21D22"/>
    <w:rsid w:val="00C2255D"/>
    <w:rsid w:val="00C22776"/>
    <w:rsid w:val="00C22A7E"/>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544"/>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AD5"/>
    <w:rsid w:val="00D37DC4"/>
    <w:rsid w:val="00D40835"/>
    <w:rsid w:val="00D41349"/>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EB8"/>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6C91"/>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D6B"/>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DE7"/>
    <w:rsid w:val="00EB5EEA"/>
    <w:rsid w:val="00EB6399"/>
    <w:rsid w:val="00EB6B73"/>
    <w:rsid w:val="00EB6FAC"/>
    <w:rsid w:val="00EB7013"/>
    <w:rsid w:val="00EB763C"/>
    <w:rsid w:val="00EB7EBC"/>
    <w:rsid w:val="00EC0140"/>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3C2"/>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3B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3897"/>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B22B6D8-9DC2-41AE-9728-648ACB1A1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1654</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Contribution</vt:lpstr>
      <vt:lpstr>Introduction</vt:lpstr>
      <vt:lpstr>Half-Duplex Operation</vt:lpstr>
      <vt:lpstr>Conclusions</vt:lpstr>
      <vt:lpstr>References</vt:lpstr>
    </vt:vector>
  </TitlesOfParts>
  <Company>Nokia Siemens Networks</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2</cp:revision>
  <cp:lastPrinted>2019-04-30T02:45:00Z</cp:lastPrinted>
  <dcterms:created xsi:type="dcterms:W3CDTF">2021-04-06T15:12:00Z</dcterms:created>
  <dcterms:modified xsi:type="dcterms:W3CDTF">2021-04-06T15:12:00Z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