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Header"/>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 xml:space="preserve">For multiplexing a high-priority (HP) HARQ-ACK and a low-priority (LP) HARQ-ACK into a PUCCH in R17, support a mechanism for </w:t>
      </w:r>
      <w:proofErr w:type="spellStart"/>
      <w:r w:rsidRPr="00407ED9">
        <w:rPr>
          <w:rFonts w:eastAsia="Microsoft YaHei"/>
          <w:i/>
        </w:rPr>
        <w:t>gNB</w:t>
      </w:r>
      <w:proofErr w:type="spellEnd"/>
      <w:r w:rsidRPr="00407ED9">
        <w:rPr>
          <w:rFonts w:eastAsia="Microsoft YaHei"/>
          <w:i/>
        </w:rPr>
        <w:t xml:space="preserve">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Heading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In case the number of high-priority HARQ-ACK/UCI bits is low and the number of low-priority HARQ-ACK/UCI bits is high, which would typically be the case, joint coding may not be preferable from coding gain perspective as, in this case, the effective coding rate for high-priority 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 xml:space="preserve">the </w:t>
            </w:r>
            <w:proofErr w:type="spellStart"/>
            <w:r>
              <w:rPr>
                <w:lang w:eastAsia="zh-CN"/>
              </w:rPr>
              <w:t>gNB</w:t>
            </w:r>
            <w:proofErr w:type="spellEnd"/>
            <w:r>
              <w:rPr>
                <w:lang w:eastAsia="zh-CN"/>
              </w:rPr>
              <w:t xml:space="preserve">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 xml:space="preserve">For Type-2 HARQ-ACK codebook, the size is determined by the DAI values and a miss detection of a ‘last’ DCI format can lead to UE and </w:t>
            </w:r>
            <w:proofErr w:type="spellStart"/>
            <w:r w:rsidRPr="008C7044">
              <w:rPr>
                <w:rFonts w:eastAsia="SimSun"/>
                <w:lang w:eastAsia="zh-CN"/>
              </w:rPr>
              <w:t>gNB</w:t>
            </w:r>
            <w:proofErr w:type="spellEnd"/>
            <w:r w:rsidRPr="008C7044">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 xml:space="preserve">Having separate coding doesn’t resolve the issue of codebook-size ambiguity between the UE and the </w:t>
            </w:r>
            <w:proofErr w:type="spellStart"/>
            <w:r w:rsidRPr="00EE333B">
              <w:t>gNB</w:t>
            </w:r>
            <w:proofErr w:type="spellEnd"/>
            <w:r w:rsidRPr="00EE333B">
              <w:t>.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w:t>
            </w:r>
            <w:proofErr w:type="gramStart"/>
            <w:r w:rsidRPr="00E34F6C">
              <w:rPr>
                <w:rFonts w:eastAsia="SimSun" w:hint="eastAsia"/>
                <w:lang w:eastAsia="zh-CN"/>
              </w:rPr>
              <w:t>CATT[</w:t>
            </w:r>
            <w:proofErr w:type="gramEnd"/>
            <w:r w:rsidRPr="00E34F6C">
              <w:rPr>
                <w:rFonts w:eastAsia="SimSun" w:hint="eastAsia"/>
                <w:lang w:eastAsia="zh-CN"/>
              </w:rPr>
              <w:t xml:space="preserve">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TW"/>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TW"/>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TW"/>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TW"/>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TW"/>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TW"/>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TW"/>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TW"/>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BodyText"/>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w:t>
            </w:r>
            <w:proofErr w:type="spellStart"/>
            <w:r w:rsidRPr="005D2FC6">
              <w:rPr>
                <w:rFonts w:eastAsia="DengXian"/>
                <w:b/>
                <w:i/>
                <w:kern w:val="2"/>
                <w:szCs w:val="20"/>
              </w:rPr>
              <w:t>gNB</w:t>
            </w:r>
            <w:proofErr w:type="spellEnd"/>
            <w:r w:rsidRPr="005D2FC6">
              <w:rPr>
                <w:rFonts w:eastAsia="DengXian"/>
                <w:b/>
                <w:i/>
                <w:kern w:val="2"/>
                <w:szCs w:val="20"/>
              </w:rPr>
              <w:t xml:space="preserve">. </w:t>
            </w:r>
          </w:p>
          <w:p w14:paraId="215B2749" w14:textId="77777777" w:rsidR="002D0F0E" w:rsidRDefault="002D0F0E" w:rsidP="00AF0423">
            <w:pPr>
              <w:pStyle w:val="ListParagraph"/>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3"/>
              <w:gridCol w:w="1454"/>
              <w:gridCol w:w="1368"/>
              <w:gridCol w:w="1427"/>
              <w:gridCol w:w="1395"/>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6pt;height:19.8pt;mso-width-percent:0;mso-height-percent:0;mso-width-percent:0;mso-height-percent:0" o:ole="">
                        <v:imagedata r:id="rId21" o:title=""/>
                      </v:shape>
                      <o:OLEObject Type="Embed" ProgID="Equation.3" ShapeID="_x0000_i1030" DrawAspect="Content" ObjectID="_1673191120"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9" type="#_x0000_t75" alt="" style="width:43.6pt;height:19.8pt;mso-width-percent:0;mso-height-percent:0;mso-width-percent:0;mso-height-percent:0" o:ole="">
                        <v:imagedata r:id="rId23" o:title=""/>
                      </v:shape>
                      <o:OLEObject Type="Embed" ProgID="Equation.3" ShapeID="_x0000_i1029" DrawAspect="Content" ObjectID="_1673191121"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8" type="#_x0000_t75" alt="" style="width:43.6pt;height:19.8pt;mso-width-percent:0;mso-height-percent:0;mso-width-percent:0;mso-height-percent:0" o:ole="">
                        <v:imagedata r:id="rId25" o:title=""/>
                      </v:shape>
                      <o:OLEObject Type="Embed" ProgID="Equation.3" ShapeID="_x0000_i1028" DrawAspect="Content" ObjectID="_1673191122"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7" type="#_x0000_t75" alt="" style="width:47.55pt;height:19.8pt;mso-width-percent:0;mso-height-percent:0;mso-width-percent:0;mso-height-percent:0" o:ole="">
                        <v:imagedata r:id="rId27" o:title=""/>
                      </v:shape>
                      <o:OLEObject Type="Embed" ProgID="Equation.3" ShapeID="_x0000_i1027" DrawAspect="Content" ObjectID="_1673191123"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proofErr w:type="spellStart"/>
            <w:r w:rsidRPr="001B33B4">
              <w:rPr>
                <w:b/>
                <w:bCs/>
                <w:szCs w:val="20"/>
                <w:lang w:val="en-GB" w:eastAsia="zh-CN"/>
              </w:rPr>
              <w:t>gNB</w:t>
            </w:r>
            <w:proofErr w:type="spellEnd"/>
            <w:r w:rsidRPr="001B33B4">
              <w:rPr>
                <w:b/>
                <w:bCs/>
                <w:szCs w:val="20"/>
                <w:lang w:val="en-GB" w:eastAsia="zh-CN"/>
              </w:rPr>
              <w:t xml:space="preserve">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Heading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807"/>
      </w:tblGrid>
      <w:tr w:rsidR="00BE77D2" w:rsidRPr="00954597" w14:paraId="230CB239" w14:textId="77777777" w:rsidTr="00FA076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807"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FA076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807"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FA076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807"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w:t>
            </w:r>
            <w:proofErr w:type="spellStart"/>
            <w:r>
              <w:rPr>
                <w:rFonts w:eastAsia="SimSun"/>
                <w:szCs w:val="20"/>
                <w:lang w:eastAsia="zh-CN"/>
              </w:rPr>
              <w:t>gNB</w:t>
            </w:r>
            <w:proofErr w:type="spellEnd"/>
            <w:r>
              <w:rPr>
                <w:rFonts w:eastAsia="SimSun"/>
                <w:szCs w:val="20"/>
                <w:lang w:eastAsia="zh-CN"/>
              </w:rPr>
              <w:t xml:space="preserve"> schedules a later URLLC PDSCH whose 1 bit HARQ-ACK overlaps with 1 bit HARQ-ACK of a previous scheduled </w:t>
            </w:r>
            <w:proofErr w:type="spellStart"/>
            <w:r>
              <w:rPr>
                <w:rFonts w:eastAsia="SimSun"/>
                <w:szCs w:val="20"/>
                <w:lang w:eastAsia="zh-CN"/>
              </w:rPr>
              <w:t>eMBB</w:t>
            </w:r>
            <w:proofErr w:type="spellEnd"/>
            <w:r>
              <w:rPr>
                <w:rFonts w:eastAsia="SimSun"/>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w:t>
            </w:r>
            <w:proofErr w:type="spellStart"/>
            <w:r>
              <w:t>gNB</w:t>
            </w:r>
            <w:proofErr w:type="spellEnd"/>
            <w:r>
              <w:t xml:space="preserve">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TW"/>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TW"/>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TW"/>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TW"/>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TW"/>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FA076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t>Nokia/NSB</w:t>
            </w:r>
          </w:p>
        </w:tc>
        <w:tc>
          <w:tcPr>
            <w:tcW w:w="7807"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FA076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7807"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FA076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807"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FA076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07"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FA076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807"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FA076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807"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FA076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t>InterDigital</w:t>
            </w:r>
          </w:p>
        </w:tc>
        <w:tc>
          <w:tcPr>
            <w:tcW w:w="7807"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FA076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7807"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696E4B">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7807"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FA076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7807"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5E3D17" w:rsidRPr="00954597" w14:paraId="7CB2CC0D" w14:textId="77777777" w:rsidTr="00FA0764">
        <w:tc>
          <w:tcPr>
            <w:tcW w:w="1255"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807"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FA0764">
        <w:tc>
          <w:tcPr>
            <w:tcW w:w="1255"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807"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FA0764">
        <w:tc>
          <w:tcPr>
            <w:tcW w:w="1255"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807"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FA076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807"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FA076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807"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FA076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807"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FA076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807"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FA076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807"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FA076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807"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FA076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807"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FA076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807"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FA076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807"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Heading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SR also, since it is impossible for </w:t>
            </w:r>
            <w:proofErr w:type="spellStart"/>
            <w:r>
              <w:rPr>
                <w:rFonts w:eastAsia="SimSun"/>
                <w:lang w:eastAsia="zh-CN"/>
              </w:rPr>
              <w:t>gNB</w:t>
            </w:r>
            <w:proofErr w:type="spellEnd"/>
            <w:r>
              <w:rPr>
                <w:rFonts w:eastAsia="SimSun"/>
                <w:lang w:eastAsia="zh-CN"/>
              </w:rPr>
              <w:t xml:space="preserve">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w:t>
            </w:r>
            <w:proofErr w:type="spellStart"/>
            <w:r w:rsidRPr="00FC31A4">
              <w:rPr>
                <w:b/>
                <w:bCs/>
                <w:sz w:val="22"/>
                <w:szCs w:val="22"/>
              </w:rPr>
              <w:t>gNB</w:t>
            </w:r>
            <w:proofErr w:type="spellEnd"/>
            <w:r w:rsidRPr="00FC31A4">
              <w:rPr>
                <w:b/>
                <w:bCs/>
                <w:sz w:val="22"/>
                <w:szCs w:val="22"/>
              </w:rPr>
              <w:t xml:space="preserve">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 xml:space="preserve">Proposal 4: The </w:t>
            </w:r>
            <w:proofErr w:type="spellStart"/>
            <w:r w:rsidRPr="00397D30">
              <w:rPr>
                <w:b/>
                <w:bCs/>
              </w:rPr>
              <w:t>gNB</w:t>
            </w:r>
            <w:proofErr w:type="spellEnd"/>
            <w:r w:rsidRPr="00397D30">
              <w:rPr>
                <w:b/>
                <w:bCs/>
              </w:rPr>
              <w:t xml:space="preserve">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11: For multiplexing HP HARQ-ACK and LP HARQ-ACK into one PUCCH in R17, RRC signaling is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 xml:space="preserve">UCI of different priorities subject to timeline conditions and RRC configuration and/or dynamic indication from </w:t>
            </w:r>
            <w:proofErr w:type="spellStart"/>
            <w:r>
              <w:rPr>
                <w:b/>
                <w:color w:val="000000"/>
              </w:rPr>
              <w:t>gNB</w:t>
            </w:r>
            <w:proofErr w:type="spellEnd"/>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w:t>
            </w:r>
            <w:proofErr w:type="spellStart"/>
            <w:r w:rsidRPr="00784DF1">
              <w:rPr>
                <w:rFonts w:eastAsia="SimSun"/>
                <w:szCs w:val="20"/>
                <w:lang w:val="en-GB" w:eastAsia="zh-CN"/>
              </w:rPr>
              <w:t>gNB</w:t>
            </w:r>
            <w:proofErr w:type="spellEnd"/>
            <w:r w:rsidRPr="00784DF1">
              <w:rPr>
                <w:rFonts w:eastAsia="SimSun"/>
                <w:szCs w:val="20"/>
                <w:lang w:val="en-GB" w:eastAsia="zh-CN"/>
              </w:rPr>
              <w:t xml:space="preserve">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 xml:space="preserve">When the high priority HARQ-ACK corresponding to the SPS PDSCH or SPS PDSCH release, the multiplexing can be enabled/disabled by RRC configuration. For other cases, the multiplexing can be enabled/disabled by DCI indication as more scheduling flexibility at </w:t>
            </w:r>
            <w:proofErr w:type="spellStart"/>
            <w:r>
              <w:rPr>
                <w:rFonts w:eastAsia="SimSun" w:hint="eastAsia"/>
                <w:szCs w:val="20"/>
                <w:lang w:eastAsia="zh-CN"/>
              </w:rPr>
              <w:t>gNB</w:t>
            </w:r>
            <w:proofErr w:type="spellEnd"/>
            <w:r>
              <w:rPr>
                <w:rFonts w:eastAsia="SimSun" w:hint="eastAsia"/>
                <w:szCs w:val="20"/>
                <w:lang w:eastAsia="zh-CN"/>
              </w:rPr>
              <w:t xml:space="preserve">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 xml:space="preserve">Agree with Nokia’s points that explicit control by DCI is required for dynamic scheduling. In addition, implicit rules may be insufficient because the 2-level priority indication does not capture all QoS requirements of the related traffic, which are only known at the </w:t>
            </w:r>
            <w:proofErr w:type="spellStart"/>
            <w:r>
              <w:rPr>
                <w:rFonts w:eastAsia="SimSun"/>
                <w:szCs w:val="20"/>
                <w:lang w:eastAsia="zh-CN"/>
              </w:rPr>
              <w:t>gNB</w:t>
            </w:r>
            <w:proofErr w:type="spellEnd"/>
            <w:r>
              <w:rPr>
                <w:rFonts w:eastAsia="SimSun"/>
                <w:szCs w:val="20"/>
                <w:lang w:eastAsia="zh-CN"/>
              </w:rPr>
              <w:t xml:space="preserve"> (for DL).</w:t>
            </w:r>
          </w:p>
        </w:tc>
      </w:tr>
      <w:tr w:rsidR="005E3D17" w:rsidRPr="00954597" w14:paraId="5780049F" w14:textId="77777777" w:rsidTr="005E3D17">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696E4B">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5E3D17">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5E3D17">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w:t>
            </w:r>
            <w:proofErr w:type="spellStart"/>
            <w:r w:rsidRPr="0094123D">
              <w:rPr>
                <w:rFonts w:eastAsia="SimSun"/>
                <w:i/>
                <w:iCs/>
                <w:lang w:eastAsia="zh-CN"/>
              </w:rPr>
              <w:t>eMBB</w:t>
            </w:r>
            <w:proofErr w:type="spellEnd"/>
            <w:r w:rsidRPr="0094123D">
              <w:rPr>
                <w:rFonts w:eastAsia="SimSun"/>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 xml:space="preserve">Observation 3.1: Errors in low-priority HARQ-ACK codebook size determination may cause selection of different PUCCH resource set or use of smaller number of RBs for the multiplexed high-priority and low-priority HARQ-ACKs feedback than what </w:t>
            </w:r>
            <w:proofErr w:type="spellStart"/>
            <w:r w:rsidRPr="00FC31A4">
              <w:rPr>
                <w:b/>
                <w:bCs/>
                <w:i/>
                <w:iCs/>
                <w:sz w:val="22"/>
                <w:szCs w:val="22"/>
              </w:rPr>
              <w:t>gNB</w:t>
            </w:r>
            <w:proofErr w:type="spellEnd"/>
            <w:r w:rsidRPr="00FC31A4">
              <w:rPr>
                <w:b/>
                <w:bCs/>
                <w:i/>
                <w:iCs/>
                <w:sz w:val="22"/>
                <w:szCs w:val="22"/>
              </w:rPr>
              <w:t xml:space="preserve">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 xml:space="preserve">Proposal 3.3: RAN1 to define how to avoid discrepancy between the UE and the </w:t>
            </w:r>
            <w:proofErr w:type="spellStart"/>
            <w:r w:rsidRPr="00FC31A4">
              <w:rPr>
                <w:b/>
                <w:bCs/>
                <w:sz w:val="22"/>
                <w:szCs w:val="22"/>
              </w:rPr>
              <w:t>gNB</w:t>
            </w:r>
            <w:proofErr w:type="spellEnd"/>
            <w:r w:rsidRPr="00FC31A4">
              <w:rPr>
                <w:b/>
                <w:bCs/>
                <w:sz w:val="22"/>
                <w:szCs w:val="22"/>
              </w:rPr>
              <w:t xml:space="preserve">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 xml:space="preserve">How the PUCCH resource set is exactly determined, i.e. whether to determine the resource set based on the total number of high-priority and low-priority HARQ-ACK bits or not, could be discussed separately. One important related issue is the possible discrepancy between the </w:t>
            </w:r>
            <w:proofErr w:type="spellStart"/>
            <w:r>
              <w:rPr>
                <w:rFonts w:eastAsia="SimSun"/>
                <w:szCs w:val="20"/>
                <w:lang w:eastAsia="zh-CN"/>
              </w:rPr>
              <w:t>gNB</w:t>
            </w:r>
            <w:proofErr w:type="spellEnd"/>
            <w:r>
              <w:rPr>
                <w:rFonts w:eastAsia="SimSun"/>
                <w:szCs w:val="20"/>
                <w:lang w:eastAsia="zh-CN"/>
              </w:rPr>
              <w:t xml:space="preserve">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w:t>
            </w:r>
            <w:proofErr w:type="spellStart"/>
            <w:r w:rsidRPr="007E76EF">
              <w:rPr>
                <w:rFonts w:eastAsia="SimSun"/>
                <w:szCs w:val="20"/>
                <w:lang w:eastAsia="zh-CN"/>
              </w:rPr>
              <w:t>gNB</w:t>
            </w:r>
            <w:proofErr w:type="spellEnd"/>
            <w:r w:rsidRPr="007E76EF">
              <w:rPr>
                <w:rFonts w:eastAsia="SimSun"/>
                <w:szCs w:val="20"/>
                <w:lang w:eastAsia="zh-CN"/>
              </w:rPr>
              <w:t xml:space="preserve">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ListParagraph"/>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ListParagraph"/>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ListParagraph"/>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ListParagraph"/>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ListParagraph"/>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696E4B">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5E3D17">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5E3D17">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xml:space="preserve">: Controlled by </w:t>
      </w:r>
      <w:proofErr w:type="spellStart"/>
      <w:r w:rsidRPr="00850619">
        <w:rPr>
          <w:rFonts w:eastAsia="SimSun"/>
          <w:lang w:eastAsia="zh-CN"/>
        </w:rPr>
        <w:t>gNB</w:t>
      </w:r>
      <w:proofErr w:type="spellEnd"/>
      <w:r w:rsidRPr="00850619">
        <w:rPr>
          <w:rFonts w:eastAsia="SimSun"/>
          <w:lang w:eastAsia="zh-CN"/>
        </w:rPr>
        <w:t xml:space="preserve">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Heading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TW"/>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TW"/>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TW"/>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TW"/>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w:t>
            </w:r>
            <w:proofErr w:type="spellStart"/>
            <w:r w:rsidRPr="000559B9">
              <w:rPr>
                <w:rFonts w:eastAsia="SimSun"/>
                <w:b/>
                <w:bCs/>
                <w:szCs w:val="20"/>
                <w:lang w:val="en-GB" w:eastAsia="zh-CN"/>
              </w:rPr>
              <w:t>i</w:t>
            </w:r>
            <w:proofErr w:type="spellEnd"/>
            <w:r w:rsidRPr="000559B9">
              <w:rPr>
                <w:rFonts w:eastAsia="SimSun"/>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Heading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BodyText"/>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Caption"/>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BodyText"/>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 xml:space="preserve">For HARQ-ACK multiplexing on PUSCH of different priority in R17, support a mechanism for </w:t>
      </w:r>
      <w:proofErr w:type="spellStart"/>
      <w:r w:rsidRPr="00407ED9">
        <w:rPr>
          <w:rFonts w:eastAsia="Microsoft YaHei"/>
          <w:i/>
        </w:rPr>
        <w:t>gNB</w:t>
      </w:r>
      <w:proofErr w:type="spellEnd"/>
      <w:r w:rsidRPr="00407ED9">
        <w:rPr>
          <w:rFonts w:eastAsia="Microsoft YaHei"/>
          <w:i/>
        </w:rPr>
        <w:t xml:space="preserve">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Heading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ListParagraph"/>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TW"/>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TW"/>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696E4B">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5E3D17">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BodyText"/>
        <w:rPr>
          <w:rFonts w:eastAsia="SimSun"/>
        </w:rPr>
      </w:pPr>
    </w:p>
    <w:p w14:paraId="44C9846D" w14:textId="64D8C4A9" w:rsidR="0021078B" w:rsidRDefault="00FA178F" w:rsidP="0021078B">
      <w:pPr>
        <w:pStyle w:val="Heading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Heading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w:t>
            </w:r>
            <w:proofErr w:type="spellStart"/>
            <w:r>
              <w:rPr>
                <w:rFonts w:hint="eastAsia"/>
                <w:i/>
                <w:iCs/>
                <w:lang w:eastAsia="zh-CN"/>
              </w:rPr>
              <w:t>gNB</w:t>
            </w:r>
            <w:proofErr w:type="spellEnd"/>
            <w:r>
              <w:rPr>
                <w:rFonts w:hint="eastAsia"/>
                <w:i/>
                <w:iCs/>
                <w:lang w:eastAsia="zh-CN"/>
              </w:rPr>
              <w:t xml:space="preserve">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 xml:space="preserve">new beta-offset value(s), at least 0, to allow </w:t>
            </w:r>
            <w:proofErr w:type="spellStart"/>
            <w:r w:rsidRPr="00FC31A4">
              <w:rPr>
                <w:b/>
                <w:bCs/>
                <w:sz w:val="22"/>
                <w:szCs w:val="22"/>
                <w:lang w:val="en-GB"/>
              </w:rPr>
              <w:t>gNB</w:t>
            </w:r>
            <w:proofErr w:type="spellEnd"/>
            <w:r w:rsidRPr="00FC31A4">
              <w:rPr>
                <w:b/>
                <w:bCs/>
                <w:sz w:val="22"/>
                <w:szCs w:val="22"/>
                <w:lang w:val="en-GB"/>
              </w:rPr>
              <w:t xml:space="preserve">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ListParagraph"/>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5E3D17">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ListParagraph"/>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ListParagraph"/>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696E4B">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5E3D17">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2A6D8E" w:rsidRPr="00954597" w14:paraId="5C5C2144" w14:textId="77777777" w:rsidTr="005E3D17">
        <w:tc>
          <w:tcPr>
            <w:tcW w:w="1376" w:type="dxa"/>
            <w:shd w:val="clear" w:color="auto" w:fill="auto"/>
          </w:tcPr>
          <w:p w14:paraId="3495EE85" w14:textId="77777777" w:rsidR="002A6D8E" w:rsidRPr="00954597" w:rsidRDefault="002A6D8E" w:rsidP="002A6D8E">
            <w:pPr>
              <w:spacing w:after="120"/>
              <w:rPr>
                <w:rFonts w:eastAsia="SimSun"/>
                <w:szCs w:val="20"/>
                <w:lang w:eastAsia="zh-CN"/>
              </w:rPr>
            </w:pPr>
          </w:p>
        </w:tc>
        <w:tc>
          <w:tcPr>
            <w:tcW w:w="7686" w:type="dxa"/>
            <w:shd w:val="clear" w:color="auto" w:fill="auto"/>
          </w:tcPr>
          <w:p w14:paraId="76EC2534" w14:textId="77777777" w:rsidR="002A6D8E" w:rsidRPr="00954597" w:rsidRDefault="002A6D8E" w:rsidP="002A6D8E">
            <w:pPr>
              <w:spacing w:after="120"/>
              <w:rPr>
                <w:rFonts w:eastAsia="SimSun"/>
                <w:szCs w:val="20"/>
                <w:lang w:eastAsia="zh-CN"/>
              </w:rPr>
            </w:pPr>
          </w:p>
        </w:tc>
      </w:tr>
      <w:tr w:rsidR="002A6D8E" w:rsidRPr="00954597" w14:paraId="2C43695F" w14:textId="77777777" w:rsidTr="005E3D17">
        <w:tc>
          <w:tcPr>
            <w:tcW w:w="1376" w:type="dxa"/>
            <w:shd w:val="clear" w:color="auto" w:fill="auto"/>
          </w:tcPr>
          <w:p w14:paraId="557524C3" w14:textId="77777777" w:rsidR="002A6D8E" w:rsidRPr="00954597" w:rsidRDefault="002A6D8E" w:rsidP="002A6D8E">
            <w:pPr>
              <w:spacing w:after="120"/>
              <w:rPr>
                <w:rFonts w:eastAsia="SimSun"/>
                <w:szCs w:val="20"/>
                <w:lang w:eastAsia="zh-CN"/>
              </w:rPr>
            </w:pPr>
          </w:p>
        </w:tc>
        <w:tc>
          <w:tcPr>
            <w:tcW w:w="7686" w:type="dxa"/>
            <w:shd w:val="clear" w:color="auto" w:fill="auto"/>
          </w:tcPr>
          <w:p w14:paraId="0A103EBC" w14:textId="77777777" w:rsidR="002A6D8E" w:rsidRPr="00954597" w:rsidRDefault="002A6D8E" w:rsidP="002A6D8E">
            <w:pPr>
              <w:spacing w:after="120"/>
              <w:rPr>
                <w:rFonts w:eastAsia="SimSun"/>
                <w:szCs w:val="20"/>
                <w:lang w:eastAsia="zh-CN"/>
              </w:rPr>
            </w:pPr>
          </w:p>
        </w:tc>
      </w:tr>
      <w:tr w:rsidR="002A6D8E" w:rsidRPr="00954597" w14:paraId="2381F234" w14:textId="77777777" w:rsidTr="005E3D17">
        <w:tc>
          <w:tcPr>
            <w:tcW w:w="1376" w:type="dxa"/>
            <w:shd w:val="clear" w:color="auto" w:fill="auto"/>
          </w:tcPr>
          <w:p w14:paraId="312E2865" w14:textId="77777777" w:rsidR="002A6D8E" w:rsidRPr="00954597" w:rsidRDefault="002A6D8E" w:rsidP="002A6D8E">
            <w:pPr>
              <w:spacing w:after="120"/>
              <w:rPr>
                <w:rFonts w:eastAsia="SimSun"/>
                <w:szCs w:val="20"/>
                <w:lang w:eastAsia="zh-CN"/>
              </w:rPr>
            </w:pPr>
          </w:p>
        </w:tc>
        <w:tc>
          <w:tcPr>
            <w:tcW w:w="7686" w:type="dxa"/>
            <w:shd w:val="clear" w:color="auto" w:fill="auto"/>
          </w:tcPr>
          <w:p w14:paraId="52D07E16" w14:textId="77777777" w:rsidR="002A6D8E" w:rsidRPr="00954597" w:rsidRDefault="002A6D8E" w:rsidP="002A6D8E">
            <w:pPr>
              <w:spacing w:after="120"/>
              <w:rPr>
                <w:rFonts w:eastAsia="SimSun"/>
                <w:szCs w:val="20"/>
                <w:lang w:eastAsia="zh-CN"/>
              </w:rPr>
            </w:pPr>
          </w:p>
        </w:tc>
      </w:tr>
      <w:tr w:rsidR="002A6D8E" w:rsidRPr="00954597" w14:paraId="7CDADFFE" w14:textId="77777777" w:rsidTr="005E3D17">
        <w:tc>
          <w:tcPr>
            <w:tcW w:w="1376" w:type="dxa"/>
            <w:shd w:val="clear" w:color="auto" w:fill="auto"/>
          </w:tcPr>
          <w:p w14:paraId="4B35710F" w14:textId="77777777" w:rsidR="002A6D8E" w:rsidRPr="00954597" w:rsidRDefault="002A6D8E" w:rsidP="002A6D8E">
            <w:pPr>
              <w:spacing w:after="120"/>
              <w:rPr>
                <w:rFonts w:eastAsia="SimSun"/>
                <w:szCs w:val="20"/>
                <w:lang w:eastAsia="zh-CN"/>
              </w:rPr>
            </w:pPr>
          </w:p>
        </w:tc>
        <w:tc>
          <w:tcPr>
            <w:tcW w:w="7686" w:type="dxa"/>
            <w:shd w:val="clear" w:color="auto" w:fill="auto"/>
          </w:tcPr>
          <w:p w14:paraId="5C3F20D1" w14:textId="77777777" w:rsidR="002A6D8E" w:rsidRPr="00954597" w:rsidRDefault="002A6D8E" w:rsidP="002A6D8E">
            <w:pPr>
              <w:spacing w:after="120"/>
              <w:rPr>
                <w:rFonts w:eastAsia="SimSun"/>
                <w:szCs w:val="20"/>
                <w:lang w:eastAsia="zh-CN"/>
              </w:rPr>
            </w:pPr>
          </w:p>
        </w:tc>
      </w:tr>
      <w:tr w:rsidR="002A6D8E" w:rsidRPr="00954597" w14:paraId="52ACED40" w14:textId="77777777" w:rsidTr="005E3D17">
        <w:tc>
          <w:tcPr>
            <w:tcW w:w="1376" w:type="dxa"/>
            <w:shd w:val="clear" w:color="auto" w:fill="auto"/>
          </w:tcPr>
          <w:p w14:paraId="73D00CF4" w14:textId="77777777" w:rsidR="002A6D8E" w:rsidRPr="00954597" w:rsidRDefault="002A6D8E" w:rsidP="002A6D8E">
            <w:pPr>
              <w:spacing w:after="120"/>
              <w:rPr>
                <w:rFonts w:eastAsia="SimSun"/>
                <w:szCs w:val="20"/>
                <w:lang w:eastAsia="zh-CN"/>
              </w:rPr>
            </w:pPr>
          </w:p>
        </w:tc>
        <w:tc>
          <w:tcPr>
            <w:tcW w:w="7686" w:type="dxa"/>
            <w:shd w:val="clear" w:color="auto" w:fill="auto"/>
          </w:tcPr>
          <w:p w14:paraId="0F8DEC3F" w14:textId="77777777" w:rsidR="002A6D8E" w:rsidRPr="00954597" w:rsidRDefault="002A6D8E" w:rsidP="002A6D8E">
            <w:pPr>
              <w:spacing w:after="120"/>
              <w:rPr>
                <w:rFonts w:eastAsia="SimSun"/>
                <w:szCs w:val="20"/>
                <w:lang w:eastAsia="zh-CN"/>
              </w:rPr>
            </w:pPr>
          </w:p>
        </w:tc>
      </w:tr>
      <w:tr w:rsidR="002A6D8E" w:rsidRPr="00954597" w14:paraId="02C3284C" w14:textId="77777777" w:rsidTr="005E3D17">
        <w:tc>
          <w:tcPr>
            <w:tcW w:w="1376" w:type="dxa"/>
            <w:shd w:val="clear" w:color="auto" w:fill="auto"/>
          </w:tcPr>
          <w:p w14:paraId="4F168B36" w14:textId="77777777" w:rsidR="002A6D8E" w:rsidRPr="00954597" w:rsidRDefault="002A6D8E" w:rsidP="002A6D8E">
            <w:pPr>
              <w:spacing w:after="120"/>
              <w:rPr>
                <w:rFonts w:eastAsia="SimSun"/>
                <w:szCs w:val="20"/>
                <w:lang w:eastAsia="zh-CN"/>
              </w:rPr>
            </w:pPr>
          </w:p>
        </w:tc>
        <w:tc>
          <w:tcPr>
            <w:tcW w:w="7686" w:type="dxa"/>
            <w:shd w:val="clear" w:color="auto" w:fill="auto"/>
          </w:tcPr>
          <w:p w14:paraId="2EE78417" w14:textId="77777777" w:rsidR="002A6D8E" w:rsidRPr="00954597" w:rsidRDefault="002A6D8E" w:rsidP="002A6D8E">
            <w:pPr>
              <w:spacing w:after="120"/>
              <w:rPr>
                <w:rFonts w:eastAsia="SimSun"/>
                <w:szCs w:val="20"/>
                <w:lang w:eastAsia="zh-CN"/>
              </w:rPr>
            </w:pPr>
          </w:p>
        </w:tc>
      </w:tr>
      <w:tr w:rsidR="002A6D8E" w:rsidRPr="00954597" w14:paraId="1342B2E6" w14:textId="77777777" w:rsidTr="005E3D17">
        <w:tc>
          <w:tcPr>
            <w:tcW w:w="1376" w:type="dxa"/>
            <w:shd w:val="clear" w:color="auto" w:fill="auto"/>
          </w:tcPr>
          <w:p w14:paraId="13ED9918" w14:textId="77777777" w:rsidR="002A6D8E" w:rsidRPr="00954597" w:rsidRDefault="002A6D8E" w:rsidP="002A6D8E">
            <w:pPr>
              <w:spacing w:after="120"/>
              <w:rPr>
                <w:rFonts w:eastAsia="SimSun"/>
                <w:szCs w:val="20"/>
                <w:lang w:eastAsia="zh-CN"/>
              </w:rPr>
            </w:pPr>
          </w:p>
        </w:tc>
        <w:tc>
          <w:tcPr>
            <w:tcW w:w="7686" w:type="dxa"/>
            <w:shd w:val="clear" w:color="auto" w:fill="auto"/>
          </w:tcPr>
          <w:p w14:paraId="1D16EB04" w14:textId="77777777" w:rsidR="002A6D8E" w:rsidRPr="00954597" w:rsidRDefault="002A6D8E" w:rsidP="002A6D8E">
            <w:pPr>
              <w:spacing w:after="120"/>
              <w:rPr>
                <w:rFonts w:eastAsia="SimSun"/>
                <w:szCs w:val="20"/>
                <w:lang w:eastAsia="zh-CN"/>
              </w:rPr>
            </w:pPr>
          </w:p>
        </w:tc>
      </w:tr>
      <w:tr w:rsidR="002A6D8E" w:rsidRPr="00954597" w14:paraId="5CAFAA1B" w14:textId="77777777" w:rsidTr="005E3D17">
        <w:tc>
          <w:tcPr>
            <w:tcW w:w="1376" w:type="dxa"/>
            <w:shd w:val="clear" w:color="auto" w:fill="auto"/>
          </w:tcPr>
          <w:p w14:paraId="00D5EF1C" w14:textId="77777777" w:rsidR="002A6D8E" w:rsidRPr="00954597" w:rsidRDefault="002A6D8E" w:rsidP="002A6D8E">
            <w:pPr>
              <w:spacing w:after="120"/>
              <w:rPr>
                <w:rFonts w:eastAsia="SimSun"/>
                <w:szCs w:val="20"/>
                <w:lang w:eastAsia="zh-CN"/>
              </w:rPr>
            </w:pPr>
          </w:p>
        </w:tc>
        <w:tc>
          <w:tcPr>
            <w:tcW w:w="7686" w:type="dxa"/>
            <w:shd w:val="clear" w:color="auto" w:fill="auto"/>
          </w:tcPr>
          <w:p w14:paraId="2A42B893" w14:textId="77777777" w:rsidR="002A6D8E" w:rsidRPr="00954597" w:rsidRDefault="002A6D8E" w:rsidP="002A6D8E">
            <w:pPr>
              <w:spacing w:after="120"/>
              <w:rPr>
                <w:rFonts w:eastAsia="SimSun"/>
                <w:szCs w:val="20"/>
                <w:lang w:eastAsia="zh-CN"/>
              </w:rPr>
            </w:pPr>
          </w:p>
        </w:tc>
      </w:tr>
      <w:tr w:rsidR="002A6D8E" w:rsidRPr="00954597" w14:paraId="096E0F23" w14:textId="77777777" w:rsidTr="005E3D17">
        <w:tc>
          <w:tcPr>
            <w:tcW w:w="1376" w:type="dxa"/>
            <w:shd w:val="clear" w:color="auto" w:fill="auto"/>
          </w:tcPr>
          <w:p w14:paraId="5A1DB6D2" w14:textId="77777777" w:rsidR="002A6D8E" w:rsidRPr="00954597" w:rsidRDefault="002A6D8E" w:rsidP="002A6D8E">
            <w:pPr>
              <w:spacing w:after="120"/>
              <w:rPr>
                <w:rFonts w:eastAsia="SimSun"/>
                <w:szCs w:val="20"/>
                <w:lang w:eastAsia="zh-CN"/>
              </w:rPr>
            </w:pPr>
          </w:p>
        </w:tc>
        <w:tc>
          <w:tcPr>
            <w:tcW w:w="7686" w:type="dxa"/>
            <w:shd w:val="clear" w:color="auto" w:fill="auto"/>
          </w:tcPr>
          <w:p w14:paraId="40FB72C0" w14:textId="77777777" w:rsidR="002A6D8E" w:rsidRPr="00954597" w:rsidRDefault="002A6D8E" w:rsidP="002A6D8E">
            <w:pPr>
              <w:spacing w:after="120"/>
              <w:rPr>
                <w:rFonts w:eastAsia="SimSun"/>
                <w:szCs w:val="20"/>
                <w:lang w:eastAsia="zh-CN"/>
              </w:rPr>
            </w:pPr>
          </w:p>
        </w:tc>
      </w:tr>
      <w:tr w:rsidR="002A6D8E" w:rsidRPr="00954597" w14:paraId="6C55928D" w14:textId="77777777" w:rsidTr="005E3D17">
        <w:tc>
          <w:tcPr>
            <w:tcW w:w="1376" w:type="dxa"/>
            <w:shd w:val="clear" w:color="auto" w:fill="auto"/>
          </w:tcPr>
          <w:p w14:paraId="5E476DF5" w14:textId="77777777" w:rsidR="002A6D8E" w:rsidRPr="00954597" w:rsidRDefault="002A6D8E" w:rsidP="002A6D8E">
            <w:pPr>
              <w:spacing w:after="120"/>
              <w:rPr>
                <w:rFonts w:eastAsia="SimSun"/>
                <w:szCs w:val="20"/>
                <w:lang w:eastAsia="zh-CN"/>
              </w:rPr>
            </w:pPr>
          </w:p>
        </w:tc>
        <w:tc>
          <w:tcPr>
            <w:tcW w:w="7686" w:type="dxa"/>
            <w:shd w:val="clear" w:color="auto" w:fill="auto"/>
          </w:tcPr>
          <w:p w14:paraId="75522B57" w14:textId="77777777" w:rsidR="002A6D8E" w:rsidRPr="00954597" w:rsidRDefault="002A6D8E" w:rsidP="002A6D8E">
            <w:pPr>
              <w:spacing w:after="120"/>
              <w:rPr>
                <w:rFonts w:eastAsia="SimSun"/>
                <w:szCs w:val="20"/>
                <w:lang w:eastAsia="zh-CN"/>
              </w:rPr>
            </w:pPr>
          </w:p>
        </w:tc>
      </w:tr>
      <w:tr w:rsidR="002A6D8E" w:rsidRPr="00954597" w14:paraId="3F5EE713" w14:textId="77777777" w:rsidTr="005E3D17">
        <w:tc>
          <w:tcPr>
            <w:tcW w:w="1376" w:type="dxa"/>
            <w:shd w:val="clear" w:color="auto" w:fill="auto"/>
          </w:tcPr>
          <w:p w14:paraId="29E4256F" w14:textId="77777777" w:rsidR="002A6D8E" w:rsidRPr="00954597" w:rsidRDefault="002A6D8E" w:rsidP="002A6D8E">
            <w:pPr>
              <w:spacing w:after="120"/>
              <w:rPr>
                <w:rFonts w:eastAsia="SimSun"/>
                <w:szCs w:val="20"/>
                <w:lang w:eastAsia="zh-CN"/>
              </w:rPr>
            </w:pPr>
          </w:p>
        </w:tc>
        <w:tc>
          <w:tcPr>
            <w:tcW w:w="7686" w:type="dxa"/>
            <w:shd w:val="clear" w:color="auto" w:fill="auto"/>
          </w:tcPr>
          <w:p w14:paraId="307CD0B1" w14:textId="77777777" w:rsidR="002A6D8E" w:rsidRPr="00954597" w:rsidRDefault="002A6D8E" w:rsidP="002A6D8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6" type="#_x0000_t75" alt="" style="width:11.9pt;height:11.9pt;mso-width-percent:0;mso-height-percent:0;mso-width-percent:0;mso-height-percent:0" o:ole="">
                  <v:imagedata r:id="rId38" o:title=""/>
                </v:shape>
                <o:OLEObject Type="Embed" ProgID="Equation.DSMT4" ShapeID="_x0000_i1026" DrawAspect="Content" ObjectID="_1673191124"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Heading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BodyText"/>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proofErr w:type="spellStart"/>
      <w:r w:rsidRPr="00F60B14">
        <w:rPr>
          <w:rFonts w:eastAsia="SimSun"/>
          <w:color w:val="0070C0"/>
          <w:lang w:val="sv-SE" w:eastAsia="zh-CN"/>
        </w:rPr>
        <w:t>vivo</w:t>
      </w:r>
      <w:proofErr w:type="spellEnd"/>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proofErr w:type="spellStart"/>
            <w:r w:rsidRPr="00FC31A4">
              <w:rPr>
                <w:rStyle w:val="normaltextrun"/>
                <w:bCs/>
                <w:color w:val="000000"/>
                <w:sz w:val="22"/>
                <w:szCs w:val="22"/>
                <w:shd w:val="clear" w:color="auto" w:fill="FFFFFF"/>
              </w:rPr>
              <w:t>gNB</w:t>
            </w:r>
            <w:proofErr w:type="spellEnd"/>
            <w:r w:rsidRPr="00FC31A4">
              <w:rPr>
                <w:rStyle w:val="normaltextrun"/>
                <w:bCs/>
                <w:color w:val="000000"/>
                <w:sz w:val="22"/>
                <w:szCs w:val="22"/>
                <w:shd w:val="clear" w:color="auto" w:fill="FFFFFF"/>
              </w:rPr>
              <w:t xml:space="preserve">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t>Spreadtrum</w:t>
            </w:r>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 xml:space="preserve">Proposal 8: The </w:t>
            </w:r>
            <w:proofErr w:type="spellStart"/>
            <w:r w:rsidRPr="00B20FE0">
              <w:rPr>
                <w:b/>
                <w:bCs/>
              </w:rPr>
              <w:t>gNB</w:t>
            </w:r>
            <w:proofErr w:type="spellEnd"/>
            <w:r w:rsidRPr="00B20FE0">
              <w:rPr>
                <w:b/>
                <w:bCs/>
              </w:rPr>
              <w:t xml:space="preserve">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w:t>
            </w:r>
            <w:proofErr w:type="spellStart"/>
            <w:r>
              <w:rPr>
                <w:rFonts w:eastAsia="SimSun" w:hint="eastAsia"/>
                <w:szCs w:val="20"/>
                <w:lang w:eastAsia="zh-CN"/>
              </w:rPr>
              <w:t>gNB</w:t>
            </w:r>
            <w:proofErr w:type="spellEnd"/>
            <w:r>
              <w:rPr>
                <w:rFonts w:eastAsia="SimSun" w:hint="eastAsia"/>
                <w:szCs w:val="20"/>
                <w:lang w:eastAsia="zh-CN"/>
              </w:rPr>
              <w:t xml:space="preserve">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3607DD">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696E4B">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3607DD">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3607DD">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BodyText"/>
        <w:rPr>
          <w:rFonts w:eastAsia="SimSun"/>
        </w:rPr>
      </w:pPr>
    </w:p>
    <w:p w14:paraId="4A87B210" w14:textId="71E07DD3" w:rsidR="00282E8B" w:rsidRPr="00C84F4B" w:rsidRDefault="00A52699" w:rsidP="00282E8B">
      <w:pPr>
        <w:pStyle w:val="Heading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xml:space="preserve">: Controlled by </w:t>
      </w:r>
      <w:proofErr w:type="spellStart"/>
      <w:r w:rsidRPr="00850619">
        <w:rPr>
          <w:rFonts w:eastAsia="SimSun"/>
          <w:lang w:eastAsia="zh-CN"/>
        </w:rPr>
        <w:t>gNB</w:t>
      </w:r>
      <w:proofErr w:type="spellEnd"/>
      <w:r w:rsidRPr="00850619">
        <w:rPr>
          <w:rFonts w:eastAsia="SimSun"/>
          <w:lang w:eastAsia="zh-CN"/>
        </w:rPr>
        <w:t xml:space="preserve">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BodyText"/>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w:t>
            </w:r>
            <w:proofErr w:type="spellStart"/>
            <w:r w:rsidRPr="00FC31A4">
              <w:rPr>
                <w:b/>
                <w:bCs/>
                <w:sz w:val="22"/>
                <w:szCs w:val="22"/>
              </w:rPr>
              <w:t>gNB</w:t>
            </w:r>
            <w:proofErr w:type="spellEnd"/>
            <w:r w:rsidRPr="00FC31A4">
              <w:rPr>
                <w:b/>
                <w:bCs/>
                <w:sz w:val="22"/>
                <w:szCs w:val="22"/>
              </w:rPr>
              <w:t>,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w:t>
            </w:r>
            <w:proofErr w:type="spellStart"/>
            <w:r>
              <w:rPr>
                <w:rFonts w:cs="Arial"/>
                <w:lang w:eastAsia="ja-JP"/>
              </w:rPr>
              <w:t>gNB</w:t>
            </w:r>
            <w:proofErr w:type="spellEnd"/>
            <w:r>
              <w:rPr>
                <w:rFonts w:cs="Arial"/>
                <w:lang w:eastAsia="ja-JP"/>
              </w:rPr>
              <w:t xml:space="preserve">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94123D">
              <w:rPr>
                <w:rFonts w:eastAsia="SimSun"/>
                <w:bCs/>
                <w:i/>
                <w:iCs/>
                <w:lang w:eastAsia="zh-CN"/>
              </w:rPr>
              <w:t>gNB</w:t>
            </w:r>
            <w:proofErr w:type="spellEnd"/>
            <w:r w:rsidRPr="0094123D">
              <w:rPr>
                <w:rFonts w:eastAsia="SimSun"/>
                <w:bCs/>
                <w:i/>
                <w:iCs/>
                <w:lang w:eastAsia="zh-CN"/>
              </w:rPr>
              <w:t>.</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proofErr w:type="spellStart"/>
                  <w:r w:rsidRPr="007A13E4">
                    <w:rPr>
                      <w:szCs w:val="20"/>
                      <w:lang w:val="sv-SE"/>
                    </w:rPr>
                    <w:t>Drop</w:t>
                  </w:r>
                  <w:proofErr w:type="spellEnd"/>
                  <w:r w:rsidRPr="007A13E4">
                    <w:rPr>
                      <w:szCs w:val="20"/>
                      <w:lang w:val="sv-SE"/>
                    </w:rPr>
                    <w:t xml:space="preserve">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58D3FCFC">
              <w:rPr>
                <w:rFonts w:eastAsia="SimSun"/>
                <w:b/>
                <w:bCs/>
                <w:lang w:eastAsia="zh-CN"/>
              </w:rPr>
              <w:t>1,d</w:t>
            </w:r>
            <w:proofErr w:type="gramEnd"/>
            <w:r w:rsidRPr="58D3FCFC">
              <w:rPr>
                <w:rFonts w:eastAsia="SimSun"/>
                <w:b/>
                <w:bCs/>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25" type="#_x0000_t75" alt="" style="width:13.2pt;height:13.2pt;mso-width-percent:0;mso-height-percent:0;mso-width-percent:0;mso-height-percent:0" o:ole="">
                        <v:imagedata r:id="rId40" o:title=""/>
                      </v:shape>
                      <o:OLEObject Type="Embed" ProgID="Equation.3" ShapeID="_x0000_i1025" DrawAspect="Content" ObjectID="_1673191125"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696E4B">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0D08AB">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0D08AB">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BodyText"/>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w:t>
      </w:r>
      <w:proofErr w:type="gramStart"/>
      <w:r w:rsidR="00654262" w:rsidRPr="00654262">
        <w:rPr>
          <w:rFonts w:hint="eastAsia"/>
          <w:color w:val="0070C0"/>
          <w:szCs w:val="20"/>
        </w:rPr>
        <w:t>e.g.</w:t>
      </w:r>
      <w:proofErr w:type="gramEnd"/>
      <w:r w:rsidR="00654262" w:rsidRPr="00654262">
        <w:rPr>
          <w:rFonts w:hint="eastAsia"/>
          <w:color w:val="0070C0"/>
          <w:szCs w:val="20"/>
        </w:rPr>
        <w:t xml:space="preserve">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2" w:name="_Hlk61276759"/>
            <w:bookmarkStart w:id="83"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061700" w:rsidP="00B158B3">
      <w:pPr>
        <w:pStyle w:val="ListParagraph"/>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061700" w:rsidP="00B158B3">
      <w:pPr>
        <w:pStyle w:val="ListParagraph"/>
        <w:numPr>
          <w:ilvl w:val="0"/>
          <w:numId w:val="3"/>
        </w:numPr>
        <w:rPr>
          <w:lang w:eastAsia="x-none"/>
        </w:rPr>
      </w:pPr>
      <w:hyperlink r:id="rId43" w:history="1">
        <w:r w:rsidR="00B158B3" w:rsidRPr="00B158B3">
          <w:rPr>
            <w:rStyle w:val="Hyperlink"/>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061700" w:rsidP="00B158B3">
      <w:pPr>
        <w:pStyle w:val="ListParagraph"/>
        <w:numPr>
          <w:ilvl w:val="0"/>
          <w:numId w:val="3"/>
        </w:numPr>
        <w:rPr>
          <w:lang w:eastAsia="x-none"/>
        </w:rPr>
      </w:pPr>
      <w:hyperlink r:id="rId44" w:history="1">
        <w:r w:rsidR="00B158B3" w:rsidRPr="00B158B3">
          <w:rPr>
            <w:rStyle w:val="Hyperlink"/>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061700" w:rsidP="00B158B3">
      <w:pPr>
        <w:pStyle w:val="ListParagraph"/>
        <w:numPr>
          <w:ilvl w:val="0"/>
          <w:numId w:val="3"/>
        </w:numPr>
        <w:rPr>
          <w:lang w:eastAsia="x-none"/>
        </w:rPr>
      </w:pPr>
      <w:hyperlink r:id="rId45" w:history="1">
        <w:r w:rsidR="00B158B3" w:rsidRPr="00B158B3">
          <w:rPr>
            <w:rStyle w:val="Hyperlink"/>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061700" w:rsidP="00B158B3">
      <w:pPr>
        <w:pStyle w:val="ListParagraph"/>
        <w:numPr>
          <w:ilvl w:val="0"/>
          <w:numId w:val="3"/>
        </w:numPr>
        <w:rPr>
          <w:lang w:eastAsia="x-none"/>
        </w:rPr>
      </w:pPr>
      <w:hyperlink r:id="rId46" w:history="1">
        <w:r w:rsidR="00B158B3" w:rsidRPr="00B158B3">
          <w:rPr>
            <w:rStyle w:val="Hyperlink"/>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061700" w:rsidP="00B158B3">
      <w:pPr>
        <w:pStyle w:val="ListParagraph"/>
        <w:numPr>
          <w:ilvl w:val="0"/>
          <w:numId w:val="3"/>
        </w:numPr>
        <w:rPr>
          <w:lang w:eastAsia="x-none"/>
        </w:rPr>
      </w:pPr>
      <w:hyperlink r:id="rId47" w:history="1">
        <w:r w:rsidR="00B158B3" w:rsidRPr="00B158B3">
          <w:rPr>
            <w:rStyle w:val="Hyperlink"/>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061700" w:rsidP="00B158B3">
      <w:pPr>
        <w:pStyle w:val="ListParagraph"/>
        <w:numPr>
          <w:ilvl w:val="0"/>
          <w:numId w:val="3"/>
        </w:numPr>
        <w:rPr>
          <w:lang w:eastAsia="x-none"/>
        </w:rPr>
      </w:pPr>
      <w:hyperlink r:id="rId48" w:history="1">
        <w:r w:rsidR="00B158B3" w:rsidRPr="00B158B3">
          <w:rPr>
            <w:rStyle w:val="Hyperlink"/>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061700" w:rsidP="00B158B3">
      <w:pPr>
        <w:pStyle w:val="ListParagraph"/>
        <w:numPr>
          <w:ilvl w:val="0"/>
          <w:numId w:val="3"/>
        </w:numPr>
        <w:rPr>
          <w:lang w:eastAsia="x-none"/>
        </w:rPr>
      </w:pPr>
      <w:hyperlink r:id="rId49" w:history="1">
        <w:r w:rsidR="00B158B3" w:rsidRPr="00B158B3">
          <w:rPr>
            <w:rStyle w:val="Hyperlink"/>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061700" w:rsidP="00B158B3">
      <w:pPr>
        <w:pStyle w:val="ListParagraph"/>
        <w:numPr>
          <w:ilvl w:val="0"/>
          <w:numId w:val="3"/>
        </w:numPr>
        <w:rPr>
          <w:lang w:eastAsia="x-none"/>
        </w:rPr>
      </w:pPr>
      <w:hyperlink r:id="rId50" w:history="1">
        <w:r w:rsidR="00B158B3" w:rsidRPr="00B158B3">
          <w:rPr>
            <w:rStyle w:val="Hyperlink"/>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061700" w:rsidP="00B158B3">
      <w:pPr>
        <w:pStyle w:val="ListParagraph"/>
        <w:numPr>
          <w:ilvl w:val="0"/>
          <w:numId w:val="3"/>
        </w:numPr>
        <w:rPr>
          <w:lang w:eastAsia="x-none"/>
        </w:rPr>
      </w:pPr>
      <w:hyperlink r:id="rId51" w:history="1">
        <w:r w:rsidR="00B158B3" w:rsidRPr="00B158B3">
          <w:rPr>
            <w:rStyle w:val="Hyperlink"/>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061700" w:rsidP="00B158B3">
      <w:pPr>
        <w:pStyle w:val="ListParagraph"/>
        <w:numPr>
          <w:ilvl w:val="0"/>
          <w:numId w:val="3"/>
        </w:numPr>
        <w:rPr>
          <w:lang w:eastAsia="x-none"/>
        </w:rPr>
      </w:pPr>
      <w:hyperlink r:id="rId52" w:history="1">
        <w:r w:rsidR="00B158B3" w:rsidRPr="00B158B3">
          <w:rPr>
            <w:rStyle w:val="Hyperlink"/>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061700" w:rsidP="00B158B3">
      <w:pPr>
        <w:pStyle w:val="ListParagraph"/>
        <w:numPr>
          <w:ilvl w:val="0"/>
          <w:numId w:val="3"/>
        </w:numPr>
        <w:rPr>
          <w:lang w:eastAsia="x-none"/>
        </w:rPr>
      </w:pPr>
      <w:hyperlink r:id="rId53" w:history="1">
        <w:r w:rsidR="00B158B3" w:rsidRPr="00B158B3">
          <w:rPr>
            <w:rStyle w:val="Hyperlink"/>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061700" w:rsidP="00B158B3">
      <w:pPr>
        <w:pStyle w:val="ListParagraph"/>
        <w:numPr>
          <w:ilvl w:val="0"/>
          <w:numId w:val="3"/>
        </w:numPr>
        <w:rPr>
          <w:lang w:eastAsia="x-none"/>
        </w:rPr>
      </w:pPr>
      <w:hyperlink r:id="rId54" w:history="1">
        <w:r w:rsidR="00B158B3" w:rsidRPr="00B158B3">
          <w:rPr>
            <w:rStyle w:val="Hyperlink"/>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061700" w:rsidP="00B158B3">
      <w:pPr>
        <w:pStyle w:val="ListParagraph"/>
        <w:numPr>
          <w:ilvl w:val="0"/>
          <w:numId w:val="3"/>
        </w:numPr>
        <w:rPr>
          <w:lang w:eastAsia="x-none"/>
        </w:rPr>
      </w:pPr>
      <w:hyperlink r:id="rId55" w:history="1">
        <w:r w:rsidR="00B158B3" w:rsidRPr="00B158B3">
          <w:rPr>
            <w:rStyle w:val="Hyperlink"/>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061700" w:rsidP="00B158B3">
      <w:pPr>
        <w:pStyle w:val="ListParagraph"/>
        <w:numPr>
          <w:ilvl w:val="0"/>
          <w:numId w:val="3"/>
        </w:numPr>
        <w:rPr>
          <w:lang w:eastAsia="x-none"/>
        </w:rPr>
      </w:pPr>
      <w:hyperlink r:id="rId56" w:history="1">
        <w:r w:rsidR="00B158B3" w:rsidRPr="00B158B3">
          <w:rPr>
            <w:rStyle w:val="Hyperlink"/>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061700" w:rsidP="00B158B3">
      <w:pPr>
        <w:pStyle w:val="ListParagraph"/>
        <w:numPr>
          <w:ilvl w:val="0"/>
          <w:numId w:val="3"/>
        </w:numPr>
        <w:rPr>
          <w:lang w:eastAsia="x-none"/>
        </w:rPr>
      </w:pPr>
      <w:hyperlink r:id="rId57" w:history="1">
        <w:r w:rsidR="00B158B3" w:rsidRPr="00B158B3">
          <w:rPr>
            <w:rStyle w:val="Hyperlink"/>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061700" w:rsidP="00B158B3">
      <w:pPr>
        <w:pStyle w:val="ListParagraph"/>
        <w:numPr>
          <w:ilvl w:val="0"/>
          <w:numId w:val="3"/>
        </w:numPr>
        <w:rPr>
          <w:lang w:eastAsia="x-none"/>
        </w:rPr>
      </w:pPr>
      <w:hyperlink r:id="rId58" w:history="1">
        <w:r w:rsidR="00B158B3" w:rsidRPr="00B158B3">
          <w:rPr>
            <w:rStyle w:val="Hyperlink"/>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061700" w:rsidP="00B158B3">
      <w:pPr>
        <w:pStyle w:val="ListParagraph"/>
        <w:numPr>
          <w:ilvl w:val="0"/>
          <w:numId w:val="3"/>
        </w:numPr>
        <w:rPr>
          <w:lang w:eastAsia="x-none"/>
        </w:rPr>
      </w:pPr>
      <w:hyperlink r:id="rId59" w:history="1">
        <w:r w:rsidR="00B158B3" w:rsidRPr="00B158B3">
          <w:rPr>
            <w:rStyle w:val="Hyperlink"/>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061700" w:rsidP="00B158B3">
      <w:pPr>
        <w:pStyle w:val="ListParagraph"/>
        <w:numPr>
          <w:ilvl w:val="0"/>
          <w:numId w:val="3"/>
        </w:numPr>
        <w:rPr>
          <w:lang w:eastAsia="x-none"/>
        </w:rPr>
      </w:pPr>
      <w:hyperlink r:id="rId60" w:history="1">
        <w:r w:rsidR="00B158B3" w:rsidRPr="00B158B3">
          <w:rPr>
            <w:rStyle w:val="Hyperlink"/>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061700" w:rsidP="00B158B3">
      <w:pPr>
        <w:pStyle w:val="ListParagraph"/>
        <w:numPr>
          <w:ilvl w:val="0"/>
          <w:numId w:val="3"/>
        </w:numPr>
        <w:rPr>
          <w:lang w:eastAsia="x-none"/>
        </w:rPr>
      </w:pPr>
      <w:hyperlink r:id="rId61" w:history="1">
        <w:r w:rsidR="00B158B3" w:rsidRPr="00B158B3">
          <w:rPr>
            <w:rStyle w:val="Hyperlink"/>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061700" w:rsidP="00B158B3">
      <w:pPr>
        <w:pStyle w:val="ListParagraph"/>
        <w:numPr>
          <w:ilvl w:val="0"/>
          <w:numId w:val="3"/>
        </w:numPr>
        <w:rPr>
          <w:lang w:eastAsia="x-none"/>
        </w:rPr>
      </w:pPr>
      <w:hyperlink r:id="rId62" w:history="1">
        <w:r w:rsidR="00B158B3" w:rsidRPr="00B158B3">
          <w:rPr>
            <w:rStyle w:val="Hyperlink"/>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061700" w:rsidP="00B158B3">
      <w:pPr>
        <w:pStyle w:val="ListParagraph"/>
        <w:numPr>
          <w:ilvl w:val="0"/>
          <w:numId w:val="3"/>
        </w:numPr>
        <w:rPr>
          <w:lang w:eastAsia="x-none"/>
        </w:rPr>
      </w:pPr>
      <w:hyperlink r:id="rId63" w:history="1">
        <w:r w:rsidR="00B158B3" w:rsidRPr="00B158B3">
          <w:rPr>
            <w:rStyle w:val="Hyperlink"/>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061700" w:rsidP="00B158B3">
      <w:pPr>
        <w:pStyle w:val="ListParagraph"/>
        <w:numPr>
          <w:ilvl w:val="0"/>
          <w:numId w:val="3"/>
        </w:numPr>
        <w:rPr>
          <w:lang w:eastAsia="x-none"/>
        </w:rPr>
      </w:pPr>
      <w:hyperlink r:id="rId64" w:history="1">
        <w:r w:rsidR="00B158B3" w:rsidRPr="00B158B3">
          <w:rPr>
            <w:rStyle w:val="Hyperlink"/>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061700" w:rsidP="00B158B3">
      <w:pPr>
        <w:pStyle w:val="ListParagraph"/>
        <w:numPr>
          <w:ilvl w:val="0"/>
          <w:numId w:val="3"/>
        </w:numPr>
        <w:rPr>
          <w:lang w:eastAsia="x-none"/>
        </w:rPr>
      </w:pPr>
      <w:hyperlink r:id="rId65" w:history="1">
        <w:r w:rsidR="00B158B3" w:rsidRPr="00B158B3">
          <w:rPr>
            <w:rStyle w:val="Hyperlink"/>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061700" w:rsidP="00B158B3">
      <w:pPr>
        <w:pStyle w:val="ListParagraph"/>
        <w:numPr>
          <w:ilvl w:val="0"/>
          <w:numId w:val="3"/>
        </w:numPr>
        <w:rPr>
          <w:lang w:eastAsia="x-none"/>
        </w:rPr>
      </w:pPr>
      <w:hyperlink r:id="rId66" w:history="1">
        <w:r w:rsidR="00B158B3" w:rsidRPr="00B158B3">
          <w:rPr>
            <w:rStyle w:val="Hyperlink"/>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061700" w:rsidP="00B158B3">
      <w:pPr>
        <w:pStyle w:val="ListParagraph"/>
        <w:numPr>
          <w:ilvl w:val="0"/>
          <w:numId w:val="3"/>
        </w:numPr>
        <w:rPr>
          <w:lang w:eastAsia="x-none"/>
        </w:rPr>
      </w:pPr>
      <w:hyperlink r:id="rId67" w:history="1">
        <w:r w:rsidR="00B158B3" w:rsidRPr="00B158B3">
          <w:rPr>
            <w:rStyle w:val="Hyperlink"/>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061700" w:rsidP="00B158B3">
      <w:pPr>
        <w:pStyle w:val="ListParagraph"/>
        <w:numPr>
          <w:ilvl w:val="0"/>
          <w:numId w:val="3"/>
        </w:numPr>
        <w:rPr>
          <w:lang w:eastAsia="x-none"/>
        </w:rPr>
      </w:pPr>
      <w:hyperlink r:id="rId68" w:history="1">
        <w:r w:rsidR="00B158B3" w:rsidRPr="00B158B3">
          <w:rPr>
            <w:rStyle w:val="Hyperlink"/>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061700" w:rsidP="00B158B3">
      <w:pPr>
        <w:pStyle w:val="ListParagraph"/>
        <w:numPr>
          <w:ilvl w:val="0"/>
          <w:numId w:val="3"/>
        </w:numPr>
        <w:rPr>
          <w:lang w:eastAsia="x-none"/>
        </w:rPr>
      </w:pPr>
      <w:hyperlink r:id="rId69" w:history="1">
        <w:r w:rsidR="00B158B3" w:rsidRPr="00B158B3">
          <w:rPr>
            <w:rStyle w:val="Hyperlink"/>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061700" w:rsidP="00B158B3">
      <w:pPr>
        <w:pStyle w:val="ListParagraph"/>
        <w:numPr>
          <w:ilvl w:val="0"/>
          <w:numId w:val="3"/>
        </w:numPr>
        <w:rPr>
          <w:lang w:eastAsia="x-none"/>
        </w:rPr>
      </w:pPr>
      <w:hyperlink r:id="rId70" w:history="1">
        <w:r w:rsidR="00B158B3" w:rsidRPr="00B158B3">
          <w:rPr>
            <w:rStyle w:val="Hyperlink"/>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061700" w:rsidP="00B158B3">
      <w:pPr>
        <w:pStyle w:val="ListParagraph"/>
        <w:numPr>
          <w:ilvl w:val="0"/>
          <w:numId w:val="3"/>
        </w:numPr>
        <w:rPr>
          <w:lang w:eastAsia="x-none"/>
        </w:rPr>
      </w:pPr>
      <w:hyperlink r:id="rId71" w:history="1">
        <w:r w:rsidR="00B158B3" w:rsidRPr="00B158B3">
          <w:rPr>
            <w:rStyle w:val="Hyperlink"/>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even" r:id="rId72"/>
      <w:headerReference w:type="default"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DA7A" w14:textId="77777777" w:rsidR="00061700" w:rsidRDefault="00061700">
      <w:r>
        <w:separator/>
      </w:r>
    </w:p>
  </w:endnote>
  <w:endnote w:type="continuationSeparator" w:id="0">
    <w:p w14:paraId="70585841" w14:textId="77777777" w:rsidR="00061700" w:rsidRDefault="00061700">
      <w:r>
        <w:continuationSeparator/>
      </w:r>
    </w:p>
  </w:endnote>
  <w:endnote w:type="continuationNotice" w:id="1">
    <w:p w14:paraId="668A5ED9" w14:textId="77777777" w:rsidR="00061700" w:rsidRDefault="0006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notTrueType/>
    <w:pitch w:val="variable"/>
    <w:sig w:usb0="00000001" w:usb1="09060000" w:usb2="00000010" w:usb3="00000000" w:csb0="00080000" w:csb1="00000000"/>
  </w:font>
  <w:font w:name="DengXian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1D1B" w14:textId="77777777" w:rsidR="00BA546C" w:rsidRDefault="00BA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8E0E" w14:textId="77777777" w:rsidR="00BA546C" w:rsidRDefault="00BA5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0415" w14:textId="77777777" w:rsidR="00BA546C" w:rsidRDefault="00BA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344F" w14:textId="77777777" w:rsidR="00061700" w:rsidRDefault="00061700">
      <w:r>
        <w:separator/>
      </w:r>
    </w:p>
  </w:footnote>
  <w:footnote w:type="continuationSeparator" w:id="0">
    <w:p w14:paraId="0BE9D3CA" w14:textId="77777777" w:rsidR="00061700" w:rsidRDefault="00061700">
      <w:r>
        <w:continuationSeparator/>
      </w:r>
    </w:p>
  </w:footnote>
  <w:footnote w:type="continuationNotice" w:id="1">
    <w:p w14:paraId="420EB712" w14:textId="77777777" w:rsidR="00061700" w:rsidRDefault="00061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3DC5" w14:textId="77777777" w:rsidR="00BA546C" w:rsidRDefault="00BA5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96E4B" w:rsidRDefault="00696E4B">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5B4F" w14:textId="77777777" w:rsidR="00BA546C" w:rsidRDefault="00BA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16" Type="http://schemas.openxmlformats.org/officeDocument/2006/relationships/image" Target="media/image4.e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404A8F-34DB-4E57-95FA-70C848542740}">
  <ds:schemaRefs>
    <ds:schemaRef ds:uri="http://schemas.openxmlformats.org/officeDocument/2006/bibliography"/>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8</TotalTime>
  <Pages>1</Pages>
  <Words>23185</Words>
  <Characters>132155</Characters>
  <Application>Microsoft Office Word</Application>
  <DocSecurity>0</DocSecurity>
  <Lines>1101</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155030</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2</cp:revision>
  <dcterms:created xsi:type="dcterms:W3CDTF">2021-01-27T02:30:00Z</dcterms:created>
  <dcterms:modified xsi:type="dcterms:W3CDTF">2021-01-27T02:30:00Z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