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98C" w:rsidRDefault="00D0698C" w:rsidP="00872D44">
      <w:pPr>
        <w:pBdr>
          <w:top w:val="single" w:sz="4" w:space="1" w:color="auto"/>
        </w:pBdr>
        <w:spacing w:after="0"/>
        <w:jc w:val="left"/>
        <w:rPr>
          <w:b/>
          <w:noProof/>
          <w:lang w:eastAsia="fr-FR"/>
        </w:rPr>
      </w:pPr>
    </w:p>
    <w:p w:rsidR="00872D44" w:rsidRPr="00943FD8" w:rsidRDefault="00872D44" w:rsidP="00872D44">
      <w:pPr>
        <w:pBdr>
          <w:top w:val="single" w:sz="4" w:space="1" w:color="auto"/>
        </w:pBdr>
        <w:spacing w:after="0"/>
        <w:jc w:val="left"/>
        <w:rPr>
          <w:b/>
          <w:noProof/>
          <w:lang w:eastAsia="fr-FR"/>
        </w:rPr>
      </w:pPr>
      <w:r w:rsidRPr="00943FD8">
        <w:rPr>
          <w:b/>
          <w:noProof/>
          <w:lang w:eastAsia="fr-FR"/>
        </w:rPr>
        <w:t>3GPP TSG RAN WG1 Meeting #</w:t>
      </w:r>
      <w:r w:rsidR="009C0C58" w:rsidRPr="00943FD8">
        <w:rPr>
          <w:b/>
          <w:noProof/>
          <w:lang w:eastAsia="fr-FR"/>
        </w:rPr>
        <w:t>10</w:t>
      </w:r>
      <w:r w:rsidR="00BD409C">
        <w:rPr>
          <w:b/>
          <w:noProof/>
          <w:lang w:eastAsia="fr-FR"/>
        </w:rPr>
        <w:t>4</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572D7B" w:rsidRPr="00572D7B">
        <w:rPr>
          <w:b/>
          <w:noProof/>
          <w:lang w:eastAsia="fr-FR"/>
        </w:rPr>
        <w:t>R1-2101288</w:t>
      </w:r>
    </w:p>
    <w:p w:rsidR="00872D44" w:rsidRDefault="00C6553D" w:rsidP="00872D44">
      <w:pPr>
        <w:tabs>
          <w:tab w:val="right" w:pos="9216"/>
        </w:tabs>
        <w:spacing w:after="0"/>
        <w:jc w:val="left"/>
        <w:rPr>
          <w:b/>
          <w:noProof/>
          <w:lang w:eastAsia="fr-FR"/>
        </w:rPr>
      </w:pPr>
      <w:r w:rsidRPr="00C6553D">
        <w:rPr>
          <w:b/>
          <w:noProof/>
          <w:lang w:eastAsia="fr-FR"/>
        </w:rPr>
        <w:t xml:space="preserve">e-Meeting, </w:t>
      </w:r>
      <w:r w:rsidR="00BD409C">
        <w:rPr>
          <w:b/>
          <w:noProof/>
          <w:lang w:eastAsia="fr-FR"/>
        </w:rPr>
        <w:t>January 25th – February 05</w:t>
      </w:r>
      <w:r w:rsidR="00BD409C" w:rsidRPr="00BD409C">
        <w:rPr>
          <w:b/>
          <w:noProof/>
          <w:lang w:eastAsia="fr-FR"/>
        </w:rPr>
        <w:t>th</w:t>
      </w:r>
      <w:r w:rsidR="00BD409C">
        <w:rPr>
          <w:b/>
          <w:noProof/>
          <w:lang w:eastAsia="fr-FR"/>
        </w:rPr>
        <w:t>, 2021</w:t>
      </w:r>
      <w:r w:rsidR="00872D44" w:rsidRPr="00943FD8">
        <w:rPr>
          <w:b/>
          <w:noProof/>
          <w:lang w:eastAsia="fr-FR"/>
        </w:rPr>
        <w:t xml:space="preserve">  </w:t>
      </w:r>
    </w:p>
    <w:p w:rsidR="00D0698C" w:rsidRDefault="00D0698C" w:rsidP="00872D44">
      <w:pPr>
        <w:tabs>
          <w:tab w:val="right" w:pos="9216"/>
        </w:tabs>
        <w:spacing w:after="0"/>
        <w:jc w:val="left"/>
        <w:rPr>
          <w:b/>
          <w:noProof/>
          <w:lang w:eastAsia="fr-FR"/>
        </w:rPr>
      </w:pPr>
    </w:p>
    <w:p w:rsidR="00FD0EF8" w:rsidRPr="00FF3EEC" w:rsidRDefault="00FD0EF8" w:rsidP="00FF3EEC">
      <w:pPr>
        <w:pBdr>
          <w:top w:val="single" w:sz="4" w:space="1" w:color="auto"/>
        </w:pBdr>
        <w:spacing w:after="0"/>
        <w:jc w:val="left"/>
        <w:rPr>
          <w:b/>
          <w:kern w:val="2"/>
          <w:lang w:eastAsia="zh-CN"/>
        </w:rPr>
      </w:pPr>
    </w:p>
    <w:p w:rsidR="00D0698C" w:rsidRPr="0041458F" w:rsidRDefault="00D0698C" w:rsidP="00D0698C">
      <w:pPr>
        <w:tabs>
          <w:tab w:val="left" w:pos="1800"/>
        </w:tabs>
        <w:spacing w:after="60"/>
        <w:ind w:left="1800" w:hanging="1800"/>
        <w:rPr>
          <w:rFonts w:ascii="Arial" w:hAnsi="Arial" w:cs="Arial"/>
          <w:b/>
          <w:sz w:val="20"/>
          <w:szCs w:val="20"/>
        </w:rPr>
      </w:pPr>
      <w:r w:rsidRPr="0041458F">
        <w:rPr>
          <w:rFonts w:ascii="Arial" w:hAnsi="Arial" w:cs="Arial"/>
          <w:b/>
          <w:color w:val="000000"/>
          <w:sz w:val="20"/>
          <w:szCs w:val="20"/>
        </w:rPr>
        <w:t>Title:</w:t>
      </w:r>
      <w:r w:rsidRPr="0041458F">
        <w:rPr>
          <w:rFonts w:ascii="Arial" w:hAnsi="Arial" w:cs="Arial"/>
          <w:b/>
          <w:color w:val="000000"/>
          <w:sz w:val="20"/>
          <w:szCs w:val="20"/>
        </w:rPr>
        <w:tab/>
      </w:r>
      <w:r w:rsidRPr="007125D4">
        <w:rPr>
          <w:rFonts w:ascii="Arial" w:hAnsi="Arial" w:cs="Arial"/>
          <w:b/>
          <w:color w:val="000000"/>
          <w:sz w:val="20"/>
          <w:szCs w:val="20"/>
        </w:rPr>
        <w:t>Beam management and BWP operation in NTN</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 xml:space="preserve">Source: </w:t>
      </w:r>
      <w:r w:rsidRPr="0041458F">
        <w:rPr>
          <w:rFonts w:ascii="Arial" w:hAnsi="Arial" w:cs="Arial"/>
          <w:b/>
          <w:sz w:val="20"/>
          <w:szCs w:val="20"/>
        </w:rPr>
        <w:tab/>
        <w:t xml:space="preserve">Thales </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Type:</w:t>
      </w:r>
      <w:r w:rsidRPr="0041458F">
        <w:rPr>
          <w:rFonts w:ascii="Arial" w:hAnsi="Arial" w:cs="Arial"/>
          <w:b/>
          <w:sz w:val="20"/>
          <w:szCs w:val="20"/>
        </w:rPr>
        <w:tab/>
        <w:t>Discussion</w:t>
      </w:r>
    </w:p>
    <w:p w:rsidR="00D0698C" w:rsidRPr="0041458F" w:rsidRDefault="00D0698C" w:rsidP="00D0698C">
      <w:pPr>
        <w:tabs>
          <w:tab w:val="left" w:pos="1800"/>
        </w:tabs>
        <w:spacing w:after="60"/>
        <w:rPr>
          <w:rFonts w:ascii="Arial" w:hAnsi="Arial" w:cs="Arial"/>
          <w:b/>
          <w:sz w:val="20"/>
          <w:szCs w:val="20"/>
        </w:rPr>
      </w:pPr>
      <w:r w:rsidRPr="0041458F">
        <w:rPr>
          <w:rFonts w:ascii="Arial" w:hAnsi="Arial" w:cs="Arial"/>
          <w:b/>
          <w:sz w:val="20"/>
          <w:szCs w:val="20"/>
        </w:rPr>
        <w:t>Document for:</w:t>
      </w:r>
      <w:r w:rsidRPr="0041458F">
        <w:rPr>
          <w:rFonts w:ascii="Arial" w:hAnsi="Arial" w:cs="Arial"/>
          <w:b/>
          <w:sz w:val="20"/>
          <w:szCs w:val="20"/>
        </w:rPr>
        <w:tab/>
      </w:r>
      <w:r>
        <w:rPr>
          <w:rFonts w:ascii="Arial" w:hAnsi="Arial" w:cs="Arial"/>
          <w:b/>
          <w:sz w:val="20"/>
          <w:szCs w:val="20"/>
        </w:rPr>
        <w:t>Decision</w:t>
      </w:r>
      <w:bookmarkStart w:id="0" w:name="_GoBack"/>
      <w:bookmarkEnd w:id="0"/>
    </w:p>
    <w:p w:rsidR="00D0698C" w:rsidRPr="0041458F" w:rsidRDefault="00D0698C" w:rsidP="00D0698C">
      <w:pPr>
        <w:pBdr>
          <w:bottom w:val="single" w:sz="6" w:space="1" w:color="auto"/>
        </w:pBdr>
        <w:tabs>
          <w:tab w:val="left" w:pos="1800"/>
        </w:tabs>
        <w:spacing w:after="60"/>
        <w:rPr>
          <w:rFonts w:ascii="Arial" w:hAnsi="Arial" w:cs="Arial"/>
          <w:b/>
          <w:sz w:val="20"/>
          <w:szCs w:val="20"/>
        </w:rPr>
      </w:pPr>
      <w:r w:rsidRPr="0041458F">
        <w:rPr>
          <w:rFonts w:ascii="Arial" w:hAnsi="Arial" w:cs="Arial"/>
          <w:b/>
          <w:sz w:val="20"/>
          <w:szCs w:val="20"/>
        </w:rPr>
        <w:t>Agenda Item:</w:t>
      </w:r>
      <w:r w:rsidRPr="0041458F">
        <w:rPr>
          <w:rFonts w:ascii="Arial" w:hAnsi="Arial" w:cs="Arial"/>
          <w:b/>
          <w:sz w:val="20"/>
          <w:szCs w:val="20"/>
        </w:rPr>
        <w:tab/>
        <w:t>8.4.4</w:t>
      </w:r>
    </w:p>
    <w:p w:rsidR="00791306" w:rsidRPr="00D0698C" w:rsidRDefault="00D0698C" w:rsidP="00D0698C">
      <w:pPr>
        <w:pBdr>
          <w:bottom w:val="single" w:sz="6" w:space="1" w:color="auto"/>
        </w:pBdr>
        <w:tabs>
          <w:tab w:val="left" w:pos="1800"/>
        </w:tabs>
        <w:spacing w:after="60"/>
        <w:rPr>
          <w:rFonts w:ascii="Arial" w:hAnsi="Arial" w:cs="Arial"/>
          <w:b/>
          <w:sz w:val="20"/>
          <w:szCs w:val="20"/>
        </w:rPr>
      </w:pPr>
      <w:r w:rsidRPr="0041458F">
        <w:rPr>
          <w:rFonts w:ascii="Arial" w:hAnsi="Arial" w:cs="Arial"/>
          <w:b/>
          <w:sz w:val="20"/>
          <w:szCs w:val="20"/>
        </w:rPr>
        <w:t xml:space="preserve">Work Item: </w:t>
      </w:r>
      <w:r w:rsidRPr="0041458F">
        <w:rPr>
          <w:rFonts w:ascii="Arial" w:hAnsi="Arial" w:cs="Arial"/>
          <w:b/>
          <w:sz w:val="20"/>
          <w:szCs w:val="20"/>
        </w:rPr>
        <w:tab/>
      </w:r>
      <w:proofErr w:type="spellStart"/>
      <w:r w:rsidRPr="0041458F">
        <w:rPr>
          <w:rFonts w:ascii="Arial" w:hAnsi="Arial" w:cs="Arial"/>
          <w:b/>
          <w:sz w:val="20"/>
          <w:szCs w:val="20"/>
        </w:rPr>
        <w:t>NR_NTN_Solutions</w:t>
      </w:r>
      <w:proofErr w:type="spellEnd"/>
      <w:r w:rsidRPr="0041458F">
        <w:rPr>
          <w:rFonts w:ascii="Arial" w:hAnsi="Arial" w:cs="Arial"/>
          <w:b/>
          <w:sz w:val="20"/>
          <w:szCs w:val="20"/>
        </w:rPr>
        <w:t>: Solutions for NR to support non-terrestrial networks (NTN)</w:t>
      </w:r>
    </w:p>
    <w:p w:rsidR="00D0698C" w:rsidRPr="007161F3" w:rsidRDefault="00D0698C" w:rsidP="00D0698C">
      <w:pPr>
        <w:pStyle w:val="Titre1"/>
        <w:keepLines/>
        <w:tabs>
          <w:tab w:val="clear" w:pos="432"/>
        </w:tabs>
        <w:autoSpaceDE/>
        <w:autoSpaceDN/>
        <w:adjustRightInd/>
        <w:snapToGrid/>
        <w:spacing w:before="480" w:after="200" w:line="276" w:lineRule="auto"/>
        <w:jc w:val="left"/>
      </w:pPr>
      <w:bookmarkStart w:id="1" w:name="OLE_LINK1"/>
      <w:bookmarkStart w:id="2" w:name="OLE_LINK2"/>
      <w:r w:rsidRPr="007161F3">
        <w:t>Introduction</w:t>
      </w:r>
    </w:p>
    <w:bookmarkEnd w:id="1"/>
    <w:bookmarkEnd w:id="2"/>
    <w:p w:rsidR="00D0698C" w:rsidRPr="0041458F" w:rsidRDefault="00D0698C" w:rsidP="00D0698C">
      <w:pPr>
        <w:rPr>
          <w:rFonts w:ascii="Arial" w:hAnsi="Arial" w:cs="Arial"/>
          <w:sz w:val="20"/>
          <w:szCs w:val="20"/>
        </w:rPr>
      </w:pPr>
      <w:r w:rsidRPr="0041458F">
        <w:rPr>
          <w:rFonts w:ascii="Arial" w:hAnsi="Arial" w:cs="Arial"/>
          <w:sz w:val="20"/>
          <w:szCs w:val="20"/>
        </w:rPr>
        <w:t xml:space="preserve">At RAN#86 meeting in </w:t>
      </w:r>
      <w:proofErr w:type="spellStart"/>
      <w:r w:rsidRPr="0041458F">
        <w:rPr>
          <w:rFonts w:ascii="Arial" w:hAnsi="Arial" w:cs="Arial"/>
          <w:sz w:val="20"/>
          <w:szCs w:val="20"/>
        </w:rPr>
        <w:t>Sitges</w:t>
      </w:r>
      <w:proofErr w:type="spellEnd"/>
      <w:r w:rsidRPr="0041458F">
        <w:rPr>
          <w:rFonts w:ascii="Arial" w:hAnsi="Arial" w:cs="Arial"/>
          <w:sz w:val="20"/>
          <w:szCs w:val="20"/>
        </w:rPr>
        <w:t>, Spain, a new WI “Solutions for NR to support non-terrestrial networks (NTN)”</w:t>
      </w:r>
      <w:sdt>
        <w:sdtPr>
          <w:rPr>
            <w:rFonts w:ascii="Arial" w:hAnsi="Arial" w:cs="Arial"/>
            <w:sz w:val="20"/>
            <w:szCs w:val="20"/>
          </w:rPr>
          <w:id w:val="-1780491191"/>
          <w:citation/>
        </w:sdtPr>
        <w:sdtEndPr/>
        <w:sdtContent>
          <w:r w:rsidRPr="0041458F">
            <w:rPr>
              <w:rFonts w:ascii="Arial" w:hAnsi="Arial" w:cs="Arial"/>
              <w:sz w:val="20"/>
              <w:szCs w:val="20"/>
            </w:rPr>
            <w:fldChar w:fldCharType="begin"/>
          </w:r>
          <w:r w:rsidRPr="0041458F">
            <w:rPr>
              <w:rFonts w:ascii="Arial" w:hAnsi="Arial" w:cs="Arial"/>
              <w:sz w:val="20"/>
              <w:szCs w:val="20"/>
            </w:rPr>
            <w:instrText xml:space="preserve"> CITATION Tha \l 1036 </w:instrText>
          </w:r>
          <w:r w:rsidRPr="0041458F">
            <w:rPr>
              <w:rFonts w:ascii="Arial" w:hAnsi="Arial" w:cs="Arial"/>
              <w:sz w:val="20"/>
              <w:szCs w:val="20"/>
            </w:rPr>
            <w:fldChar w:fldCharType="separate"/>
          </w:r>
          <w:r>
            <w:rPr>
              <w:rFonts w:ascii="Arial" w:hAnsi="Arial" w:cs="Arial"/>
              <w:noProof/>
              <w:sz w:val="20"/>
              <w:szCs w:val="20"/>
            </w:rPr>
            <w:t xml:space="preserve"> </w:t>
          </w:r>
          <w:r w:rsidRPr="00D533E6">
            <w:rPr>
              <w:rFonts w:ascii="Arial" w:hAnsi="Arial" w:cs="Arial"/>
              <w:noProof/>
              <w:sz w:val="20"/>
              <w:szCs w:val="20"/>
            </w:rPr>
            <w:t>[1]</w:t>
          </w:r>
          <w:r w:rsidRPr="0041458F">
            <w:rPr>
              <w:rFonts w:ascii="Arial" w:hAnsi="Arial" w:cs="Arial"/>
              <w:sz w:val="20"/>
              <w:szCs w:val="20"/>
            </w:rPr>
            <w:fldChar w:fldCharType="end"/>
          </w:r>
        </w:sdtContent>
      </w:sdt>
      <w:r w:rsidRPr="0041458F">
        <w:rPr>
          <w:rFonts w:ascii="Arial" w:hAnsi="Arial" w:cs="Arial"/>
          <w:sz w:val="20"/>
          <w:szCs w:val="20"/>
        </w:rPr>
        <w:t xml:space="preserve"> was agreed with the aim to specify the enhancements identified for NR NTN. The WID objectives for RAN1 are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D0698C" w:rsidRPr="0041458F" w:rsidTr="0017008D">
        <w:tc>
          <w:tcPr>
            <w:tcW w:w="9747" w:type="dxa"/>
            <w:shd w:val="clear" w:color="auto" w:fill="F2F2F2" w:themeFill="background1" w:themeFillShade="F2"/>
          </w:tcPr>
          <w:p w:rsidR="00D0698C" w:rsidRPr="0041458F" w:rsidRDefault="00D0698C" w:rsidP="0017008D">
            <w:pPr>
              <w:rPr>
                <w:rFonts w:ascii="Arial" w:hAnsi="Arial" w:cs="Arial"/>
                <w:sz w:val="20"/>
                <w:szCs w:val="20"/>
              </w:rPr>
            </w:pPr>
            <w:r w:rsidRPr="0041458F">
              <w:rPr>
                <w:rFonts w:ascii="Arial" w:hAnsi="Arial" w:cs="Arial"/>
                <w:sz w:val="20"/>
                <w:szCs w:val="20"/>
              </w:rPr>
              <w:t>The work item aims to specify the enhancements identified for NR NTN (non-terrestrial networks) especially LEO and GEO with implicit compatibility to support HAPS (High Altitude Platform Station) and ATG (Air to Ground) scenarios according to the following principles:</w:t>
            </w:r>
          </w:p>
          <w:p w:rsidR="00D0698C" w:rsidRPr="0041458F" w:rsidRDefault="00D0698C" w:rsidP="00D0698C">
            <w:pPr>
              <w:pStyle w:val="Paragraphedeliste"/>
              <w:numPr>
                <w:ilvl w:val="0"/>
                <w:numId w:val="6"/>
              </w:numPr>
              <w:spacing w:after="200" w:line="276" w:lineRule="auto"/>
              <w:rPr>
                <w:rFonts w:ascii="Arial" w:hAnsi="Arial" w:cs="Arial"/>
                <w:sz w:val="20"/>
                <w:szCs w:val="20"/>
              </w:rPr>
            </w:pPr>
            <w:r w:rsidRPr="0041458F">
              <w:rPr>
                <w:rFonts w:ascii="Arial" w:hAnsi="Arial" w:cs="Arial"/>
                <w:sz w:val="20"/>
                <w:szCs w:val="20"/>
              </w:rPr>
              <w:t>FDD is assumed for core specification work for NR-NTN.</w:t>
            </w:r>
          </w:p>
          <w:p w:rsidR="00D0698C" w:rsidRPr="0041458F" w:rsidRDefault="00D0698C" w:rsidP="00D0698C">
            <w:pPr>
              <w:pStyle w:val="Paragraphedeliste"/>
              <w:numPr>
                <w:ilvl w:val="1"/>
                <w:numId w:val="6"/>
              </w:numPr>
              <w:spacing w:after="200" w:line="276" w:lineRule="auto"/>
              <w:rPr>
                <w:rFonts w:ascii="Arial" w:hAnsi="Arial" w:cs="Arial"/>
                <w:sz w:val="20"/>
                <w:szCs w:val="20"/>
              </w:rPr>
            </w:pPr>
            <w:r w:rsidRPr="0041458F">
              <w:rPr>
                <w:rFonts w:ascii="Arial" w:hAnsi="Arial" w:cs="Arial"/>
                <w:sz w:val="20"/>
                <w:szCs w:val="20"/>
              </w:rPr>
              <w:t>NOTE: This does not imply that TDD cannot be used for relevant scenarios e.g. HAPS, ATG</w:t>
            </w:r>
          </w:p>
          <w:p w:rsidR="00D0698C" w:rsidRPr="0041458F" w:rsidRDefault="00D0698C" w:rsidP="00D0698C">
            <w:pPr>
              <w:pStyle w:val="Paragraphedeliste"/>
              <w:numPr>
                <w:ilvl w:val="0"/>
                <w:numId w:val="6"/>
              </w:numPr>
              <w:spacing w:after="200" w:line="276" w:lineRule="auto"/>
              <w:rPr>
                <w:rFonts w:ascii="Arial" w:hAnsi="Arial" w:cs="Arial"/>
                <w:sz w:val="20"/>
                <w:szCs w:val="20"/>
              </w:rPr>
            </w:pPr>
            <w:r w:rsidRPr="0041458F">
              <w:rPr>
                <w:rFonts w:ascii="Arial" w:hAnsi="Arial" w:cs="Arial"/>
                <w:sz w:val="20"/>
                <w:szCs w:val="20"/>
              </w:rPr>
              <w:t>Earth fixed Tracking area is assumed with Earth fixed and moving cells</w:t>
            </w:r>
          </w:p>
          <w:p w:rsidR="00D0698C" w:rsidRPr="00BB4F88" w:rsidRDefault="00D0698C" w:rsidP="00D0698C">
            <w:pPr>
              <w:pStyle w:val="Paragraphedeliste"/>
              <w:numPr>
                <w:ilvl w:val="0"/>
                <w:numId w:val="6"/>
              </w:numPr>
              <w:spacing w:after="200" w:line="276" w:lineRule="auto"/>
              <w:rPr>
                <w:rFonts w:ascii="Arial" w:hAnsi="Arial" w:cs="Arial"/>
                <w:sz w:val="20"/>
                <w:szCs w:val="20"/>
              </w:rPr>
            </w:pPr>
            <w:r w:rsidRPr="0041458F">
              <w:rPr>
                <w:rFonts w:ascii="Arial" w:hAnsi="Arial" w:cs="Arial"/>
                <w:sz w:val="20"/>
                <w:szCs w:val="20"/>
              </w:rPr>
              <w:t>UEs with GNSS capabilities are assumed.</w:t>
            </w:r>
          </w:p>
          <w:p w:rsidR="00D0698C" w:rsidRPr="0041458F" w:rsidRDefault="00D0698C" w:rsidP="0017008D">
            <w:pPr>
              <w:rPr>
                <w:rFonts w:ascii="Arial" w:hAnsi="Arial" w:cs="Arial"/>
                <w:sz w:val="20"/>
                <w:szCs w:val="20"/>
                <w:lang w:eastAsia="ko-KR"/>
              </w:rPr>
            </w:pPr>
            <w:r w:rsidRPr="0041458F">
              <w:rPr>
                <w:rFonts w:ascii="Arial" w:hAnsi="Arial" w:cs="Arial"/>
                <w:sz w:val="20"/>
                <w:szCs w:val="20"/>
                <w:lang w:eastAsia="ko-KR"/>
              </w:rPr>
              <w:t xml:space="preserve">The detailed objectives for RAN1 are to specify enhancing features to </w:t>
            </w:r>
            <w:r w:rsidRPr="0041458F">
              <w:rPr>
                <w:rFonts w:ascii="Arial" w:hAnsi="Arial" w:cs="Arial"/>
                <w:sz w:val="20"/>
                <w:szCs w:val="20"/>
              </w:rPr>
              <w:t xml:space="preserve">Rel-15 &amp; Rel-16’s NR radio interface &amp; NG-RAN </w:t>
            </w:r>
            <w:r w:rsidRPr="0041458F">
              <w:rPr>
                <w:rFonts w:ascii="Arial" w:hAnsi="Arial" w:cs="Arial"/>
                <w:sz w:val="20"/>
                <w:szCs w:val="20"/>
                <w:lang w:eastAsia="ko-KR"/>
              </w:rPr>
              <w:t>as follows:</w:t>
            </w:r>
          </w:p>
          <w:p w:rsidR="00D0698C" w:rsidRPr="0041458F" w:rsidRDefault="00D0698C" w:rsidP="0017008D">
            <w:pPr>
              <w:rPr>
                <w:rFonts w:ascii="Arial" w:hAnsi="Arial" w:cs="Arial"/>
                <w:sz w:val="20"/>
                <w:szCs w:val="20"/>
                <w:lang w:eastAsia="ja-JP"/>
              </w:rPr>
            </w:pPr>
            <w:r w:rsidRPr="0041458F">
              <w:rPr>
                <w:rFonts w:ascii="Arial" w:hAnsi="Arial" w:cs="Arial"/>
                <w:sz w:val="20"/>
                <w:szCs w:val="20"/>
              </w:rPr>
              <w:t>Enhancing features to address the identified issues due to long propagation delays, large Doppler effects, and moving cells in NTN,</w:t>
            </w:r>
            <w:r w:rsidRPr="0041458F">
              <w:rPr>
                <w:rFonts w:ascii="Arial" w:hAnsi="Arial" w:cs="Arial"/>
                <w:sz w:val="20"/>
                <w:szCs w:val="20"/>
                <w:lang w:eastAsia="ja-JP"/>
              </w:rPr>
              <w:t xml:space="preserve"> the following should be specified (see </w:t>
            </w:r>
            <w:sdt>
              <w:sdtPr>
                <w:rPr>
                  <w:rFonts w:ascii="Arial" w:hAnsi="Arial" w:cs="Arial"/>
                  <w:sz w:val="20"/>
                  <w:szCs w:val="20"/>
                  <w:lang w:eastAsia="ja-JP"/>
                </w:rPr>
                <w:id w:val="-123775729"/>
                <w:citation/>
              </w:sdtPr>
              <w:sdtEndPr/>
              <w:sdtContent>
                <w:r w:rsidRPr="0041458F">
                  <w:rPr>
                    <w:rFonts w:ascii="Arial" w:hAnsi="Arial" w:cs="Arial"/>
                    <w:sz w:val="20"/>
                    <w:szCs w:val="20"/>
                    <w:lang w:eastAsia="ja-JP"/>
                  </w:rPr>
                  <w:fldChar w:fldCharType="begin"/>
                </w:r>
                <w:r w:rsidRPr="0041458F">
                  <w:rPr>
                    <w:rFonts w:ascii="Arial" w:hAnsi="Arial" w:cs="Arial"/>
                    <w:sz w:val="20"/>
                    <w:szCs w:val="20"/>
                    <w:lang w:eastAsia="ja-JP"/>
                  </w:rPr>
                  <w:instrText xml:space="preserve"> CITATION 3GP16 \l 1036 </w:instrText>
                </w:r>
                <w:r w:rsidRPr="0041458F">
                  <w:rPr>
                    <w:rFonts w:ascii="Arial" w:hAnsi="Arial" w:cs="Arial"/>
                    <w:sz w:val="20"/>
                    <w:szCs w:val="20"/>
                    <w:lang w:eastAsia="ja-JP"/>
                  </w:rPr>
                  <w:fldChar w:fldCharType="separate"/>
                </w:r>
                <w:r w:rsidRPr="00D533E6">
                  <w:rPr>
                    <w:rFonts w:ascii="Arial" w:hAnsi="Arial" w:cs="Arial"/>
                    <w:noProof/>
                    <w:sz w:val="20"/>
                    <w:szCs w:val="20"/>
                    <w:lang w:eastAsia="ja-JP"/>
                  </w:rPr>
                  <w:t>[2]</w:t>
                </w:r>
                <w:r w:rsidRPr="0041458F">
                  <w:rPr>
                    <w:rFonts w:ascii="Arial" w:hAnsi="Arial" w:cs="Arial"/>
                    <w:sz w:val="20"/>
                    <w:szCs w:val="20"/>
                    <w:lang w:eastAsia="ja-JP"/>
                  </w:rPr>
                  <w:fldChar w:fldCharType="end"/>
                </w:r>
              </w:sdtContent>
            </w:sdt>
            <w:r w:rsidRPr="0041458F">
              <w:rPr>
                <w:rFonts w:ascii="Arial" w:hAnsi="Arial" w:cs="Arial"/>
                <w:sz w:val="20"/>
                <w:szCs w:val="20"/>
                <w:lang w:eastAsia="ja-JP"/>
              </w:rPr>
              <w:t>):</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Timing relationship enhancements[RAN1,RAN2]</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Enhancements on UL time and frequency synchronization [RAN1,RAN2]</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HARQ</w:t>
            </w:r>
          </w:p>
          <w:p w:rsidR="00D0698C" w:rsidRPr="0041458F" w:rsidRDefault="00D0698C" w:rsidP="00D0698C">
            <w:pPr>
              <w:numPr>
                <w:ilvl w:val="1"/>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Number of HARQ process [RAN1]</w:t>
            </w:r>
          </w:p>
          <w:p w:rsidR="00D0698C" w:rsidRPr="0041458F" w:rsidRDefault="00D0698C" w:rsidP="00D0698C">
            <w:pPr>
              <w:numPr>
                <w:ilvl w:val="1"/>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Enabling / disabling of HARQ feedback as described in the TR 38.821 [RAN1&amp;2]</w:t>
            </w:r>
          </w:p>
          <w:p w:rsidR="00D0698C" w:rsidRPr="0041458F" w:rsidRDefault="00D0698C" w:rsidP="0017008D">
            <w:pPr>
              <w:rPr>
                <w:rFonts w:ascii="Arial" w:hAnsi="Arial" w:cs="Arial"/>
                <w:sz w:val="20"/>
                <w:szCs w:val="20"/>
              </w:rPr>
            </w:pPr>
            <w:r w:rsidRPr="0041458F">
              <w:rPr>
                <w:rFonts w:ascii="Arial" w:hAnsi="Arial" w:cs="Arial"/>
                <w:sz w:val="20"/>
                <w:szCs w:val="20"/>
              </w:rPr>
              <w:t>In addition, the following topics should be specified if beneficial and needed</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 xml:space="preserve">Enhancement on the PRACH sequence and/or format and extension of the </w:t>
            </w:r>
            <w:proofErr w:type="spellStart"/>
            <w:r w:rsidRPr="0041458F">
              <w:rPr>
                <w:rFonts w:ascii="Arial" w:hAnsi="Arial" w:cs="Arial"/>
                <w:sz w:val="20"/>
                <w:szCs w:val="20"/>
              </w:rPr>
              <w:t>ra-ResponseWindow</w:t>
            </w:r>
            <w:proofErr w:type="spellEnd"/>
            <w:r w:rsidRPr="0041458F">
              <w:rPr>
                <w:rFonts w:ascii="Arial" w:hAnsi="Arial" w:cs="Arial"/>
                <w:sz w:val="20"/>
                <w:szCs w:val="20"/>
              </w:rPr>
              <w:t xml:space="preserve"> duration (in the case of UE with GNSS capability but without pre-compensation of timing and frequency offset capabilities) [RAN1/2]</w:t>
            </w:r>
            <w:r w:rsidRPr="0041458F">
              <w:rPr>
                <w:rFonts w:ascii="Arial" w:eastAsia="PMingLiU" w:hAnsi="Arial" w:cs="Arial"/>
                <w:sz w:val="20"/>
                <w:szCs w:val="20"/>
                <w:lang w:eastAsia="zh-TW"/>
              </w:rPr>
              <w:t>.</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Feeder link switch [RAN2,RAN1]</w:t>
            </w:r>
          </w:p>
          <w:p w:rsidR="00D0698C" w:rsidRPr="0041458F" w:rsidRDefault="00D0698C" w:rsidP="00D0698C">
            <w:pPr>
              <w:numPr>
                <w:ilvl w:val="0"/>
                <w:numId w:val="32"/>
              </w:numPr>
              <w:overflowPunct w:val="0"/>
              <w:snapToGrid/>
              <w:spacing w:before="100" w:beforeAutospacing="1" w:after="100" w:afterAutospacing="1" w:line="276" w:lineRule="auto"/>
              <w:jc w:val="left"/>
              <w:textAlignment w:val="baseline"/>
              <w:rPr>
                <w:rFonts w:ascii="Arial" w:hAnsi="Arial" w:cs="Arial"/>
                <w:sz w:val="20"/>
                <w:szCs w:val="20"/>
              </w:rPr>
            </w:pPr>
            <w:r w:rsidRPr="0041458F">
              <w:rPr>
                <w:rFonts w:ascii="Arial" w:hAnsi="Arial" w:cs="Arial"/>
                <w:sz w:val="20"/>
                <w:szCs w:val="20"/>
              </w:rPr>
              <w:t>Beam management and Bandwidth Parts (BWP) operation for NTN with frequency reuse [RAN1/2]</w:t>
            </w:r>
          </w:p>
          <w:p w:rsidR="00D0698C" w:rsidRPr="0041458F" w:rsidRDefault="00D0698C" w:rsidP="00D0698C">
            <w:pPr>
              <w:numPr>
                <w:ilvl w:val="1"/>
                <w:numId w:val="32"/>
              </w:numPr>
              <w:overflowPunct w:val="0"/>
              <w:snapToGrid/>
              <w:spacing w:after="200" w:line="276" w:lineRule="auto"/>
              <w:jc w:val="left"/>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Including signalling of polarization mode</w:t>
            </w:r>
          </w:p>
        </w:tc>
      </w:tr>
    </w:tbl>
    <w:p w:rsidR="00D0698C" w:rsidRDefault="00D0698C" w:rsidP="00D0698C">
      <w:pPr>
        <w:rPr>
          <w:rFonts w:ascii="Arial" w:hAnsi="Arial" w:cs="Arial"/>
          <w:sz w:val="20"/>
          <w:szCs w:val="20"/>
        </w:rPr>
      </w:pPr>
    </w:p>
    <w:p w:rsidR="00D0698C" w:rsidRDefault="00D0698C" w:rsidP="00D0698C">
      <w:pPr>
        <w:rPr>
          <w:rFonts w:ascii="Arial" w:hAnsi="Arial" w:cs="Arial"/>
          <w:sz w:val="20"/>
          <w:szCs w:val="20"/>
        </w:rPr>
      </w:pPr>
      <w:r>
        <w:rPr>
          <w:rFonts w:ascii="Arial" w:hAnsi="Arial" w:cs="Arial"/>
          <w:sz w:val="20"/>
          <w:szCs w:val="20"/>
        </w:rPr>
        <w:lastRenderedPageBreak/>
        <w:t>On the Beam management enhancement for NTN, the following agreement</w:t>
      </w:r>
      <w:r w:rsidRPr="008E5F33">
        <w:rPr>
          <w:rFonts w:ascii="Arial" w:hAnsi="Arial" w:cs="Arial"/>
          <w:sz w:val="20"/>
          <w:szCs w:val="20"/>
        </w:rPr>
        <w:t xml:space="preserve"> achieved during RAN1 Meeting #102-e </w:t>
      </w:r>
      <w:r>
        <w:rPr>
          <w:rFonts w:ascii="Arial" w:hAnsi="Arial" w:cs="Arial"/>
          <w:sz w:val="20"/>
          <w:szCs w:val="20"/>
        </w:rPr>
        <w:t>is</w:t>
      </w:r>
      <w:r w:rsidRPr="008E5F33">
        <w:rPr>
          <w:rFonts w:ascii="Arial" w:hAnsi="Arial" w:cs="Arial"/>
          <w:sz w:val="20"/>
          <w:szCs w:val="20"/>
        </w:rPr>
        <w:t xml:space="preserv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D0698C" w:rsidRPr="0041458F" w:rsidTr="0017008D">
        <w:tc>
          <w:tcPr>
            <w:tcW w:w="9747" w:type="dxa"/>
            <w:shd w:val="clear" w:color="auto" w:fill="F2F2F2" w:themeFill="background1" w:themeFillShade="F2"/>
          </w:tcPr>
          <w:p w:rsidR="00D0698C" w:rsidRDefault="00D0698C" w:rsidP="0017008D">
            <w:pPr>
              <w:rPr>
                <w:lang w:eastAsia="x-none"/>
              </w:rPr>
            </w:pPr>
            <w:r>
              <w:rPr>
                <w:highlight w:val="green"/>
                <w:lang w:eastAsia="x-none"/>
              </w:rPr>
              <w:t>Agreement:</w:t>
            </w:r>
          </w:p>
          <w:p w:rsidR="00D0698C" w:rsidRDefault="00D0698C" w:rsidP="0017008D">
            <w:pPr>
              <w:rPr>
                <w:lang w:eastAsia="x-none"/>
              </w:rPr>
            </w:pPr>
            <w:r>
              <w:rPr>
                <w:lang w:eastAsia="x-none"/>
              </w:rPr>
              <w:t>One-beam per cell and multiple-beam per cell are supported in existing NR specifications and are baseline for NR NTN.</w:t>
            </w:r>
          </w:p>
          <w:p w:rsidR="00D0698C" w:rsidRDefault="00D0698C" w:rsidP="00D0698C">
            <w:pPr>
              <w:numPr>
                <w:ilvl w:val="0"/>
                <w:numId w:val="13"/>
              </w:numPr>
              <w:autoSpaceDE/>
              <w:autoSpaceDN/>
              <w:adjustRightInd/>
              <w:snapToGrid/>
              <w:spacing w:after="0"/>
              <w:jc w:val="left"/>
              <w:rPr>
                <w:lang w:eastAsia="x-none"/>
              </w:rPr>
            </w:pPr>
            <w:r>
              <w:rPr>
                <w:lang w:eastAsia="x-none"/>
              </w:rPr>
              <w:t xml:space="preserve">FFS: The need for potential enhancement for beam management </w:t>
            </w:r>
          </w:p>
          <w:p w:rsidR="00D0698C" w:rsidRDefault="00D0698C" w:rsidP="00D0698C">
            <w:pPr>
              <w:numPr>
                <w:ilvl w:val="0"/>
                <w:numId w:val="13"/>
              </w:numPr>
              <w:autoSpaceDE/>
              <w:autoSpaceDN/>
              <w:adjustRightInd/>
              <w:snapToGrid/>
              <w:spacing w:after="0"/>
              <w:jc w:val="left"/>
              <w:rPr>
                <w:lang w:eastAsia="x-none"/>
              </w:rPr>
            </w:pPr>
            <w:r>
              <w:rPr>
                <w:lang w:eastAsia="x-none"/>
              </w:rPr>
              <w:t>FFS: The need for potential enhancement on association of SSBs, beams and BWPs</w:t>
            </w:r>
          </w:p>
          <w:p w:rsidR="00D0698C" w:rsidRPr="0041458F" w:rsidRDefault="00D0698C" w:rsidP="0017008D">
            <w:pPr>
              <w:overflowPunct w:val="0"/>
              <w:ind w:left="1440"/>
              <w:textAlignment w:val="baseline"/>
              <w:rPr>
                <w:rFonts w:ascii="Arial" w:eastAsia="PMingLiU" w:hAnsi="Arial" w:cs="Arial"/>
                <w:sz w:val="20"/>
                <w:szCs w:val="20"/>
                <w:lang w:eastAsia="zh-TW"/>
              </w:rPr>
            </w:pPr>
          </w:p>
        </w:tc>
      </w:tr>
    </w:tbl>
    <w:p w:rsidR="00D0698C" w:rsidRDefault="00D0698C" w:rsidP="00D0698C">
      <w:pPr>
        <w:rPr>
          <w:rFonts w:ascii="Arial" w:hAnsi="Arial" w:cs="Arial"/>
          <w:sz w:val="20"/>
          <w:szCs w:val="20"/>
        </w:rPr>
      </w:pPr>
    </w:p>
    <w:p w:rsidR="00D0698C" w:rsidRDefault="00D0698C" w:rsidP="00D0698C">
      <w:pPr>
        <w:rPr>
          <w:rFonts w:ascii="Arial" w:hAnsi="Arial" w:cs="Arial"/>
          <w:sz w:val="20"/>
          <w:szCs w:val="20"/>
        </w:rPr>
      </w:pPr>
      <w:r>
        <w:rPr>
          <w:rFonts w:ascii="Arial" w:hAnsi="Arial" w:cs="Arial"/>
          <w:sz w:val="20"/>
          <w:szCs w:val="20"/>
        </w:rPr>
        <w:t xml:space="preserve">On the </w:t>
      </w:r>
      <w:r w:rsidRPr="007E41DF">
        <w:rPr>
          <w:rFonts w:ascii="Arial" w:hAnsi="Arial" w:cs="Arial"/>
          <w:sz w:val="20"/>
          <w:szCs w:val="20"/>
        </w:rPr>
        <w:t xml:space="preserve">polarization </w:t>
      </w:r>
      <w:r>
        <w:rPr>
          <w:rFonts w:ascii="Arial" w:hAnsi="Arial" w:cs="Arial"/>
          <w:sz w:val="20"/>
          <w:szCs w:val="20"/>
        </w:rPr>
        <w:t>indication in NTN, the following agreement</w:t>
      </w:r>
      <w:r w:rsidRPr="008E5F33">
        <w:rPr>
          <w:rFonts w:ascii="Arial" w:hAnsi="Arial" w:cs="Arial"/>
          <w:sz w:val="20"/>
          <w:szCs w:val="20"/>
        </w:rPr>
        <w:t xml:space="preserve"> a</w:t>
      </w:r>
      <w:r>
        <w:rPr>
          <w:rFonts w:ascii="Arial" w:hAnsi="Arial" w:cs="Arial"/>
          <w:sz w:val="20"/>
          <w:szCs w:val="20"/>
        </w:rPr>
        <w:t>chieved during RAN1 Meeting #103</w:t>
      </w:r>
      <w:r w:rsidRPr="008E5F33">
        <w:rPr>
          <w:rFonts w:ascii="Arial" w:hAnsi="Arial" w:cs="Arial"/>
          <w:sz w:val="20"/>
          <w:szCs w:val="20"/>
        </w:rPr>
        <w:t xml:space="preserve">-e </w:t>
      </w:r>
      <w:r>
        <w:rPr>
          <w:rFonts w:ascii="Arial" w:hAnsi="Arial" w:cs="Arial"/>
          <w:sz w:val="20"/>
          <w:szCs w:val="20"/>
        </w:rPr>
        <w:t>is</w:t>
      </w:r>
      <w:r w:rsidRPr="008E5F33">
        <w:rPr>
          <w:rFonts w:ascii="Arial" w:hAnsi="Arial" w:cs="Arial"/>
          <w:sz w:val="20"/>
          <w:szCs w:val="20"/>
        </w:rPr>
        <w:t xml:space="preserv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D0698C" w:rsidRPr="0041458F" w:rsidTr="0017008D">
        <w:tc>
          <w:tcPr>
            <w:tcW w:w="9747" w:type="dxa"/>
            <w:shd w:val="clear" w:color="auto" w:fill="F2F2F2" w:themeFill="background1" w:themeFillShade="F2"/>
          </w:tcPr>
          <w:p w:rsidR="00D0698C" w:rsidRDefault="00D0698C" w:rsidP="0017008D">
            <w:pPr>
              <w:rPr>
                <w:lang w:eastAsia="x-none"/>
              </w:rPr>
            </w:pPr>
            <w:r w:rsidRPr="00BD507D">
              <w:rPr>
                <w:highlight w:val="green"/>
                <w:lang w:eastAsia="x-none"/>
              </w:rPr>
              <w:t>Agreement:</w:t>
            </w:r>
          </w:p>
          <w:p w:rsidR="00D0698C" w:rsidRDefault="00D0698C" w:rsidP="0017008D">
            <w:pPr>
              <w:rPr>
                <w:lang w:eastAsia="x-none"/>
              </w:rPr>
            </w:pPr>
            <w:r>
              <w:rPr>
                <w:lang w:eastAsia="x-none"/>
              </w:rPr>
              <w:t xml:space="preserve">Indication of polarization information for DL and UL by the network is supported. </w:t>
            </w:r>
          </w:p>
          <w:p w:rsidR="00D0698C" w:rsidRPr="00684C69" w:rsidRDefault="00D0698C" w:rsidP="00D0698C">
            <w:pPr>
              <w:numPr>
                <w:ilvl w:val="0"/>
                <w:numId w:val="34"/>
              </w:numPr>
              <w:autoSpaceDE/>
              <w:autoSpaceDN/>
              <w:adjustRightInd/>
              <w:snapToGrid/>
              <w:spacing w:after="0"/>
              <w:jc w:val="left"/>
              <w:rPr>
                <w:lang w:eastAsia="x-none"/>
              </w:rPr>
            </w:pPr>
            <w:r>
              <w:rPr>
                <w:lang w:eastAsia="x-none"/>
              </w:rPr>
              <w:t>FFS: Signaling details</w:t>
            </w:r>
          </w:p>
          <w:p w:rsidR="00D0698C" w:rsidRPr="0041458F" w:rsidRDefault="00D0698C" w:rsidP="0017008D">
            <w:pPr>
              <w:overflowPunct w:val="0"/>
              <w:ind w:left="1440"/>
              <w:textAlignment w:val="baseline"/>
              <w:rPr>
                <w:rFonts w:ascii="Arial" w:eastAsia="PMingLiU" w:hAnsi="Arial" w:cs="Arial"/>
                <w:sz w:val="20"/>
                <w:szCs w:val="20"/>
                <w:lang w:eastAsia="zh-TW"/>
              </w:rPr>
            </w:pPr>
          </w:p>
        </w:tc>
      </w:tr>
    </w:tbl>
    <w:p w:rsidR="00D0698C" w:rsidRDefault="00D0698C" w:rsidP="00D0698C">
      <w:pPr>
        <w:rPr>
          <w:rFonts w:ascii="Arial" w:hAnsi="Arial" w:cs="Arial"/>
          <w:sz w:val="20"/>
          <w:szCs w:val="20"/>
        </w:rPr>
      </w:pPr>
    </w:p>
    <w:p w:rsidR="00D0698C" w:rsidRPr="007D7BA5" w:rsidRDefault="00D0698C" w:rsidP="00D0698C">
      <w:pPr>
        <w:rPr>
          <w:rFonts w:ascii="Arial" w:hAnsi="Arial" w:cs="Arial"/>
          <w:sz w:val="20"/>
          <w:szCs w:val="20"/>
        </w:rPr>
      </w:pPr>
      <w:r w:rsidRPr="0041458F">
        <w:rPr>
          <w:rFonts w:ascii="Arial" w:hAnsi="Arial" w:cs="Arial"/>
          <w:sz w:val="20"/>
          <w:szCs w:val="20"/>
        </w:rPr>
        <w:t xml:space="preserve">This contribution discusses </w:t>
      </w:r>
      <w:r>
        <w:rPr>
          <w:rFonts w:ascii="Arial" w:hAnsi="Arial" w:cs="Arial"/>
          <w:sz w:val="20"/>
          <w:szCs w:val="20"/>
        </w:rPr>
        <w:t xml:space="preserve">the </w:t>
      </w:r>
      <w:r w:rsidRPr="007D7BA5">
        <w:rPr>
          <w:rFonts w:ascii="Arial" w:hAnsi="Arial" w:cs="Arial"/>
          <w:sz w:val="20"/>
          <w:szCs w:val="20"/>
        </w:rPr>
        <w:t>Beam management and Bandwidth Parts (BWP) operation for NTN with frequency reuse, including signalling of polarization mode</w:t>
      </w:r>
    </w:p>
    <w:p w:rsidR="00D0698C" w:rsidRPr="0041458F" w:rsidRDefault="00D0698C" w:rsidP="00D0698C">
      <w:pPr>
        <w:rPr>
          <w:rFonts w:ascii="Arial" w:hAnsi="Arial" w:cs="Arial"/>
          <w:sz w:val="20"/>
          <w:szCs w:val="20"/>
        </w:rPr>
      </w:pPr>
      <w:r w:rsidRPr="0041458F">
        <w:rPr>
          <w:rFonts w:ascii="Arial" w:hAnsi="Arial" w:cs="Arial"/>
          <w:sz w:val="20"/>
          <w:szCs w:val="20"/>
        </w:rPr>
        <w:t xml:space="preserve">All observations and proposals are summarized in Section </w:t>
      </w:r>
      <w:r>
        <w:rPr>
          <w:rFonts w:ascii="Arial" w:hAnsi="Arial" w:cs="Arial"/>
          <w:sz w:val="20"/>
          <w:szCs w:val="20"/>
        </w:rPr>
        <w:t>4</w:t>
      </w:r>
      <w:r w:rsidRPr="0041458F">
        <w:rPr>
          <w:rFonts w:ascii="Arial" w:hAnsi="Arial" w:cs="Arial"/>
          <w:sz w:val="20"/>
          <w:szCs w:val="20"/>
        </w:rPr>
        <w:t>.</w:t>
      </w:r>
    </w:p>
    <w:p w:rsidR="00D0698C" w:rsidRPr="002F02C1" w:rsidRDefault="00D0698C" w:rsidP="00D0698C">
      <w:pPr>
        <w:pStyle w:val="Titre1"/>
        <w:keepLines/>
        <w:tabs>
          <w:tab w:val="clear" w:pos="432"/>
        </w:tabs>
        <w:autoSpaceDE/>
        <w:autoSpaceDN/>
        <w:adjustRightInd/>
        <w:snapToGrid/>
        <w:spacing w:before="480" w:after="200" w:line="276" w:lineRule="auto"/>
        <w:jc w:val="left"/>
      </w:pPr>
      <w:bookmarkStart w:id="3" w:name="_Ref47452133"/>
      <w:r w:rsidRPr="002F02C1">
        <w:t>Beam management and BWP operation for NTN with frequency reuse</w:t>
      </w:r>
      <w:bookmarkEnd w:id="3"/>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Overview</w:t>
      </w:r>
    </w:p>
    <w:p w:rsidR="00D0698C" w:rsidRPr="0041458F" w:rsidRDefault="00D0698C" w:rsidP="00D0698C">
      <w:pPr>
        <w:rPr>
          <w:rFonts w:ascii="Arial" w:eastAsia="MS Mincho" w:hAnsi="Arial" w:cs="Arial"/>
          <w:sz w:val="20"/>
          <w:szCs w:val="20"/>
        </w:rPr>
      </w:pPr>
      <w:r w:rsidRPr="0041458F">
        <w:rPr>
          <w:rFonts w:ascii="Arial" w:hAnsi="Arial" w:cs="Arial"/>
          <w:sz w:val="20"/>
          <w:szCs w:val="20"/>
        </w:rPr>
        <w:t>Apart from to the enhancing features to address the identified issues due to long propagation delays, large Doppler effects, and moving cells in NTN, the WID [1] includes a topic about beam management and Bandwidth Parts (BWP) operation for NTN with frequency reuse,</w:t>
      </w:r>
      <w:r w:rsidR="00FD31FF">
        <w:rPr>
          <w:rFonts w:ascii="Arial" w:eastAsia="MS Mincho" w:hAnsi="Arial" w:cs="Arial"/>
          <w:sz w:val="20"/>
          <w:szCs w:val="20"/>
        </w:rPr>
        <w:t xml:space="preserve"> i</w:t>
      </w:r>
      <w:r w:rsidRPr="0041458F">
        <w:rPr>
          <w:rFonts w:ascii="Arial" w:eastAsia="MS Mincho" w:hAnsi="Arial" w:cs="Arial"/>
          <w:sz w:val="20"/>
          <w:szCs w:val="20"/>
        </w:rPr>
        <w:t xml:space="preserve">ncluding signalling of polarization mode. In this section, we discuss </w:t>
      </w:r>
      <w:proofErr w:type="spellStart"/>
      <w:r w:rsidRPr="0041458F">
        <w:rPr>
          <w:rFonts w:ascii="Arial" w:eastAsia="MS Mincho" w:hAnsi="Arial" w:cs="Arial"/>
          <w:sz w:val="20"/>
          <w:szCs w:val="20"/>
        </w:rPr>
        <w:t>the</w:t>
      </w:r>
      <w:r w:rsidR="00B8284A">
        <w:rPr>
          <w:rFonts w:ascii="Arial" w:eastAsia="MS Mincho" w:hAnsi="Arial" w:cs="Arial"/>
          <w:sz w:val="20"/>
          <w:szCs w:val="20"/>
        </w:rPr>
        <w:t>f</w:t>
      </w:r>
      <w:r w:rsidR="00B8284A" w:rsidRPr="0041458F">
        <w:rPr>
          <w:rFonts w:ascii="Arial" w:eastAsia="MS Mincho" w:hAnsi="Arial" w:cs="Arial"/>
          <w:sz w:val="20"/>
          <w:szCs w:val="20"/>
        </w:rPr>
        <w:t>requency</w:t>
      </w:r>
      <w:proofErr w:type="spellEnd"/>
      <w:r w:rsidR="00B8284A" w:rsidRPr="0041458F">
        <w:rPr>
          <w:rFonts w:ascii="Arial" w:eastAsia="MS Mincho" w:hAnsi="Arial" w:cs="Arial"/>
          <w:sz w:val="20"/>
          <w:szCs w:val="20"/>
        </w:rPr>
        <w:t xml:space="preserve"> </w:t>
      </w:r>
      <w:r w:rsidRPr="0041458F">
        <w:rPr>
          <w:rFonts w:ascii="Arial" w:eastAsia="MS Mincho" w:hAnsi="Arial" w:cs="Arial"/>
          <w:sz w:val="20"/>
          <w:szCs w:val="20"/>
        </w:rPr>
        <w:t xml:space="preserve">reuse schemes that can be used in NTN to increase the </w:t>
      </w:r>
      <w:r>
        <w:rPr>
          <w:rFonts w:ascii="Arial" w:eastAsia="MS Mincho" w:hAnsi="Arial" w:cs="Arial"/>
          <w:sz w:val="20"/>
          <w:szCs w:val="20"/>
        </w:rPr>
        <w:t>SINR</w:t>
      </w:r>
      <w:r w:rsidRPr="0041458F">
        <w:rPr>
          <w:rFonts w:ascii="Arial" w:eastAsia="MS Mincho" w:hAnsi="Arial" w:cs="Arial"/>
          <w:sz w:val="20"/>
          <w:szCs w:val="20"/>
        </w:rPr>
        <w:t xml:space="preserve"> and enhance the spectral efficiency. These include; the traditional frequency reuse, polarization re-use scheme and a Flexible Frequency Reuse based on Bandwidth Part.</w:t>
      </w:r>
      <w:r>
        <w:rPr>
          <w:rFonts w:ascii="Arial" w:eastAsia="MS Mincho" w:hAnsi="Arial" w:cs="Arial"/>
          <w:sz w:val="20"/>
          <w:szCs w:val="20"/>
        </w:rPr>
        <w:t xml:space="preserve"> We discuss also in this section the cell and NR beams to satellite beams mapping as well as the potential usage of the beam management in NTN context.</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proofErr w:type="spellStart"/>
      <w:r w:rsidRPr="0041458F">
        <w:rPr>
          <w:lang w:val="de-DE"/>
        </w:rPr>
        <w:t>Spatial</w:t>
      </w:r>
      <w:proofErr w:type="spellEnd"/>
      <w:r w:rsidRPr="0041458F">
        <w:rPr>
          <w:lang w:val="de-DE"/>
        </w:rPr>
        <w:t xml:space="preserve"> </w:t>
      </w:r>
      <w:proofErr w:type="spellStart"/>
      <w:r w:rsidRPr="0041458F">
        <w:rPr>
          <w:lang w:val="de-DE"/>
        </w:rPr>
        <w:t>Frequency</w:t>
      </w:r>
      <w:proofErr w:type="spellEnd"/>
      <w:r w:rsidRPr="0041458F">
        <w:rPr>
          <w:lang w:val="de-DE"/>
        </w:rPr>
        <w:t xml:space="preserve"> Reuse</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In NR NTN, to mitigate inter-cell/beam co-channel interference, which limits the UE’s throughput, Frequency reuse schemes (Frequency reuse factor, FRF &gt; 1) have been proposed.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Spatial Frequency reuse techniques improve the SINR but inherently </w:t>
      </w:r>
      <w:r w:rsidR="00B8284A">
        <w:rPr>
          <w:rFonts w:ascii="Arial" w:eastAsia="PMingLiU" w:hAnsi="Arial" w:cs="Arial"/>
          <w:sz w:val="20"/>
          <w:szCs w:val="20"/>
          <w:lang w:eastAsia="zh-TW"/>
        </w:rPr>
        <w:t>limit</w:t>
      </w:r>
      <w:r w:rsidR="00B8284A" w:rsidRPr="0041458F">
        <w:rPr>
          <w:rFonts w:ascii="Arial" w:eastAsia="PMingLiU" w:hAnsi="Arial" w:cs="Arial"/>
          <w:sz w:val="20"/>
          <w:szCs w:val="20"/>
          <w:lang w:eastAsia="zh-TW"/>
        </w:rPr>
        <w:t xml:space="preserve"> </w:t>
      </w:r>
      <w:r w:rsidRPr="0041458F">
        <w:rPr>
          <w:rFonts w:ascii="Arial" w:eastAsia="PMingLiU" w:hAnsi="Arial" w:cs="Arial"/>
          <w:sz w:val="20"/>
          <w:szCs w:val="20"/>
          <w:lang w:eastAsia="zh-TW"/>
        </w:rPr>
        <w:t>the per-beam bandwidth and the system capacity. The traditional Frequency Reuse-3 (FRF-3) scheme, for example, offers a protection against inter-cell interference. However, only a third of the spectral resources are used within each cell.</w:t>
      </w:r>
    </w:p>
    <w:p w:rsidR="00D0698C" w:rsidRPr="00DB3783" w:rsidRDefault="00D0698C" w:rsidP="00D0698C">
      <w:pPr>
        <w:keepNext/>
        <w:rPr>
          <w:rFonts w:ascii="Arial" w:hAnsi="Arial" w:cs="Arial"/>
          <w:sz w:val="20"/>
          <w:szCs w:val="20"/>
        </w:rPr>
      </w:pPr>
      <w:r w:rsidRPr="0041458F">
        <w:rPr>
          <w:rFonts w:ascii="Arial" w:eastAsia="PMingLiU" w:hAnsi="Arial" w:cs="Arial"/>
          <w:sz w:val="20"/>
          <w:szCs w:val="20"/>
          <w:lang w:eastAsia="zh-TW"/>
        </w:rPr>
        <w:lastRenderedPageBreak/>
        <w:t>In S-band for example, in case of full frequency reuse (FRF=1), each cell is configured with a bandwidth of 30MHz, while in case of FRF-3, each cell is configured with a bandwidth of 10MHz as the system bandwidth is divided into the three neighboring cells to decrease interference.</w:t>
      </w:r>
    </w:p>
    <w:p w:rsidR="00C67EA3" w:rsidRDefault="00D0698C" w:rsidP="00C67EA3">
      <w:pPr>
        <w:keepNext/>
        <w:jc w:val="center"/>
      </w:pPr>
      <w:r w:rsidRPr="0041458F">
        <w:rPr>
          <w:rFonts w:ascii="Arial" w:eastAsia="PMingLiU" w:hAnsi="Arial" w:cs="Arial"/>
          <w:noProof/>
          <w:sz w:val="20"/>
          <w:szCs w:val="20"/>
          <w:lang w:val="fr-FR" w:eastAsia="fr-FR"/>
        </w:rPr>
        <w:drawing>
          <wp:inline distT="0" distB="0" distL="0" distR="0" wp14:anchorId="09CE1981" wp14:editId="42B516BF">
            <wp:extent cx="3740400" cy="19332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40400" cy="1933200"/>
                    </a:xfrm>
                    <a:prstGeom prst="rect">
                      <a:avLst/>
                    </a:prstGeom>
                    <a:noFill/>
                  </pic:spPr>
                </pic:pic>
              </a:graphicData>
            </a:graphic>
          </wp:inline>
        </w:drawing>
      </w:r>
    </w:p>
    <w:p w:rsidR="00D0698C" w:rsidRPr="0041458F" w:rsidRDefault="00C67EA3" w:rsidP="00C67EA3">
      <w:pPr>
        <w:pStyle w:val="Lgende"/>
        <w:rPr>
          <w:rFonts w:ascii="Arial" w:eastAsia="PMingLiU" w:hAnsi="Arial" w:cs="Arial"/>
          <w:lang w:eastAsia="zh-TW"/>
        </w:rPr>
      </w:pPr>
      <w:r>
        <w:t xml:space="preserve">Figure </w:t>
      </w:r>
      <w:r w:rsidR="004063B3">
        <w:fldChar w:fldCharType="begin"/>
      </w:r>
      <w:r w:rsidR="004063B3">
        <w:instrText xml:space="preserve"> SEQ Figure \* ARABIC </w:instrText>
      </w:r>
      <w:r w:rsidR="004063B3">
        <w:fldChar w:fldCharType="separate"/>
      </w:r>
      <w:r w:rsidR="00212F20">
        <w:rPr>
          <w:noProof/>
        </w:rPr>
        <w:t>1</w:t>
      </w:r>
      <w:r w:rsidR="004063B3">
        <w:rPr>
          <w:noProof/>
        </w:rPr>
        <w:fldChar w:fldCharType="end"/>
      </w:r>
      <w:r w:rsidRPr="004B4B0A">
        <w:t xml:space="preserve"> Frequency Reuse (FRF-3) and Full Frequency reuse (FRF-1)</w:t>
      </w:r>
    </w:p>
    <w:p w:rsidR="00C67EA3" w:rsidRDefault="00C67EA3"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Conducted NTN System level simulations have shown potential gains of FRF-3 scheme. Considering a LEO-1200 S-Band scenario, the SLS results provided in </w:t>
      </w:r>
      <w:sdt>
        <w:sdtPr>
          <w:rPr>
            <w:rFonts w:ascii="Arial" w:eastAsia="PMingLiU" w:hAnsi="Arial" w:cs="Arial"/>
            <w:sz w:val="20"/>
            <w:szCs w:val="20"/>
            <w:lang w:eastAsia="zh-TW"/>
          </w:rPr>
          <w:id w:val="-567259971"/>
          <w:citation/>
        </w:sdtPr>
        <w:sdtEndPr/>
        <w:sdtContent>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CITATION Stu \l 1036 </w:instrText>
          </w:r>
          <w:r w:rsidRPr="0041458F">
            <w:rPr>
              <w:rFonts w:ascii="Arial" w:eastAsia="PMingLiU" w:hAnsi="Arial" w:cs="Arial"/>
              <w:sz w:val="20"/>
              <w:szCs w:val="20"/>
              <w:lang w:eastAsia="zh-TW"/>
            </w:rPr>
            <w:fldChar w:fldCharType="separate"/>
          </w:r>
          <w:r w:rsidRPr="00D533E6">
            <w:rPr>
              <w:rFonts w:ascii="Arial" w:eastAsia="PMingLiU" w:hAnsi="Arial" w:cs="Arial"/>
              <w:noProof/>
              <w:sz w:val="20"/>
              <w:szCs w:val="20"/>
              <w:lang w:eastAsia="zh-TW"/>
            </w:rPr>
            <w:t>[11]</w:t>
          </w:r>
          <w:r w:rsidRPr="0041458F">
            <w:rPr>
              <w:rFonts w:ascii="Arial" w:eastAsia="PMingLiU" w:hAnsi="Arial" w:cs="Arial"/>
              <w:sz w:val="20"/>
              <w:szCs w:val="20"/>
              <w:lang w:eastAsia="zh-TW"/>
            </w:rPr>
            <w:fldChar w:fldCharType="end"/>
          </w:r>
        </w:sdtContent>
      </w:sdt>
      <w:r w:rsidRPr="0041458F">
        <w:rPr>
          <w:rFonts w:ascii="Arial" w:eastAsia="PMingLiU" w:hAnsi="Arial" w:cs="Arial"/>
          <w:sz w:val="20"/>
          <w:szCs w:val="20"/>
          <w:lang w:eastAsia="zh-TW"/>
        </w:rPr>
        <w:t xml:space="preserve"> and displayed in the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_Ref47366960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Figure </w:t>
      </w:r>
      <w:r>
        <w:rPr>
          <w:rFonts w:ascii="Arial" w:hAnsi="Arial" w:cs="Arial"/>
          <w:noProof/>
          <w:sz w:val="20"/>
          <w:szCs w:val="20"/>
        </w:rPr>
        <w:t>14</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 show that for 100% RU (Resource Usage) the majority (more than 80%) of the UEs experience a higher throughput for the case with FRF-3 than for the case with full frequency reuse.</w:t>
      </w:r>
    </w:p>
    <w:p w:rsidR="00D0698C" w:rsidRPr="0041458F" w:rsidRDefault="00D0698C" w:rsidP="00D0698C">
      <w:pPr>
        <w:jc w:val="center"/>
        <w:rPr>
          <w:rFonts w:ascii="Arial" w:eastAsia="PMingLiU" w:hAnsi="Arial" w:cs="Arial"/>
          <w:sz w:val="20"/>
          <w:szCs w:val="20"/>
          <w:lang w:eastAsia="zh-TW"/>
        </w:rPr>
      </w:pPr>
      <w:r w:rsidRPr="0041458F">
        <w:rPr>
          <w:rFonts w:ascii="Arial" w:eastAsia="PMingLiU" w:hAnsi="Arial" w:cs="Arial"/>
          <w:noProof/>
          <w:sz w:val="20"/>
          <w:szCs w:val="20"/>
          <w:lang w:val="fr-FR" w:eastAsia="fr-FR"/>
        </w:rPr>
        <w:drawing>
          <wp:inline distT="0" distB="0" distL="0" distR="0" wp14:anchorId="2C153B41" wp14:editId="458F02C8">
            <wp:extent cx="4024800" cy="30132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24800" cy="3013200"/>
                    </a:xfrm>
                    <a:prstGeom prst="rect">
                      <a:avLst/>
                    </a:prstGeom>
                    <a:noFill/>
                  </pic:spPr>
                </pic:pic>
              </a:graphicData>
            </a:graphic>
          </wp:inline>
        </w:drawing>
      </w:r>
    </w:p>
    <w:p w:rsidR="00D0698C" w:rsidRPr="0041458F" w:rsidRDefault="00D0698C" w:rsidP="00D0698C">
      <w:pPr>
        <w:pStyle w:val="Lgende"/>
        <w:rPr>
          <w:rFonts w:ascii="Arial" w:eastAsia="PMingLiU" w:hAnsi="Arial" w:cs="Arial"/>
          <w:lang w:eastAsia="zh-TW"/>
        </w:rPr>
      </w:pPr>
      <w:bookmarkStart w:id="4" w:name="_Ref47366960"/>
      <w:r w:rsidRPr="0041458F">
        <w:rPr>
          <w:rFonts w:ascii="Arial" w:hAnsi="Arial" w:cs="Arial"/>
        </w:rPr>
        <w:t xml:space="preserve">Figure </w:t>
      </w:r>
      <w:r>
        <w:rPr>
          <w:rFonts w:ascii="Arial" w:hAnsi="Arial" w:cs="Arial"/>
        </w:rPr>
        <w:t>2</w:t>
      </w:r>
      <w:r w:rsidRPr="0041458F">
        <w:rPr>
          <w:rFonts w:ascii="Arial" w:hAnsi="Arial" w:cs="Arial"/>
        </w:rPr>
        <w:t xml:space="preserve"> FRF 1 and FRF </w:t>
      </w:r>
      <w:r w:rsidR="00B8284A">
        <w:rPr>
          <w:rFonts w:ascii="Arial" w:hAnsi="Arial" w:cs="Arial"/>
        </w:rPr>
        <w:t>3</w:t>
      </w:r>
      <w:r w:rsidRPr="0041458F">
        <w:rPr>
          <w:rFonts w:ascii="Arial" w:hAnsi="Arial" w:cs="Arial"/>
        </w:rPr>
        <w:t xml:space="preserve"> comparison</w:t>
      </w:r>
      <w:bookmarkEnd w:id="4"/>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The FRF-3 improves the overall SINR but the available cell channel bandwidth is to be divided by a factor of 3; thus, reducing the cell capacity.  </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 xml:space="preserve">For loaded cells, Frequency Reuse schemes are needed to mitigate the inter-cell/inter-beam interference and </w:t>
      </w:r>
      <w:r>
        <w:rPr>
          <w:sz w:val="20"/>
          <w:szCs w:val="20"/>
        </w:rPr>
        <w:t>improve</w:t>
      </w:r>
      <w:r w:rsidRPr="0041458F">
        <w:rPr>
          <w:sz w:val="20"/>
          <w:szCs w:val="20"/>
        </w:rPr>
        <w:t xml:space="preserve"> the overall SINR</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Spatial Frequency reuse schemes reduce significantly the inter-beam Co-channel interference but inherently limiting the per-beam bandwidth and the system capacity</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In NTN, one component carrier (CC) supports a scalable bandwidth, 5, 10, 15, 20, 25, and 30 MHz for frequency range FR1, and a scalable bandwidth, 50, 100, 200, 400MHz for frequency range FR2, as shown in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_Ref47368770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Table </w:t>
      </w:r>
      <w:r w:rsidRPr="0041458F">
        <w:rPr>
          <w:rFonts w:ascii="Arial" w:hAnsi="Arial" w:cs="Arial"/>
          <w:noProof/>
          <w:sz w:val="20"/>
          <w:szCs w:val="20"/>
        </w:rPr>
        <w:t>8</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lastRenderedPageBreak/>
        <w:t>Furthermore, a CC is associated with various RF Requirements (out-of-band emission..) which may reduce the system frequency bandwidth. with guard band ratio from 20% to 2% in FR1 and with guard band ratio from 8% to 5% in FR2.</w:t>
      </w:r>
    </w:p>
    <w:p w:rsidR="00D0698C" w:rsidRPr="0041458F" w:rsidRDefault="00D0698C" w:rsidP="00D0698C">
      <w:pPr>
        <w:pStyle w:val="Lgende"/>
        <w:rPr>
          <w:rFonts w:ascii="Arial" w:eastAsia="PMingLiU" w:hAnsi="Arial" w:cs="Arial"/>
          <w:b w:val="0"/>
          <w:lang w:eastAsia="zh-TW"/>
        </w:rPr>
      </w:pPr>
    </w:p>
    <w:p w:rsidR="00212F20" w:rsidRDefault="00212F20" w:rsidP="00212F20">
      <w:pPr>
        <w:pStyle w:val="Lgende"/>
        <w:keepNext/>
      </w:pPr>
      <w:r>
        <w:t xml:space="preserve">Table </w:t>
      </w:r>
      <w:r w:rsidR="004063B3">
        <w:fldChar w:fldCharType="begin"/>
      </w:r>
      <w:r w:rsidR="004063B3">
        <w:instrText xml:space="preserve"> SEQ Table \* ARABIC </w:instrText>
      </w:r>
      <w:r w:rsidR="004063B3">
        <w:fldChar w:fldCharType="separate"/>
      </w:r>
      <w:r>
        <w:rPr>
          <w:noProof/>
        </w:rPr>
        <w:t>1</w:t>
      </w:r>
      <w:r w:rsidR="004063B3">
        <w:rPr>
          <w:noProof/>
        </w:rPr>
        <w:fldChar w:fldCharType="end"/>
      </w:r>
      <w:r>
        <w:t xml:space="preserve"> </w:t>
      </w:r>
      <w:r w:rsidRPr="006B3444">
        <w:t>Supported NR NTN carrier bandwidths and transmission bandwidth configuration</w:t>
      </w:r>
    </w:p>
    <w:tbl>
      <w:tblPr>
        <w:tblStyle w:val="Ombrageclair"/>
        <w:tblW w:w="9232" w:type="dxa"/>
        <w:jc w:val="center"/>
        <w:tblLook w:val="06A0" w:firstRow="1" w:lastRow="0" w:firstColumn="1" w:lastColumn="0" w:noHBand="1" w:noVBand="1"/>
      </w:tblPr>
      <w:tblGrid>
        <w:gridCol w:w="1187"/>
        <w:gridCol w:w="905"/>
        <w:gridCol w:w="1190"/>
        <w:gridCol w:w="1190"/>
        <w:gridCol w:w="1190"/>
        <w:gridCol w:w="1190"/>
        <w:gridCol w:w="1190"/>
        <w:gridCol w:w="1190"/>
      </w:tblGrid>
      <w:tr w:rsidR="00D0698C" w:rsidRPr="0041458F" w:rsidTr="0017008D">
        <w:trPr>
          <w:cnfStyle w:val="100000000000" w:firstRow="1" w:lastRow="0" w:firstColumn="0" w:lastColumn="0" w:oddVBand="0" w:evenVBand="0" w:oddHBand="0" w:evenHBand="0" w:firstRowFirstColumn="0" w:firstRowLastColumn="0" w:lastRowFirstColumn="0" w:lastRowLastColumn="0"/>
          <w:trHeight w:val="724"/>
          <w:jc w:val="center"/>
        </w:trPr>
        <w:tc>
          <w:tcPr>
            <w:cnfStyle w:val="001000000000" w:firstRow="0" w:lastRow="0" w:firstColumn="1" w:lastColumn="0" w:oddVBand="0" w:evenVBand="0" w:oddHBand="0" w:evenHBand="0" w:firstRowFirstColumn="0" w:firstRowLastColumn="0" w:lastRowFirstColumn="0" w:lastRowLastColumn="0"/>
            <w:tcW w:w="1187" w:type="dxa"/>
            <w:vMerge w:val="restart"/>
            <w:vAlign w:val="center"/>
            <w:hideMark/>
          </w:tcPr>
          <w:p w:rsidR="00D0698C" w:rsidRPr="0041458F" w:rsidRDefault="00D0698C" w:rsidP="0017008D">
            <w:pPr>
              <w:textAlignment w:val="bottom"/>
              <w:rPr>
                <w:rFonts w:ascii="Arial" w:eastAsia="Times New Roman" w:hAnsi="Arial" w:cs="Arial"/>
                <w:color w:val="000000" w:themeColor="text1"/>
                <w:sz w:val="20"/>
                <w:szCs w:val="20"/>
                <w:lang w:val="fr-FR" w:eastAsia="fr-FR"/>
              </w:rPr>
            </w:pPr>
            <w:r w:rsidRPr="0041458F">
              <w:rPr>
                <w:rFonts w:ascii="Arial" w:eastAsiaTheme="minorEastAsia" w:hAnsi="Arial" w:cs="Arial"/>
                <w:color w:val="000000" w:themeColor="text1"/>
                <w:kern w:val="24"/>
                <w:sz w:val="20"/>
                <w:szCs w:val="20"/>
                <w:lang w:eastAsia="fr-FR"/>
              </w:rPr>
              <w:t>FR1</w:t>
            </w:r>
          </w:p>
        </w:tc>
        <w:tc>
          <w:tcPr>
            <w:tcW w:w="905"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SCS</w:t>
            </w:r>
          </w:p>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(kHz)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10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20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25 MHz</w:t>
            </w:r>
          </w:p>
        </w:tc>
        <w:tc>
          <w:tcPr>
            <w:tcW w:w="1190"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 xml:space="preserve">30 </w:t>
            </w:r>
            <w:r w:rsidRPr="0041458F">
              <w:rPr>
                <w:rFonts w:ascii="Arial" w:eastAsiaTheme="minorEastAsia" w:hAnsi="Arial" w:cs="Arial"/>
                <w:color w:val="000000" w:themeColor="text1"/>
                <w:kern w:val="24"/>
                <w:sz w:val="20"/>
                <w:szCs w:val="20"/>
                <w:lang w:eastAsia="fr-FR"/>
              </w:rPr>
              <w:t>MHz</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52</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79</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106</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133</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160</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4.50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9.36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14.22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19.08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23.94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28.8</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30</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24</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38</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51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65</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78</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3.96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8.64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13.68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18.36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23.40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28.08</w:t>
            </w:r>
          </w:p>
        </w:tc>
      </w:tr>
      <w:tr w:rsidR="00D0698C" w:rsidRPr="0041458F" w:rsidTr="0017008D">
        <w:trPr>
          <w:trHeight w:val="248"/>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905"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60</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N/A</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18</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24</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31</w:t>
            </w:r>
          </w:p>
        </w:tc>
        <w:tc>
          <w:tcPr>
            <w:tcW w:w="1190" w:type="dxa"/>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38</w:t>
            </w:r>
          </w:p>
        </w:tc>
      </w:tr>
      <w:tr w:rsidR="00D0698C" w:rsidRPr="0041458F" w:rsidTr="0017008D">
        <w:trPr>
          <w:trHeight w:val="331"/>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rPr>
                <w:rFonts w:ascii="Arial" w:eastAsia="Times New Roman" w:hAnsi="Arial" w:cs="Arial"/>
                <w:color w:val="000000" w:themeColor="text1"/>
                <w:sz w:val="20"/>
                <w:szCs w:val="20"/>
                <w:lang w:val="fr-FR" w:eastAsia="fr-FR"/>
              </w:rPr>
            </w:pPr>
          </w:p>
        </w:tc>
        <w:tc>
          <w:tcPr>
            <w:tcW w:w="0" w:type="auto"/>
            <w:vMerge/>
            <w:vAlign w:val="center"/>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N.A</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7.92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12.96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17.28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22.32 MHz</w:t>
            </w:r>
          </w:p>
        </w:tc>
        <w:tc>
          <w:tcPr>
            <w:tcW w:w="1190"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val="fr-FR" w:eastAsia="fr-FR"/>
              </w:rPr>
            </w:pPr>
            <w:r w:rsidRPr="0041458F">
              <w:rPr>
                <w:rFonts w:ascii="Arial" w:eastAsia="Times New Roman" w:hAnsi="Arial" w:cs="Arial"/>
                <w:color w:val="000000" w:themeColor="text1"/>
                <w:kern w:val="24"/>
                <w:sz w:val="20"/>
                <w:szCs w:val="20"/>
                <w:lang w:eastAsia="fr-FR"/>
              </w:rPr>
              <w:t>27.36</w:t>
            </w:r>
          </w:p>
        </w:tc>
      </w:tr>
    </w:tbl>
    <w:p w:rsidR="00D0698C" w:rsidRPr="0041458F" w:rsidRDefault="00D0698C" w:rsidP="00D0698C">
      <w:pPr>
        <w:pStyle w:val="Lgende"/>
        <w:rPr>
          <w:rFonts w:ascii="Arial" w:eastAsia="PMingLiU" w:hAnsi="Arial" w:cs="Arial"/>
          <w:b w:val="0"/>
          <w:lang w:eastAsia="zh-TW"/>
        </w:rPr>
      </w:pPr>
    </w:p>
    <w:tbl>
      <w:tblPr>
        <w:tblStyle w:val="Ombrageclair"/>
        <w:tblW w:w="9258" w:type="dxa"/>
        <w:jc w:val="center"/>
        <w:tblLook w:val="06A0" w:firstRow="1" w:lastRow="0" w:firstColumn="1" w:lastColumn="0" w:noHBand="1" w:noVBand="1"/>
      </w:tblPr>
      <w:tblGrid>
        <w:gridCol w:w="1601"/>
        <w:gridCol w:w="1131"/>
        <w:gridCol w:w="1649"/>
        <w:gridCol w:w="1578"/>
        <w:gridCol w:w="1626"/>
        <w:gridCol w:w="1673"/>
      </w:tblGrid>
      <w:tr w:rsidR="00D0698C" w:rsidRPr="0041458F" w:rsidTr="0017008D">
        <w:trPr>
          <w:cnfStyle w:val="100000000000" w:firstRow="1" w:lastRow="0" w:firstColumn="0" w:lastColumn="0" w:oddVBand="0" w:evenVBand="0" w:oddHBand="0" w:evenHBand="0" w:firstRowFirstColumn="0" w:firstRowLastColumn="0" w:lastRowFirstColumn="0" w:lastRowLastColumn="0"/>
          <w:trHeight w:val="744"/>
          <w:jc w:val="center"/>
        </w:trPr>
        <w:tc>
          <w:tcPr>
            <w:cnfStyle w:val="001000000000" w:firstRow="0" w:lastRow="0" w:firstColumn="1" w:lastColumn="0" w:oddVBand="0" w:evenVBand="0" w:oddHBand="0" w:evenHBand="0" w:firstRowFirstColumn="0" w:firstRowLastColumn="0" w:lastRowFirstColumn="0" w:lastRowLastColumn="0"/>
            <w:tcW w:w="1601" w:type="dxa"/>
            <w:vMerge w:val="restart"/>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FR2</w:t>
            </w:r>
          </w:p>
        </w:tc>
        <w:tc>
          <w:tcPr>
            <w:tcW w:w="1131"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SCS</w:t>
            </w:r>
          </w:p>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(kHz)</w:t>
            </w:r>
          </w:p>
        </w:tc>
        <w:tc>
          <w:tcPr>
            <w:tcW w:w="1649"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50 MHz</w:t>
            </w:r>
          </w:p>
        </w:tc>
        <w:tc>
          <w:tcPr>
            <w:tcW w:w="1578"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100 MHz</w:t>
            </w:r>
          </w:p>
        </w:tc>
        <w:tc>
          <w:tcPr>
            <w:tcW w:w="1626"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200 MHz</w:t>
            </w:r>
          </w:p>
        </w:tc>
        <w:tc>
          <w:tcPr>
            <w:tcW w:w="1673" w:type="dxa"/>
            <w:vAlign w:val="center"/>
            <w:hideMark/>
          </w:tcPr>
          <w:p w:rsidR="00D0698C" w:rsidRPr="0041458F" w:rsidRDefault="00D0698C" w:rsidP="0017008D">
            <w:pPr>
              <w:textAlignment w:val="bottom"/>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400 MHz</w:t>
            </w:r>
          </w:p>
        </w:tc>
      </w:tr>
      <w:tr w:rsidR="00D0698C" w:rsidRPr="0041458F" w:rsidTr="0017008D">
        <w:trPr>
          <w:trHeight w:val="28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1131"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60</w:t>
            </w: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66</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132</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264</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N.A</w:t>
            </w:r>
          </w:p>
        </w:tc>
      </w:tr>
      <w:tr w:rsidR="00D0698C" w:rsidRPr="0041458F" w:rsidTr="0017008D">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0" w:type="auto"/>
            <w:vMerge/>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47.52 MHz</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95.04 MHz</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190.08 MHz</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N/A</w:t>
            </w:r>
          </w:p>
        </w:tc>
      </w:tr>
      <w:tr w:rsidR="00D0698C" w:rsidRPr="0041458F" w:rsidTr="0017008D">
        <w:trPr>
          <w:trHeight w:val="284"/>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1131" w:type="dxa"/>
            <w:vMerge w:val="restart"/>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120</w:t>
            </w: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32</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66</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132</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264</w:t>
            </w:r>
          </w:p>
        </w:tc>
      </w:tr>
      <w:tr w:rsidR="00D0698C" w:rsidRPr="0041458F" w:rsidTr="0017008D">
        <w:trPr>
          <w:trHeight w:val="340"/>
          <w:jc w:val="center"/>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rsidR="00D0698C" w:rsidRPr="0041458F" w:rsidRDefault="00D0698C" w:rsidP="0017008D">
            <w:pPr>
              <w:textAlignment w:val="bottom"/>
              <w:rPr>
                <w:rFonts w:ascii="Arial" w:eastAsiaTheme="minorEastAsia" w:hAnsi="Arial" w:cs="Arial"/>
                <w:color w:val="000000" w:themeColor="text1"/>
                <w:kern w:val="24"/>
                <w:sz w:val="20"/>
                <w:szCs w:val="20"/>
                <w:lang w:eastAsia="fr-FR"/>
              </w:rPr>
            </w:pPr>
          </w:p>
        </w:tc>
        <w:tc>
          <w:tcPr>
            <w:tcW w:w="0" w:type="auto"/>
            <w:vMerge/>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p>
        </w:tc>
        <w:tc>
          <w:tcPr>
            <w:tcW w:w="1649"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46.08 MHz</w:t>
            </w:r>
          </w:p>
        </w:tc>
        <w:tc>
          <w:tcPr>
            <w:tcW w:w="1578"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95.04 MHz</w:t>
            </w:r>
          </w:p>
        </w:tc>
        <w:tc>
          <w:tcPr>
            <w:tcW w:w="1626"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190.08 MHz</w:t>
            </w:r>
          </w:p>
        </w:tc>
        <w:tc>
          <w:tcPr>
            <w:tcW w:w="1673" w:type="dxa"/>
            <w:vAlign w:val="center"/>
            <w:hideMark/>
          </w:tcPr>
          <w:p w:rsidR="00D0698C" w:rsidRPr="0041458F" w:rsidRDefault="00D0698C" w:rsidP="0017008D">
            <w:pPr>
              <w:textAlignment w:val="bottom"/>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color w:val="000000" w:themeColor="text1"/>
                <w:kern w:val="24"/>
                <w:sz w:val="20"/>
                <w:szCs w:val="20"/>
                <w:lang w:eastAsia="fr-FR"/>
              </w:rPr>
            </w:pPr>
            <w:r w:rsidRPr="0041458F">
              <w:rPr>
                <w:rFonts w:ascii="Arial" w:eastAsiaTheme="minorEastAsia" w:hAnsi="Arial" w:cs="Arial"/>
                <w:color w:val="000000" w:themeColor="text1"/>
                <w:kern w:val="24"/>
                <w:sz w:val="20"/>
                <w:szCs w:val="20"/>
                <w:lang w:eastAsia="fr-FR"/>
              </w:rPr>
              <w:t>380.16 MHz</w:t>
            </w:r>
          </w:p>
        </w:tc>
      </w:tr>
    </w:tbl>
    <w:p w:rsidR="00D0698C" w:rsidRDefault="00D0698C"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The bandwidth per cell must be adapted based on the frequency factor and the polarization re-use option considered. Considering the supported NR NTN carrier bandwidths, given in </w:t>
      </w:r>
      <w:r w:rsidRPr="0041458F">
        <w:rPr>
          <w:rFonts w:ascii="Arial" w:eastAsia="PMingLiU" w:hAnsi="Arial" w:cs="Arial"/>
          <w:sz w:val="20"/>
          <w:szCs w:val="20"/>
          <w:lang w:eastAsia="zh-TW"/>
        </w:rPr>
        <w:fldChar w:fldCharType="begin"/>
      </w:r>
      <w:r w:rsidRPr="0041458F">
        <w:rPr>
          <w:rFonts w:ascii="Arial" w:eastAsia="PMingLiU" w:hAnsi="Arial" w:cs="Arial"/>
          <w:sz w:val="20"/>
          <w:szCs w:val="20"/>
          <w:lang w:eastAsia="zh-TW"/>
        </w:rPr>
        <w:instrText xml:space="preserve"> REF _Ref47368770 \h  \* MERGEFORMAT </w:instrText>
      </w:r>
      <w:r w:rsidRPr="0041458F">
        <w:rPr>
          <w:rFonts w:ascii="Arial" w:eastAsia="PMingLiU" w:hAnsi="Arial" w:cs="Arial"/>
          <w:sz w:val="20"/>
          <w:szCs w:val="20"/>
          <w:lang w:eastAsia="zh-TW"/>
        </w:rPr>
      </w:r>
      <w:r w:rsidRPr="0041458F">
        <w:rPr>
          <w:rFonts w:ascii="Arial" w:eastAsia="PMingLiU" w:hAnsi="Arial" w:cs="Arial"/>
          <w:sz w:val="20"/>
          <w:szCs w:val="20"/>
          <w:lang w:eastAsia="zh-TW"/>
        </w:rPr>
        <w:fldChar w:fldCharType="separate"/>
      </w:r>
      <w:r w:rsidRPr="0041458F">
        <w:rPr>
          <w:rFonts w:ascii="Arial" w:hAnsi="Arial" w:cs="Arial"/>
          <w:sz w:val="20"/>
          <w:szCs w:val="20"/>
        </w:rPr>
        <w:t xml:space="preserve">Table </w:t>
      </w:r>
      <w:r w:rsidRPr="0041458F">
        <w:rPr>
          <w:rFonts w:ascii="Arial" w:hAnsi="Arial" w:cs="Arial"/>
          <w:noProof/>
          <w:sz w:val="20"/>
          <w:szCs w:val="20"/>
        </w:rPr>
        <w:t>8</w:t>
      </w:r>
      <w:r w:rsidRPr="0041458F">
        <w:rPr>
          <w:rFonts w:ascii="Arial" w:hAnsi="Arial" w:cs="Arial"/>
          <w:sz w:val="20"/>
          <w:szCs w:val="20"/>
        </w:rPr>
        <w:t xml:space="preserve"> </w:t>
      </w:r>
      <w:r w:rsidRPr="0041458F">
        <w:rPr>
          <w:rFonts w:ascii="Arial" w:eastAsia="PMingLiU" w:hAnsi="Arial" w:cs="Arial"/>
          <w:sz w:val="20"/>
          <w:szCs w:val="20"/>
          <w:lang w:eastAsia="zh-TW"/>
        </w:rPr>
        <w:fldChar w:fldCharType="end"/>
      </w:r>
      <w:r w:rsidRPr="0041458F">
        <w:rPr>
          <w:rFonts w:ascii="Arial" w:eastAsia="PMingLiU" w:hAnsi="Arial" w:cs="Arial"/>
          <w:sz w:val="20"/>
          <w:szCs w:val="20"/>
          <w:lang w:eastAsia="zh-TW"/>
        </w:rPr>
        <w:t xml:space="preserve">, and depending on the available system frequency bandwidth, not all CC bandwidth could be used with a given FRF, specifically if the CCs allocated for different neighbor cells should have the same bandwidth.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Furthermore, for more flexibility, the BWP can be used to replace component carrier (CC) as will be discussed in an upcoming clause.</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To increase the per-beam bandwidth while ensuring excellent interference isolation between beams, other frequency separation techniques such as polarization re-use scheme should be considered</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proofErr w:type="spellStart"/>
      <w:r w:rsidRPr="0041458F">
        <w:rPr>
          <w:lang w:val="de-DE"/>
        </w:rPr>
        <w:t>Polarization</w:t>
      </w:r>
      <w:proofErr w:type="spellEnd"/>
      <w:r w:rsidRPr="0041458F">
        <w:rPr>
          <w:lang w:val="de-DE"/>
        </w:rPr>
        <w:t xml:space="preserve"> </w:t>
      </w:r>
      <w:proofErr w:type="spellStart"/>
      <w:r w:rsidRPr="0041458F">
        <w:rPr>
          <w:lang w:val="de-DE"/>
        </w:rPr>
        <w:t>re-use</w:t>
      </w:r>
      <w:proofErr w:type="spellEnd"/>
      <w:r w:rsidRPr="0041458F">
        <w:rPr>
          <w:lang w:val="de-DE"/>
        </w:rPr>
        <w:t xml:space="preserve"> </w:t>
      </w:r>
      <w:proofErr w:type="spellStart"/>
      <w:r w:rsidRPr="0041458F">
        <w:rPr>
          <w:lang w:val="de-DE"/>
        </w:rPr>
        <w:t>support</w:t>
      </w:r>
      <w:proofErr w:type="spellEnd"/>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Traditional frequency reuse though simple in implementation is suffering from quite reduced spectral efficiency. To increase the per-beam bandwidth while ensuring excellent interference isolation between beams, polarization re-use scheme can be used together with frequency reuse as shown on the figure 15: Neighboring cells use different polarization modes to mitigate inter-cell interference: e.g. Right-Hand-Circular (RHC) which follows a clockwise pattern, and Left-Hand-Circular (LHC) which follows a counterclockwise pattern.</w:t>
      </w:r>
    </w:p>
    <w:p w:rsidR="00D0698C" w:rsidRPr="0041458F" w:rsidRDefault="0099483F" w:rsidP="00D0698C">
      <w:pPr>
        <w:rPr>
          <w:rFonts w:ascii="Arial" w:eastAsia="PMingLiU" w:hAnsi="Arial" w:cs="Arial"/>
          <w:sz w:val="20"/>
          <w:szCs w:val="20"/>
          <w:lang w:eastAsia="zh-TW"/>
        </w:rPr>
      </w:pPr>
      <w:r w:rsidRPr="0099483F">
        <w:rPr>
          <w:rFonts w:ascii="Arial" w:eastAsia="PMingLiU" w:hAnsi="Arial" w:cs="Arial"/>
          <w:sz w:val="20"/>
          <w:szCs w:val="20"/>
          <w:lang w:eastAsia="zh-TW"/>
        </w:rPr>
        <w:t xml:space="preserve">NTN should support UEs with circularly polarized antennas and polarization re-use </w:t>
      </w:r>
      <w:proofErr w:type="spellStart"/>
      <w:r w:rsidRPr="0099483F">
        <w:rPr>
          <w:rFonts w:ascii="Arial" w:eastAsia="PMingLiU" w:hAnsi="Arial" w:cs="Arial"/>
          <w:sz w:val="20"/>
          <w:szCs w:val="20"/>
          <w:lang w:eastAsia="zh-TW"/>
        </w:rPr>
        <w:t>schemes</w:t>
      </w:r>
      <w:r>
        <w:rPr>
          <w:rFonts w:ascii="Arial" w:eastAsia="PMingLiU" w:hAnsi="Arial" w:cs="Arial"/>
          <w:sz w:val="20"/>
          <w:szCs w:val="20"/>
          <w:lang w:eastAsia="zh-TW"/>
        </w:rPr>
        <w:t>.</w:t>
      </w:r>
      <w:r w:rsidR="00D0698C" w:rsidRPr="0041458F">
        <w:rPr>
          <w:rFonts w:ascii="Arial" w:eastAsia="PMingLiU" w:hAnsi="Arial" w:cs="Arial"/>
          <w:sz w:val="20"/>
          <w:szCs w:val="20"/>
          <w:lang w:eastAsia="zh-TW"/>
        </w:rPr>
        <w:t>To</w:t>
      </w:r>
      <w:proofErr w:type="spellEnd"/>
      <w:r w:rsidR="00D0698C" w:rsidRPr="0041458F">
        <w:rPr>
          <w:rFonts w:ascii="Arial" w:eastAsia="PMingLiU" w:hAnsi="Arial" w:cs="Arial"/>
          <w:sz w:val="20"/>
          <w:szCs w:val="20"/>
          <w:lang w:eastAsia="zh-TW"/>
        </w:rPr>
        <w:t xml:space="preserve"> prevent depolarization loss in case of UE with only linear polarization capability, a combination of the two Rx branches in the UE may be used in the downlink, and the satellite reception may implement dual polarization per beam in the uplink.</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 xml:space="preserve">NTN should support co-existence of UEs with circularly polarized antennas and linearly polarized antennas on both S-band and </w:t>
      </w:r>
      <w:proofErr w:type="spellStart"/>
      <w:r w:rsidRPr="0041458F">
        <w:rPr>
          <w:sz w:val="20"/>
          <w:szCs w:val="20"/>
        </w:rPr>
        <w:t>Ka</w:t>
      </w:r>
      <w:proofErr w:type="spellEnd"/>
      <w:r w:rsidRPr="0041458F">
        <w:rPr>
          <w:sz w:val="20"/>
          <w:szCs w:val="20"/>
        </w:rPr>
        <w:t>-band</w:t>
      </w:r>
    </w:p>
    <w:p w:rsidR="00C67EA3" w:rsidRDefault="00D0698C" w:rsidP="00F13464">
      <w:pPr>
        <w:keepNext/>
        <w:jc w:val="center"/>
      </w:pPr>
      <w:r w:rsidRPr="0041458F">
        <w:rPr>
          <w:rFonts w:ascii="Arial" w:eastAsia="PMingLiU" w:hAnsi="Arial" w:cs="Arial"/>
          <w:noProof/>
          <w:sz w:val="20"/>
          <w:szCs w:val="20"/>
          <w:lang w:val="fr-FR" w:eastAsia="fr-FR"/>
        </w:rPr>
        <w:lastRenderedPageBreak/>
        <w:drawing>
          <wp:inline distT="0" distB="0" distL="0" distR="0" wp14:anchorId="2745AB78" wp14:editId="36CFDB1C">
            <wp:extent cx="6364800" cy="1890000"/>
            <wp:effectExtent l="0" t="0" r="0" b="0"/>
            <wp:docPr id="298" name="Imag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4800" cy="1890000"/>
                    </a:xfrm>
                    <a:prstGeom prst="rect">
                      <a:avLst/>
                    </a:prstGeom>
                    <a:noFill/>
                  </pic:spPr>
                </pic:pic>
              </a:graphicData>
            </a:graphic>
          </wp:inline>
        </w:drawing>
      </w:r>
    </w:p>
    <w:p w:rsidR="00D0698C" w:rsidRPr="0041458F" w:rsidRDefault="00C67EA3" w:rsidP="00C67EA3">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2</w:t>
      </w:r>
      <w:r w:rsidR="004063B3">
        <w:rPr>
          <w:noProof/>
        </w:rPr>
        <w:fldChar w:fldCharType="end"/>
      </w:r>
      <w:r>
        <w:t xml:space="preserve"> </w:t>
      </w:r>
      <w:r w:rsidRPr="00342539">
        <w:t>Polarization re-use scheme used together with frequency reuse</w:t>
      </w:r>
    </w:p>
    <w:p w:rsidR="00C67EA3" w:rsidRDefault="00C67EA3" w:rsidP="00D0698C">
      <w:pPr>
        <w:rPr>
          <w:rFonts w:ascii="Arial" w:eastAsia="PMingLiU" w:hAnsi="Arial" w:cs="Arial"/>
          <w:sz w:val="20"/>
          <w:szCs w:val="20"/>
          <w:lang w:eastAsia="zh-TW"/>
        </w:rPr>
      </w:pP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Additionally, there are other advantages of circular polarization such as its robustness against the Faraday effect which affects linear polarization especially at lower frequencies and it is more resistant to signal degradation due to atmospheric conditions.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 xml:space="preserve">More importantly, circular polarization can be used to increase the cell capacity: Both directions (RHC and LHC) can be used simultaneously on the same PRBs. </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 xml:space="preserve">Circular polarization can be used to double the cell capacity </w:t>
      </w:r>
    </w:p>
    <w:p w:rsidR="00D0698C" w:rsidRPr="0041458F" w:rsidRDefault="00D0698C" w:rsidP="00D0698C">
      <w:pPr>
        <w:pStyle w:val="Titre1"/>
        <w:keepLines/>
        <w:tabs>
          <w:tab w:val="clear" w:pos="432"/>
        </w:tabs>
        <w:autoSpaceDE/>
        <w:autoSpaceDN/>
        <w:adjustRightInd/>
        <w:snapToGrid/>
        <w:spacing w:before="480" w:after="200" w:line="276" w:lineRule="auto"/>
        <w:jc w:val="left"/>
      </w:pPr>
      <w:r>
        <w:t xml:space="preserve">Beam Management </w:t>
      </w:r>
      <w:r w:rsidRPr="0041458F">
        <w:t>and BWP support</w:t>
      </w:r>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Definitions</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Beam</w:t>
      </w:r>
      <w:r w:rsidRPr="0041458F">
        <w:rPr>
          <w:rFonts w:ascii="Arial" w:eastAsia="PMingLiU" w:hAnsi="Arial" w:cs="Arial"/>
          <w:sz w:val="20"/>
          <w:szCs w:val="20"/>
          <w:lang w:eastAsia="zh-TW"/>
        </w:rPr>
        <w:t>: A beam is the main lobe of the radiation pattern of an antenna array</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Antenna port</w:t>
      </w:r>
      <w:r w:rsidRPr="0041458F">
        <w:rPr>
          <w:rFonts w:ascii="Arial" w:eastAsia="PMingLiU" w:hAnsi="Arial" w:cs="Arial"/>
          <w:sz w:val="20"/>
          <w:szCs w:val="20"/>
          <w:lang w:eastAsia="zh-TW"/>
        </w:rPr>
        <w:t xml:space="preserve">: </w:t>
      </w:r>
    </w:p>
    <w:p w:rsidR="00D0698C" w:rsidRPr="0041458F" w:rsidRDefault="00D0698C" w:rsidP="00D0698C">
      <w:pPr>
        <w:pStyle w:val="Paragraphedeliste"/>
        <w:numPr>
          <w:ilvl w:val="1"/>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As per</w:t>
      </w:r>
      <w:r w:rsidR="00AD28A8">
        <w:rPr>
          <w:rFonts w:ascii="Arial" w:eastAsia="PMingLiU" w:hAnsi="Arial" w:cs="Arial"/>
          <w:sz w:val="20"/>
          <w:szCs w:val="20"/>
          <w:lang w:eastAsia="zh-TW"/>
        </w:rPr>
        <w:t xml:space="preserve"> [7]</w:t>
      </w:r>
      <w:r w:rsidRPr="0041458F">
        <w:rPr>
          <w:rFonts w:ascii="Arial" w:eastAsia="PMingLiU" w:hAnsi="Arial" w:cs="Arial"/>
          <w:sz w:val="20"/>
          <w:szCs w:val="20"/>
          <w:lang w:eastAsia="zh-TW"/>
        </w:rPr>
        <w:t xml:space="preserve"> an antenna port is defined such that the channel over which a symbol on the antenna port is conveyed can be inferred from the channel over which another symbol on the same antenna port is conveyed.</w:t>
      </w:r>
    </w:p>
    <w:p w:rsidR="00D0698C" w:rsidRPr="0041458F" w:rsidRDefault="00D0698C" w:rsidP="00D0698C">
      <w:pPr>
        <w:pStyle w:val="Paragraphedeliste"/>
        <w:numPr>
          <w:ilvl w:val="1"/>
          <w:numId w:val="28"/>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sz w:val="20"/>
          <w:szCs w:val="20"/>
          <w:lang w:eastAsia="zh-TW"/>
        </w:rPr>
        <w:t xml:space="preserve">Simply put, it is </w:t>
      </w:r>
      <w:r w:rsidRPr="0041458F">
        <w:rPr>
          <w:rFonts w:ascii="Arial" w:eastAsia="PMingLiU" w:hAnsi="Arial" w:cs="Arial"/>
          <w:sz w:val="20"/>
          <w:szCs w:val="20"/>
          <w:lang w:eastAsia="zh-TW"/>
        </w:rPr>
        <w:t>a logical entity distinguished by a separate Reference Signal sequence</w:t>
      </w:r>
    </w:p>
    <w:p w:rsidR="00D0698C" w:rsidRPr="0041458F" w:rsidRDefault="00D0698C" w:rsidP="00D0698C">
      <w:pPr>
        <w:pStyle w:val="Paragraphedeliste"/>
        <w:numPr>
          <w:ilvl w:val="0"/>
          <w:numId w:val="28"/>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b/>
          <w:sz w:val="20"/>
          <w:szCs w:val="20"/>
          <w:lang w:eastAsia="zh-TW"/>
        </w:rPr>
        <w:t>Satellite beam</w:t>
      </w:r>
      <w:r w:rsidRPr="0041458F">
        <w:rPr>
          <w:rFonts w:ascii="Arial" w:eastAsia="PMingLiU" w:hAnsi="Arial" w:cs="Arial"/>
          <w:sz w:val="20"/>
          <w:szCs w:val="20"/>
          <w:lang w:eastAsia="zh-TW"/>
        </w:rPr>
        <w:t>: a beam created by Satellite Active Antenna System. A satellite beam may not be identified by the UE</w:t>
      </w:r>
    </w:p>
    <w:p w:rsidR="00D0698C" w:rsidRPr="0041458F" w:rsidRDefault="00D0698C" w:rsidP="00D0698C">
      <w:pPr>
        <w:pStyle w:val="Paragraphedeliste"/>
        <w:numPr>
          <w:ilvl w:val="0"/>
          <w:numId w:val="28"/>
        </w:numPr>
        <w:spacing w:after="200" w:line="276" w:lineRule="auto"/>
        <w:contextualSpacing/>
        <w:jc w:val="left"/>
        <w:rPr>
          <w:rFonts w:ascii="Arial" w:eastAsia="PMingLiU" w:hAnsi="Arial" w:cs="Arial"/>
          <w:sz w:val="20"/>
          <w:szCs w:val="20"/>
          <w:lang w:eastAsia="zh-TW"/>
        </w:rPr>
      </w:pPr>
      <w:r w:rsidRPr="0041458F">
        <w:rPr>
          <w:rFonts w:ascii="Arial" w:eastAsia="PMingLiU" w:hAnsi="Arial" w:cs="Arial"/>
          <w:b/>
          <w:sz w:val="20"/>
          <w:szCs w:val="20"/>
          <w:lang w:eastAsia="zh-TW"/>
        </w:rPr>
        <w:t>NR beam</w:t>
      </w:r>
      <w:r w:rsidRPr="0041458F">
        <w:rPr>
          <w:rFonts w:ascii="Arial" w:eastAsia="PMingLiU" w:hAnsi="Arial" w:cs="Arial"/>
          <w:sz w:val="20"/>
          <w:szCs w:val="20"/>
          <w:lang w:eastAsia="zh-TW"/>
        </w:rPr>
        <w:t xml:space="preserve">: a beam which is associated with an antenna port/CSI Reference signal. </w:t>
      </w:r>
      <w:r>
        <w:rPr>
          <w:rFonts w:ascii="Arial" w:eastAsia="PMingLiU" w:hAnsi="Arial" w:cs="Arial"/>
          <w:sz w:val="20"/>
          <w:szCs w:val="20"/>
          <w:lang w:eastAsia="zh-TW"/>
        </w:rPr>
        <w:t xml:space="preserve">It can be </w:t>
      </w:r>
      <w:r w:rsidRPr="0041458F">
        <w:rPr>
          <w:rFonts w:ascii="Arial" w:eastAsia="PMingLiU" w:hAnsi="Arial" w:cs="Arial"/>
          <w:sz w:val="20"/>
          <w:szCs w:val="20"/>
          <w:lang w:eastAsia="zh-TW"/>
        </w:rPr>
        <w:t>identified by the UE</w:t>
      </w:r>
    </w:p>
    <w:p w:rsidR="00D0698C" w:rsidRPr="0041458F" w:rsidRDefault="00D0698C" w:rsidP="00D0698C">
      <w:pPr>
        <w:pStyle w:val="Titre2"/>
        <w:keepLines/>
        <w:tabs>
          <w:tab w:val="clear" w:pos="576"/>
        </w:tabs>
        <w:autoSpaceDE/>
        <w:autoSpaceDN/>
        <w:adjustRightInd/>
        <w:snapToGrid/>
        <w:spacing w:before="200" w:after="240" w:line="276" w:lineRule="auto"/>
        <w:jc w:val="left"/>
        <w:rPr>
          <w:rFonts w:eastAsia="PMingLiU"/>
          <w:lang w:eastAsia="zh-TW"/>
        </w:rPr>
      </w:pPr>
      <w:r w:rsidRPr="0041458F">
        <w:t>NR Beams and NR Cell to Satellite beams mapping</w:t>
      </w:r>
    </w:p>
    <w:p w:rsidR="00D0698C" w:rsidRPr="0041458F" w:rsidRDefault="0099483F" w:rsidP="00D0698C">
      <w:pPr>
        <w:pStyle w:val="Paragraphedeliste"/>
        <w:ind w:left="0"/>
        <w:rPr>
          <w:rFonts w:ascii="Arial" w:eastAsia="PMingLiU" w:hAnsi="Arial" w:cs="Arial"/>
          <w:sz w:val="20"/>
          <w:szCs w:val="20"/>
          <w:lang w:eastAsia="zh-TW"/>
        </w:rPr>
      </w:pPr>
      <w:r>
        <w:rPr>
          <w:rFonts w:ascii="Arial" w:eastAsia="PMingLiU" w:hAnsi="Arial" w:cs="Arial"/>
          <w:sz w:val="20"/>
          <w:szCs w:val="20"/>
          <w:lang w:eastAsia="zh-TW"/>
        </w:rPr>
        <w:t xml:space="preserve">NR </w:t>
      </w:r>
      <w:r w:rsidR="00D0698C" w:rsidRPr="0041458F">
        <w:rPr>
          <w:rFonts w:ascii="Arial" w:eastAsia="PMingLiU" w:hAnsi="Arial" w:cs="Arial"/>
          <w:sz w:val="20"/>
          <w:szCs w:val="20"/>
          <w:lang w:eastAsia="zh-TW"/>
        </w:rPr>
        <w:t xml:space="preserve">Beamforming needs channel knowledge at the transmitter. Regular beam management operations are based on the control messages which are periodically exchanged between the gNB and the UE. </w:t>
      </w: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In NTN, it will be challenging to implement an optimal and dynamic/fast beamforming towards the users. There are different reasons for that: FDD is assumed for core specification work for NR-NTN. As in FDD there is no channel reciprocity, channel information cannot be obtained from UL Sounding Reference Signals (SRS). Also, the propagation delay in NTN may impact the validity of L1 beam measurement. Furthermore, the generated satellite beams are with a large size (tens or maybe hundreds of Km). </w:t>
      </w:r>
    </w:p>
    <w:p w:rsidR="00AD28A8" w:rsidRPr="0041458F" w:rsidRDefault="00AD28A8" w:rsidP="00D0698C">
      <w:pPr>
        <w:pStyle w:val="Paragraphedeliste"/>
        <w:ind w:left="0"/>
        <w:rPr>
          <w:rFonts w:ascii="Arial" w:eastAsia="PMingLiU" w:hAnsi="Arial" w:cs="Arial"/>
          <w:sz w:val="20"/>
          <w:szCs w:val="20"/>
          <w:lang w:eastAsia="zh-TW"/>
        </w:rPr>
      </w:pP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In NTN it might be challenging to implement an optimal and dynamic/fast beamforming towards the users</w:t>
      </w: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Therefore, a different approach should be taken in NTN: the gNB should operates on a set of predefined satellite beams in UL and DL. For Earth fixed beam scenario: Beams are static and do not move (from UE perspective) but beams should be steered to cover Earth fixed cell area.</w:t>
      </w:r>
      <w:r w:rsidRPr="0041458F">
        <w:rPr>
          <w:rFonts w:ascii="Arial" w:hAnsi="Arial" w:cs="Arial"/>
          <w:sz w:val="20"/>
          <w:szCs w:val="20"/>
        </w:rPr>
        <w:t xml:space="preserve"> </w:t>
      </w:r>
      <w:r w:rsidRPr="0041458F">
        <w:rPr>
          <w:rFonts w:ascii="Arial" w:eastAsia="PMingLiU" w:hAnsi="Arial" w:cs="Arial"/>
          <w:sz w:val="20"/>
          <w:szCs w:val="20"/>
          <w:lang w:eastAsia="zh-TW"/>
        </w:rPr>
        <w:t>In case of</w:t>
      </w:r>
      <w:r w:rsidRPr="0041458F">
        <w:rPr>
          <w:rFonts w:ascii="Arial" w:hAnsi="Arial" w:cs="Arial"/>
          <w:sz w:val="20"/>
          <w:szCs w:val="20"/>
        </w:rPr>
        <w:t xml:space="preserve"> </w:t>
      </w:r>
      <w:r w:rsidRPr="0041458F">
        <w:rPr>
          <w:rFonts w:ascii="Arial" w:eastAsia="PMingLiU" w:hAnsi="Arial" w:cs="Arial"/>
          <w:sz w:val="20"/>
          <w:szCs w:val="20"/>
          <w:lang w:eastAsia="zh-TW"/>
        </w:rPr>
        <w:t>LEO based Earth moving cells, the satellite beams are moving on the ground</w:t>
      </w:r>
      <w:r w:rsidR="00621832">
        <w:rPr>
          <w:rFonts w:ascii="Arial" w:eastAsia="PMingLiU" w:hAnsi="Arial" w:cs="Arial"/>
          <w:sz w:val="20"/>
          <w:szCs w:val="20"/>
          <w:lang w:eastAsia="zh-TW"/>
        </w:rPr>
        <w:t xml:space="preserve"> and</w:t>
      </w:r>
      <w:r w:rsidRPr="0041458F">
        <w:rPr>
          <w:rFonts w:ascii="Arial" w:eastAsia="PMingLiU" w:hAnsi="Arial" w:cs="Arial"/>
          <w:sz w:val="20"/>
          <w:szCs w:val="20"/>
          <w:lang w:eastAsia="zh-TW"/>
        </w:rPr>
        <w:t xml:space="preserve"> the Users </w:t>
      </w:r>
      <w:r>
        <w:rPr>
          <w:rFonts w:ascii="Arial" w:eastAsia="PMingLiU" w:hAnsi="Arial" w:cs="Arial"/>
          <w:sz w:val="20"/>
          <w:szCs w:val="20"/>
          <w:lang w:eastAsia="zh-TW"/>
        </w:rPr>
        <w:t>are</w:t>
      </w:r>
      <w:r w:rsidRPr="0041458F">
        <w:rPr>
          <w:rFonts w:ascii="Arial" w:eastAsia="PMingLiU" w:hAnsi="Arial" w:cs="Arial"/>
          <w:sz w:val="20"/>
          <w:szCs w:val="20"/>
          <w:lang w:eastAsia="zh-TW"/>
        </w:rPr>
        <w:t xml:space="preserve"> </w:t>
      </w:r>
      <w:r w:rsidR="00621832">
        <w:rPr>
          <w:rFonts w:ascii="Arial" w:eastAsia="PMingLiU" w:hAnsi="Arial" w:cs="Arial"/>
          <w:sz w:val="20"/>
          <w:szCs w:val="20"/>
          <w:lang w:eastAsia="zh-TW"/>
        </w:rPr>
        <w:t>jumping</w:t>
      </w:r>
      <w:r w:rsidR="00621832" w:rsidRPr="0041458F">
        <w:rPr>
          <w:rFonts w:ascii="Arial" w:eastAsia="PMingLiU" w:hAnsi="Arial" w:cs="Arial"/>
          <w:sz w:val="20"/>
          <w:szCs w:val="20"/>
          <w:lang w:eastAsia="zh-TW"/>
        </w:rPr>
        <w:t xml:space="preserve"> </w:t>
      </w:r>
      <w:r w:rsidR="00621832">
        <w:rPr>
          <w:rFonts w:ascii="Arial" w:eastAsia="PMingLiU" w:hAnsi="Arial" w:cs="Arial"/>
          <w:sz w:val="20"/>
          <w:szCs w:val="20"/>
          <w:lang w:eastAsia="zh-TW"/>
        </w:rPr>
        <w:t>from beam to beam</w:t>
      </w:r>
      <w:r w:rsidRPr="0041458F">
        <w:rPr>
          <w:rFonts w:ascii="Arial" w:eastAsia="PMingLiU" w:hAnsi="Arial" w:cs="Arial"/>
          <w:sz w:val="20"/>
          <w:szCs w:val="20"/>
          <w:lang w:eastAsia="zh-TW"/>
        </w:rPr>
        <w:t xml:space="preserve">. </w:t>
      </w: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lastRenderedPageBreak/>
        <w:t xml:space="preserve">From our perspective, there are </w:t>
      </w:r>
      <w:r>
        <w:rPr>
          <w:rFonts w:ascii="Arial" w:eastAsia="PMingLiU" w:hAnsi="Arial" w:cs="Arial"/>
          <w:sz w:val="20"/>
          <w:szCs w:val="20"/>
          <w:lang w:eastAsia="zh-TW"/>
        </w:rPr>
        <w:t>mainly 3</w:t>
      </w:r>
      <w:r w:rsidRPr="0041458F">
        <w:rPr>
          <w:rFonts w:ascii="Arial" w:eastAsia="PMingLiU" w:hAnsi="Arial" w:cs="Arial"/>
          <w:sz w:val="20"/>
          <w:szCs w:val="20"/>
          <w:lang w:eastAsia="zh-TW"/>
        </w:rPr>
        <w:t xml:space="preserve"> options which can be considered for the mapping of NR beams and NR cells to the satellite beams:</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b/>
          <w:sz w:val="20"/>
          <w:szCs w:val="20"/>
          <w:lang w:eastAsia="zh-TW"/>
        </w:rPr>
        <w:t>Option 1;</w:t>
      </w:r>
      <w:r w:rsidRPr="0041458F">
        <w:rPr>
          <w:rFonts w:ascii="Arial" w:eastAsia="PMingLiU" w:hAnsi="Arial" w:cs="Arial"/>
          <w:b/>
          <w:sz w:val="20"/>
          <w:szCs w:val="20"/>
          <w:lang w:eastAsia="zh-TW"/>
        </w:rPr>
        <w:t xml:space="preserve"> Single NR cell per satellite beam and single NR beam cell</w:t>
      </w:r>
      <w:r w:rsidRPr="0041458F">
        <w:rPr>
          <w:rFonts w:ascii="Arial" w:eastAsia="PMingLiU" w:hAnsi="Arial" w:cs="Arial"/>
          <w:sz w:val="20"/>
          <w:szCs w:val="20"/>
          <w:lang w:eastAsia="zh-TW"/>
        </w:rPr>
        <w:t xml:space="preserve">:  </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Option (1) which might be considered as a baseline consist in one-to-one mapping of NR cells to Satellite beams. In option 1, the NR beamforming is not used; the cells are single NR beam cells. NR Beam management operation is not needed.</w:t>
      </w:r>
    </w:p>
    <w:p w:rsidR="00B47AEA" w:rsidRDefault="00D0698C" w:rsidP="00B47AEA">
      <w:pPr>
        <w:keepNext/>
        <w:jc w:val="center"/>
      </w:pPr>
      <w:r w:rsidRPr="0041458F">
        <w:rPr>
          <w:rFonts w:ascii="Arial" w:eastAsia="PMingLiU" w:hAnsi="Arial" w:cs="Arial"/>
          <w:noProof/>
          <w:sz w:val="20"/>
          <w:szCs w:val="20"/>
          <w:lang w:val="fr-FR" w:eastAsia="fr-FR"/>
        </w:rPr>
        <w:drawing>
          <wp:inline distT="0" distB="0" distL="0" distR="0" wp14:anchorId="002A7240" wp14:editId="776DBA44">
            <wp:extent cx="5886000" cy="2073600"/>
            <wp:effectExtent l="19050" t="19050" r="19685" b="22225"/>
            <wp:docPr id="288" name="Imag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6000" cy="2073600"/>
                    </a:xfrm>
                    <a:prstGeom prst="rect">
                      <a:avLst/>
                    </a:prstGeom>
                    <a:noFill/>
                    <a:ln>
                      <a:solidFill>
                        <a:schemeClr val="accent1"/>
                      </a:solidFill>
                    </a:ln>
                  </pic:spPr>
                </pic:pic>
              </a:graphicData>
            </a:graphic>
          </wp:inline>
        </w:drawing>
      </w:r>
    </w:p>
    <w:p w:rsidR="00D0698C" w:rsidRDefault="00B47AEA" w:rsidP="00B47AEA">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3</w:t>
      </w:r>
      <w:r w:rsidR="004063B3">
        <w:rPr>
          <w:noProof/>
        </w:rPr>
        <w:fldChar w:fldCharType="end"/>
      </w:r>
      <w:r>
        <w:t xml:space="preserve"> </w:t>
      </w:r>
      <w:r w:rsidRPr="00DA3178">
        <w:t>Single NR cell per satellite beam and single NR beam cell</w:t>
      </w: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Option (1) Single NR cell per satellite beam and single NR beam cell can be used as a baseline. With this option NR Beam management operation is not needed</w:t>
      </w: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b/>
          <w:sz w:val="20"/>
          <w:szCs w:val="20"/>
          <w:lang w:eastAsia="zh-TW"/>
        </w:rPr>
      </w:pPr>
      <w:r>
        <w:rPr>
          <w:rFonts w:ascii="Arial" w:eastAsia="PMingLiU" w:hAnsi="Arial" w:cs="Arial"/>
          <w:b/>
          <w:sz w:val="20"/>
          <w:szCs w:val="20"/>
          <w:lang w:eastAsia="zh-TW"/>
        </w:rPr>
        <w:t>Option 2;</w:t>
      </w:r>
      <w:r w:rsidRPr="0041458F">
        <w:rPr>
          <w:rFonts w:ascii="Arial" w:eastAsia="PMingLiU" w:hAnsi="Arial" w:cs="Arial"/>
          <w:b/>
          <w:sz w:val="20"/>
          <w:szCs w:val="20"/>
          <w:lang w:eastAsia="zh-TW"/>
        </w:rPr>
        <w:t xml:space="preserve"> Multi-Satellite beam NR cell and single NR beam cell: Cell splitting  </w:t>
      </w:r>
    </w:p>
    <w:p w:rsidR="00D0698C"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In Option (2), two or more satellite beams are used for the same PCI. But, NR beamforming is not used. This option can be useful to split the NR cell across several satellite beam</w:t>
      </w:r>
      <w:r>
        <w:rPr>
          <w:rFonts w:ascii="Arial" w:eastAsia="PMingLiU" w:hAnsi="Arial" w:cs="Arial"/>
          <w:sz w:val="20"/>
          <w:szCs w:val="20"/>
          <w:lang w:eastAsia="zh-TW"/>
        </w:rPr>
        <w:t>s</w:t>
      </w:r>
      <w:r w:rsidRPr="0041458F">
        <w:rPr>
          <w:rFonts w:ascii="Arial" w:eastAsia="PMingLiU" w:hAnsi="Arial" w:cs="Arial"/>
          <w:sz w:val="20"/>
          <w:szCs w:val="20"/>
          <w:lang w:eastAsia="zh-TW"/>
        </w:rPr>
        <w:t xml:space="preserve"> (to extend cell coverage). Regular beam management op</w:t>
      </w:r>
      <w:r>
        <w:rPr>
          <w:rFonts w:ascii="Arial" w:eastAsia="PMingLiU" w:hAnsi="Arial" w:cs="Arial"/>
          <w:sz w:val="20"/>
          <w:szCs w:val="20"/>
          <w:lang w:eastAsia="zh-TW"/>
        </w:rPr>
        <w:t>eration (beam Indication, beam m</w:t>
      </w:r>
      <w:r w:rsidRPr="0041458F">
        <w:rPr>
          <w:rFonts w:ascii="Arial" w:eastAsia="PMingLiU" w:hAnsi="Arial" w:cs="Arial"/>
          <w:sz w:val="20"/>
          <w:szCs w:val="20"/>
          <w:lang w:eastAsia="zh-TW"/>
        </w:rPr>
        <w:t xml:space="preserve">easurements and reporting, beam recovery, tracking and refinement)  is not used. The  beam level mobility is not needed for the UE mobility within the cell. </w:t>
      </w:r>
    </w:p>
    <w:p w:rsidR="00B47AEA" w:rsidRDefault="00D0698C" w:rsidP="00B47AEA">
      <w:pPr>
        <w:keepNext/>
        <w:jc w:val="center"/>
      </w:pPr>
      <w:r w:rsidRPr="0041458F">
        <w:rPr>
          <w:rFonts w:ascii="Arial" w:eastAsia="PMingLiU" w:hAnsi="Arial" w:cs="Arial"/>
          <w:noProof/>
          <w:sz w:val="20"/>
          <w:szCs w:val="20"/>
          <w:lang w:val="fr-FR" w:eastAsia="fr-FR"/>
        </w:rPr>
        <w:drawing>
          <wp:inline distT="0" distB="0" distL="0" distR="0" wp14:anchorId="478FCBAC" wp14:editId="72856F35">
            <wp:extent cx="5886000" cy="2163600"/>
            <wp:effectExtent l="19050" t="19050" r="19685" b="27305"/>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6000" cy="2163600"/>
                    </a:xfrm>
                    <a:prstGeom prst="rect">
                      <a:avLst/>
                    </a:prstGeom>
                    <a:noFill/>
                    <a:ln>
                      <a:solidFill>
                        <a:schemeClr val="accent1"/>
                      </a:solidFill>
                    </a:ln>
                  </pic:spPr>
                </pic:pic>
              </a:graphicData>
            </a:graphic>
          </wp:inline>
        </w:drawing>
      </w:r>
    </w:p>
    <w:p w:rsidR="00D0698C" w:rsidRDefault="00B47AEA" w:rsidP="00B47AEA">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4</w:t>
      </w:r>
      <w:r w:rsidR="004063B3">
        <w:rPr>
          <w:noProof/>
        </w:rPr>
        <w:fldChar w:fldCharType="end"/>
      </w:r>
      <w:r>
        <w:t xml:space="preserve"> </w:t>
      </w:r>
      <w:r w:rsidRPr="008C2D47">
        <w:t>Multi-Satellite beam NR cell and single NR beam cell: Cell splitting</w:t>
      </w:r>
    </w:p>
    <w:p w:rsidR="00D0698C" w:rsidRPr="0041458F" w:rsidRDefault="00D0698C" w:rsidP="00D0698C">
      <w:pPr>
        <w:pStyle w:val="Paragraphedeliste"/>
        <w:numPr>
          <w:ilvl w:val="0"/>
          <w:numId w:val="29"/>
        </w:numPr>
        <w:suppressAutoHyphens/>
        <w:overflowPunct w:val="0"/>
        <w:spacing w:after="120" w:line="276" w:lineRule="auto"/>
        <w:contextualSpacing/>
        <w:textAlignment w:val="baseline"/>
        <w:rPr>
          <w:rFonts w:ascii="Arial" w:eastAsia="PMingLiU" w:hAnsi="Arial" w:cs="Arial"/>
          <w:sz w:val="20"/>
          <w:szCs w:val="20"/>
          <w:lang w:eastAsia="zh-TW"/>
        </w:rPr>
      </w:pPr>
      <w:r>
        <w:rPr>
          <w:rFonts w:ascii="Arial" w:eastAsia="PMingLiU" w:hAnsi="Arial" w:cs="Arial"/>
          <w:b/>
          <w:sz w:val="20"/>
          <w:szCs w:val="20"/>
          <w:lang w:eastAsia="zh-TW"/>
        </w:rPr>
        <w:t>Option 3;</w:t>
      </w:r>
      <w:r w:rsidRPr="0041458F">
        <w:rPr>
          <w:rFonts w:ascii="Arial" w:eastAsia="PMingLiU" w:hAnsi="Arial" w:cs="Arial"/>
          <w:b/>
          <w:sz w:val="20"/>
          <w:szCs w:val="20"/>
          <w:lang w:eastAsia="zh-TW"/>
        </w:rPr>
        <w:t xml:space="preserve"> Multi-Satellite beam cell and multi NR beam cell</w:t>
      </w:r>
      <w:r w:rsidRPr="0041458F">
        <w:rPr>
          <w:rFonts w:ascii="Arial" w:eastAsia="PMingLiU" w:hAnsi="Arial" w:cs="Arial"/>
          <w:sz w:val="20"/>
          <w:szCs w:val="20"/>
          <w:lang w:eastAsia="zh-TW"/>
        </w:rPr>
        <w:t xml:space="preserve">:  </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Option (3) corresponds to a multi-NR beam cell: multiple NR beams per NR cell (typically 4 NR beams/cell in Frequency Range 1). With this option, the same cell (PCI) is mapped to two or more satellite beams. Each NR beam is transmitted using a satellite beam or multiple satellite beams. Option (3) is to be used with beam management operation. </w:t>
      </w:r>
    </w:p>
    <w:p w:rsidR="00D0698C" w:rsidRPr="0041458F" w:rsidRDefault="00D0698C" w:rsidP="00D0698C">
      <w:pPr>
        <w:pStyle w:val="Paragraphedeliste"/>
        <w:ind w:left="0"/>
        <w:rPr>
          <w:rFonts w:ascii="Arial" w:eastAsia="PMingLiU" w:hAnsi="Arial" w:cs="Arial"/>
          <w:sz w:val="20"/>
          <w:szCs w:val="20"/>
          <w:lang w:eastAsia="zh-TW"/>
        </w:rPr>
      </w:pPr>
    </w:p>
    <w:p w:rsidR="00883208" w:rsidRDefault="00D0698C" w:rsidP="00883208">
      <w:pPr>
        <w:pStyle w:val="Paragraphedeliste"/>
        <w:keepNext/>
        <w:ind w:left="0"/>
        <w:jc w:val="center"/>
      </w:pPr>
      <w:r w:rsidRPr="0041458F">
        <w:rPr>
          <w:rFonts w:ascii="Arial" w:eastAsia="PMingLiU" w:hAnsi="Arial" w:cs="Arial"/>
          <w:noProof/>
          <w:sz w:val="20"/>
          <w:szCs w:val="20"/>
          <w:lang w:val="fr-FR" w:eastAsia="fr-FR"/>
        </w:rPr>
        <w:lastRenderedPageBreak/>
        <w:drawing>
          <wp:inline distT="0" distB="0" distL="0" distR="0" wp14:anchorId="04082969" wp14:editId="48295D03">
            <wp:extent cx="5886000" cy="2163600"/>
            <wp:effectExtent l="19050" t="19050" r="19685" b="27305"/>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000" cy="2163600"/>
                    </a:xfrm>
                    <a:prstGeom prst="rect">
                      <a:avLst/>
                    </a:prstGeom>
                    <a:noFill/>
                    <a:ln>
                      <a:solidFill>
                        <a:schemeClr val="accent1"/>
                      </a:solidFill>
                    </a:ln>
                  </pic:spPr>
                </pic:pic>
              </a:graphicData>
            </a:graphic>
          </wp:inline>
        </w:drawing>
      </w:r>
    </w:p>
    <w:p w:rsidR="00D0698C" w:rsidRDefault="00883208" w:rsidP="00883208">
      <w:pPr>
        <w:pStyle w:val="Lgende"/>
      </w:pPr>
      <w:r>
        <w:t xml:space="preserve">Figure </w:t>
      </w:r>
      <w:r w:rsidR="004063B3">
        <w:fldChar w:fldCharType="begin"/>
      </w:r>
      <w:r w:rsidR="004063B3">
        <w:instrText xml:space="preserve"> SEQ Figure \* ARABIC </w:instrText>
      </w:r>
      <w:r w:rsidR="004063B3">
        <w:fldChar w:fldCharType="separate"/>
      </w:r>
      <w:r w:rsidR="00212F20">
        <w:rPr>
          <w:noProof/>
        </w:rPr>
        <w:t>5</w:t>
      </w:r>
      <w:r w:rsidR="004063B3">
        <w:rPr>
          <w:noProof/>
        </w:rPr>
        <w:fldChar w:fldCharType="end"/>
      </w:r>
      <w:r>
        <w:t xml:space="preserve"> </w:t>
      </w:r>
      <w:r w:rsidRPr="00E538DA">
        <w:t>Multi-Satellite beam cell and multi NR beam cell</w:t>
      </w:r>
    </w:p>
    <w:p w:rsidR="00D0698C" w:rsidRDefault="00D0698C" w:rsidP="00D0698C">
      <w:pPr>
        <w:pStyle w:val="Paragraphedeliste"/>
        <w:ind w:left="0"/>
        <w:rPr>
          <w:rFonts w:ascii="Arial" w:eastAsia="PMingLiU" w:hAnsi="Arial" w:cs="Arial"/>
          <w:sz w:val="20"/>
          <w:szCs w:val="20"/>
          <w:lang w:eastAsia="zh-TW"/>
        </w:rPr>
      </w:pPr>
    </w:p>
    <w:p w:rsidR="00C67EA3" w:rsidRDefault="00C67EA3" w:rsidP="00D0698C">
      <w:pPr>
        <w:pStyle w:val="Paragraphedeliste"/>
        <w:ind w:left="0"/>
        <w:rPr>
          <w:rFonts w:ascii="Arial" w:eastAsia="PMingLiU" w:hAnsi="Arial" w:cs="Arial"/>
          <w:sz w:val="20"/>
          <w:szCs w:val="20"/>
          <w:lang w:eastAsia="zh-TW"/>
        </w:rPr>
      </w:pP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The minimum size of NR beam is the satellite beam size</w:t>
      </w:r>
    </w:p>
    <w:p w:rsidR="00D0698C" w:rsidRPr="0041458F" w:rsidRDefault="00D0698C" w:rsidP="00D0698C">
      <w:pPr>
        <w:pStyle w:val="Titre2"/>
        <w:keepLines/>
        <w:tabs>
          <w:tab w:val="clear" w:pos="576"/>
        </w:tabs>
        <w:autoSpaceDE/>
        <w:autoSpaceDN/>
        <w:adjustRightInd/>
        <w:snapToGrid/>
        <w:spacing w:before="200" w:after="240" w:line="276" w:lineRule="auto"/>
        <w:jc w:val="left"/>
        <w:rPr>
          <w:lang w:val="de-DE"/>
        </w:rPr>
      </w:pPr>
      <w:r w:rsidRPr="0041458F">
        <w:rPr>
          <w:lang w:val="de-DE"/>
        </w:rPr>
        <w:t>NR Beam Management in NTN</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The Release-15/16 beam management is to be considered as baseline for 5G NTN.</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The beam management will be used with the option (3) described above</w:t>
      </w:r>
      <w:r w:rsidR="0099483F">
        <w:rPr>
          <w:rFonts w:ascii="Arial" w:eastAsia="PMingLiU" w:hAnsi="Arial" w:cs="Arial"/>
          <w:sz w:val="20"/>
          <w:szCs w:val="20"/>
          <w:lang w:eastAsia="zh-TW"/>
        </w:rPr>
        <w:t>. B</w:t>
      </w:r>
      <w:r w:rsidRPr="0041458F">
        <w:rPr>
          <w:rFonts w:ascii="Arial" w:eastAsia="PMingLiU" w:hAnsi="Arial" w:cs="Arial"/>
          <w:sz w:val="20"/>
          <w:szCs w:val="20"/>
          <w:lang w:eastAsia="zh-TW"/>
        </w:rPr>
        <w:t>eam level mobility is to be used to control the UE connected mode mobility instead of Handover procedure</w:t>
      </w:r>
      <w:r w:rsidR="0099483F">
        <w:rPr>
          <w:rFonts w:ascii="Arial" w:eastAsia="PMingLiU" w:hAnsi="Arial" w:cs="Arial"/>
          <w:sz w:val="20"/>
          <w:szCs w:val="20"/>
          <w:lang w:eastAsia="zh-TW"/>
        </w:rPr>
        <w:t>.</w:t>
      </w:r>
      <w:r w:rsidRPr="0041458F">
        <w:rPr>
          <w:rFonts w:ascii="Arial" w:eastAsia="PMingLiU" w:hAnsi="Arial" w:cs="Arial"/>
          <w:sz w:val="20"/>
          <w:szCs w:val="20"/>
          <w:lang w:eastAsia="zh-TW"/>
        </w:rPr>
        <w:t xml:space="preserve"> </w:t>
      </w:r>
      <w:r w:rsidR="0099483F">
        <w:rPr>
          <w:rFonts w:ascii="Arial" w:eastAsia="PMingLiU" w:hAnsi="Arial" w:cs="Arial"/>
          <w:sz w:val="20"/>
          <w:szCs w:val="20"/>
          <w:lang w:eastAsia="zh-TW"/>
        </w:rPr>
        <w:t xml:space="preserve">This is </w:t>
      </w:r>
      <w:r w:rsidRPr="0041458F">
        <w:rPr>
          <w:rFonts w:ascii="Arial" w:eastAsia="PMingLiU" w:hAnsi="Arial" w:cs="Arial"/>
          <w:sz w:val="20"/>
          <w:szCs w:val="20"/>
          <w:lang w:eastAsia="zh-TW"/>
        </w:rPr>
        <w:t xml:space="preserve">mainly beneficial in case of Earth moving cell as shown in </w:t>
      </w:r>
      <w:r>
        <w:rPr>
          <w:rFonts w:ascii="Arial" w:hAnsi="Arial" w:cs="Arial"/>
          <w:sz w:val="20"/>
          <w:szCs w:val="20"/>
        </w:rPr>
        <w:fldChar w:fldCharType="begin"/>
      </w:r>
      <w:r>
        <w:rPr>
          <w:rFonts w:ascii="Arial" w:eastAsia="PMingLiU" w:hAnsi="Arial" w:cs="Arial"/>
          <w:sz w:val="20"/>
          <w:szCs w:val="20"/>
          <w:lang w:eastAsia="zh-TW"/>
        </w:rPr>
        <w:instrText xml:space="preserve"> REF _Ref47535391 \h </w:instrText>
      </w:r>
      <w:r>
        <w:rPr>
          <w:rFonts w:ascii="Arial" w:hAnsi="Arial" w:cs="Arial"/>
          <w:sz w:val="20"/>
          <w:szCs w:val="20"/>
        </w:rPr>
      </w:r>
      <w:r>
        <w:rPr>
          <w:rFonts w:ascii="Arial" w:hAnsi="Arial" w:cs="Arial"/>
          <w:sz w:val="20"/>
          <w:szCs w:val="20"/>
        </w:rPr>
        <w:fldChar w:fldCharType="separate"/>
      </w:r>
      <w:r w:rsidRPr="0041458F">
        <w:rPr>
          <w:rFonts w:ascii="Arial" w:hAnsi="Arial" w:cs="Arial"/>
          <w:sz w:val="20"/>
          <w:szCs w:val="20"/>
        </w:rPr>
        <w:t xml:space="preserve">Figure </w:t>
      </w:r>
      <w:r>
        <w:rPr>
          <w:rFonts w:ascii="Arial" w:hAnsi="Arial" w:cs="Arial"/>
          <w:noProof/>
          <w:sz w:val="20"/>
          <w:szCs w:val="20"/>
        </w:rPr>
        <w:t>19</w:t>
      </w:r>
      <w:r w:rsidRPr="0041458F">
        <w:rPr>
          <w:rFonts w:ascii="Arial" w:hAnsi="Arial" w:cs="Arial"/>
          <w:sz w:val="20"/>
          <w:szCs w:val="20"/>
        </w:rPr>
        <w:t xml:space="preserve"> </w:t>
      </w:r>
      <w:r>
        <w:rPr>
          <w:rFonts w:ascii="Arial" w:hAnsi="Arial" w:cs="Arial"/>
          <w:sz w:val="20"/>
          <w:szCs w:val="20"/>
        </w:rPr>
        <w:fldChar w:fldCharType="end"/>
      </w:r>
      <w:r w:rsidRPr="0041458F">
        <w:rPr>
          <w:rFonts w:ascii="Arial" w:eastAsia="PMingLiU" w:hAnsi="Arial" w:cs="Arial"/>
          <w:sz w:val="20"/>
          <w:szCs w:val="20"/>
          <w:lang w:eastAsia="zh-TW"/>
        </w:rPr>
        <w:t>. As beam level mobility does not require explicit RRC signalling to be triggered - it is dealt with at lower layers and RRC is not required to know  which beam is being used at a given point in time. Thus, the UE moves inside the cell, handled by beam management without extra RRC signalling overhead.</w:t>
      </w:r>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Beam management can be beneficial in case of multi-beam moving cell</w:t>
      </w:r>
    </w:p>
    <w:p w:rsidR="00883208" w:rsidRDefault="00D0698C" w:rsidP="00883208">
      <w:pPr>
        <w:keepNext/>
        <w:jc w:val="center"/>
      </w:pPr>
      <w:r w:rsidRPr="0041458F">
        <w:rPr>
          <w:rFonts w:ascii="Arial" w:hAnsi="Arial" w:cs="Arial"/>
          <w:noProof/>
          <w:sz w:val="20"/>
          <w:szCs w:val="20"/>
          <w:lang w:val="fr-FR" w:eastAsia="fr-FR"/>
        </w:rPr>
        <w:drawing>
          <wp:inline distT="0" distB="0" distL="0" distR="0" wp14:anchorId="44A5DF47" wp14:editId="2A7388BA">
            <wp:extent cx="3895200" cy="2955600"/>
            <wp:effectExtent l="0" t="0" r="0" b="0"/>
            <wp:docPr id="7179" name="Image 7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895200" cy="2955600"/>
                    </a:xfrm>
                    <a:prstGeom prst="rect">
                      <a:avLst/>
                    </a:prstGeom>
                  </pic:spPr>
                </pic:pic>
              </a:graphicData>
            </a:graphic>
          </wp:inline>
        </w:drawing>
      </w:r>
    </w:p>
    <w:p w:rsidR="00D0698C" w:rsidRPr="0041458F" w:rsidRDefault="00883208" w:rsidP="00883208">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6</w:t>
      </w:r>
      <w:r w:rsidR="004063B3">
        <w:rPr>
          <w:noProof/>
        </w:rPr>
        <w:fldChar w:fldCharType="end"/>
      </w:r>
      <w:r>
        <w:t xml:space="preserve"> </w:t>
      </w:r>
      <w:r w:rsidRPr="00646CD3">
        <w:t>Multi-beam cell: 4 Beams per cell</w:t>
      </w:r>
    </w:p>
    <w:p w:rsidR="00883208" w:rsidRDefault="00883208"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 xml:space="preserve">However, in NTN, when we use several beams per cell (option 3 described </w:t>
      </w:r>
      <w:r w:rsidR="00B037C2">
        <w:rPr>
          <w:rFonts w:ascii="Arial" w:eastAsia="PMingLiU" w:hAnsi="Arial" w:cs="Arial"/>
          <w:sz w:val="20"/>
          <w:szCs w:val="20"/>
          <w:lang w:eastAsia="zh-TW"/>
        </w:rPr>
        <w:t>above</w:t>
      </w:r>
      <w:r w:rsidRPr="0041458F">
        <w:rPr>
          <w:rFonts w:ascii="Arial" w:eastAsia="PMingLiU" w:hAnsi="Arial" w:cs="Arial"/>
          <w:sz w:val="20"/>
          <w:szCs w:val="20"/>
          <w:lang w:eastAsia="zh-TW"/>
        </w:rPr>
        <w:t>),</w:t>
      </w:r>
      <w:r>
        <w:rPr>
          <w:rFonts w:ascii="Arial" w:eastAsia="PMingLiU" w:hAnsi="Arial" w:cs="Arial"/>
          <w:sz w:val="20"/>
          <w:szCs w:val="20"/>
          <w:lang w:eastAsia="zh-TW"/>
        </w:rPr>
        <w:t xml:space="preserve"> </w:t>
      </w:r>
      <w:r w:rsidRPr="0041458F">
        <w:rPr>
          <w:rFonts w:ascii="Arial" w:eastAsia="PMingLiU" w:hAnsi="Arial" w:cs="Arial"/>
          <w:sz w:val="20"/>
          <w:szCs w:val="20"/>
          <w:lang w:eastAsia="zh-TW"/>
        </w:rPr>
        <w:t xml:space="preserve">we increase ipso facto the cell size. Therefore, cell air-interface capacity limit should be taken into account. We believe that deploying multi-beam cell and using beam management will not be applicable to all NTN deployment scenarios. </w:t>
      </w:r>
    </w:p>
    <w:p w:rsidR="00D0698C" w:rsidRPr="0041458F" w:rsidRDefault="00D0698C" w:rsidP="00D0698C">
      <w:pPr>
        <w:pStyle w:val="Paragraphedeliste"/>
        <w:ind w:left="0"/>
        <w:rPr>
          <w:rFonts w:ascii="Arial" w:eastAsia="PMingLiU" w:hAnsi="Arial" w:cs="Arial"/>
          <w:sz w:val="20"/>
          <w:szCs w:val="20"/>
          <w:lang w:eastAsia="zh-TW"/>
        </w:rPr>
      </w:pPr>
    </w:p>
    <w:p w:rsidR="00D0698C" w:rsidRPr="0041458F"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lastRenderedPageBreak/>
        <w:t xml:space="preserve">For example, let’s consider a LEO scenario at 600Km, for which a typical beam is circular at nadir with a beam size of 60Km and becomes an ellipse with a size of 60Km by 175km at the edge of the coverage; The beam size depends on the satellite antenna size, the satellite altitude and it stretch as a function of elevation angle. </w:t>
      </w:r>
    </w:p>
    <w:p w:rsidR="00D0698C" w:rsidRPr="0041458F" w:rsidRDefault="00DA64CD" w:rsidP="00D0698C">
      <w:pPr>
        <w:pStyle w:val="Paragraphedeliste"/>
        <w:ind w:left="0"/>
        <w:rPr>
          <w:rFonts w:ascii="Arial" w:eastAsia="PMingLiU" w:hAnsi="Arial" w:cs="Arial"/>
          <w:sz w:val="20"/>
          <w:szCs w:val="20"/>
          <w:lang w:eastAsia="zh-TW"/>
        </w:rPr>
      </w:pPr>
      <w:r>
        <w:rPr>
          <w:rFonts w:ascii="Arial" w:eastAsia="PMingLiU" w:hAnsi="Arial" w:cs="Arial"/>
          <w:sz w:val="20"/>
          <w:szCs w:val="20"/>
          <w:lang w:eastAsia="zh-TW"/>
        </w:rPr>
        <w:t>T</w:t>
      </w:r>
      <w:r w:rsidRPr="0041458F">
        <w:rPr>
          <w:rFonts w:ascii="Arial" w:eastAsia="PMingLiU" w:hAnsi="Arial" w:cs="Arial"/>
          <w:sz w:val="20"/>
          <w:szCs w:val="20"/>
          <w:lang w:eastAsia="zh-TW"/>
        </w:rPr>
        <w:t xml:space="preserve">he </w:t>
      </w:r>
      <w:r w:rsidR="00D0698C" w:rsidRPr="0041458F">
        <w:rPr>
          <w:rFonts w:ascii="Arial" w:eastAsia="PMingLiU" w:hAnsi="Arial" w:cs="Arial"/>
          <w:sz w:val="20"/>
          <w:szCs w:val="20"/>
          <w:lang w:eastAsia="zh-TW"/>
        </w:rPr>
        <w:t xml:space="preserve">traffic model given in Table B.2-1 [6] </w:t>
      </w:r>
      <w:r>
        <w:rPr>
          <w:rFonts w:ascii="Arial" w:eastAsia="PMingLiU" w:hAnsi="Arial" w:cs="Arial"/>
          <w:sz w:val="20"/>
          <w:szCs w:val="20"/>
          <w:lang w:eastAsia="zh-TW"/>
        </w:rPr>
        <w:t xml:space="preserve">has been considered assuming </w:t>
      </w:r>
      <w:r w:rsidR="00D0698C" w:rsidRPr="0041458F">
        <w:rPr>
          <w:rFonts w:ascii="Arial" w:eastAsia="PMingLiU" w:hAnsi="Arial" w:cs="Arial"/>
          <w:sz w:val="20"/>
          <w:szCs w:val="20"/>
          <w:lang w:eastAsia="zh-TW"/>
        </w:rPr>
        <w:t>only pedestrian usage scenario: Overall UE density</w:t>
      </w:r>
      <w:r w:rsidRPr="0041458F">
        <w:rPr>
          <w:rFonts w:ascii="Arial" w:eastAsia="PMingLiU" w:hAnsi="Arial" w:cs="Arial"/>
          <w:sz w:val="20"/>
          <w:szCs w:val="20"/>
          <w:lang w:eastAsia="zh-TW"/>
        </w:rPr>
        <w:t>:</w:t>
      </w:r>
      <w:r>
        <w:rPr>
          <w:rFonts w:ascii="Arial" w:eastAsia="PMingLiU" w:hAnsi="Arial" w:cs="Arial"/>
          <w:sz w:val="20"/>
          <w:szCs w:val="20"/>
          <w:lang w:eastAsia="zh-TW"/>
        </w:rPr>
        <w:t xml:space="preserve"> is fixed at </w:t>
      </w:r>
      <w:r w:rsidR="00D0698C" w:rsidRPr="0041458F">
        <w:rPr>
          <w:rFonts w:ascii="Arial" w:eastAsia="PMingLiU" w:hAnsi="Arial" w:cs="Arial"/>
          <w:sz w:val="20"/>
          <w:szCs w:val="20"/>
          <w:lang w:eastAsia="zh-TW"/>
        </w:rPr>
        <w:t xml:space="preserve">100 UE per km2 and </w:t>
      </w:r>
      <w:r>
        <w:rPr>
          <w:rFonts w:ascii="Arial" w:eastAsia="PMingLiU" w:hAnsi="Arial" w:cs="Arial"/>
          <w:sz w:val="20"/>
          <w:szCs w:val="20"/>
          <w:lang w:eastAsia="zh-TW"/>
        </w:rPr>
        <w:t xml:space="preserve">the </w:t>
      </w:r>
      <w:r w:rsidR="00D0698C" w:rsidRPr="0041458F">
        <w:rPr>
          <w:rFonts w:ascii="Arial" w:eastAsia="PMingLiU" w:hAnsi="Arial" w:cs="Arial"/>
          <w:sz w:val="20"/>
          <w:szCs w:val="20"/>
          <w:lang w:eastAsia="zh-TW"/>
        </w:rPr>
        <w:t>percentage value of the amount of simultaneous active users</w:t>
      </w:r>
      <w:r>
        <w:rPr>
          <w:rFonts w:ascii="Arial" w:eastAsia="PMingLiU" w:hAnsi="Arial" w:cs="Arial"/>
          <w:sz w:val="20"/>
          <w:szCs w:val="20"/>
          <w:lang w:eastAsia="zh-TW"/>
        </w:rPr>
        <w:t xml:space="preserve"> at</w:t>
      </w:r>
      <w:r w:rsidRPr="0041458F">
        <w:rPr>
          <w:rFonts w:ascii="Arial" w:eastAsia="PMingLiU" w:hAnsi="Arial" w:cs="Arial"/>
          <w:sz w:val="20"/>
          <w:szCs w:val="20"/>
          <w:lang w:eastAsia="zh-TW"/>
        </w:rPr>
        <w:t xml:space="preserve"> </w:t>
      </w:r>
      <w:r w:rsidR="00D0698C" w:rsidRPr="0041458F">
        <w:rPr>
          <w:rFonts w:ascii="Arial" w:eastAsia="PMingLiU" w:hAnsi="Arial" w:cs="Arial"/>
          <w:sz w:val="20"/>
          <w:szCs w:val="20"/>
          <w:lang w:eastAsia="zh-TW"/>
        </w:rPr>
        <w:t>1.5 %</w:t>
      </w:r>
      <w:r>
        <w:rPr>
          <w:rFonts w:ascii="Arial" w:eastAsia="PMingLiU" w:hAnsi="Arial" w:cs="Arial"/>
          <w:sz w:val="20"/>
          <w:szCs w:val="20"/>
          <w:lang w:eastAsia="zh-TW"/>
        </w:rPr>
        <w:t>.</w:t>
      </w:r>
    </w:p>
    <w:p w:rsidR="00D0698C" w:rsidRPr="0041458F" w:rsidRDefault="00D0698C" w:rsidP="00D0698C">
      <w:pPr>
        <w:pStyle w:val="Paragraphedeliste"/>
        <w:ind w:left="0"/>
        <w:rPr>
          <w:rFonts w:ascii="Arial" w:eastAsia="PMingLiU" w:hAnsi="Arial" w:cs="Arial"/>
          <w:sz w:val="20"/>
          <w:szCs w:val="20"/>
          <w:lang w:eastAsia="zh-TW"/>
        </w:rPr>
      </w:pPr>
    </w:p>
    <w:p w:rsidR="00D0698C" w:rsidRDefault="00D0698C" w:rsidP="00D0698C">
      <w:pPr>
        <w:pStyle w:val="Paragraphedeliste"/>
        <w:ind w:left="0"/>
        <w:rPr>
          <w:rFonts w:ascii="Arial" w:eastAsia="PMingLiU" w:hAnsi="Arial" w:cs="Arial"/>
          <w:sz w:val="20"/>
          <w:szCs w:val="20"/>
          <w:lang w:eastAsia="zh-TW"/>
        </w:rPr>
      </w:pPr>
      <w:r w:rsidRPr="0041458F">
        <w:rPr>
          <w:rFonts w:ascii="Arial" w:eastAsia="PMingLiU" w:hAnsi="Arial" w:cs="Arial"/>
          <w:sz w:val="20"/>
          <w:szCs w:val="20"/>
          <w:lang w:eastAsia="zh-TW"/>
        </w:rPr>
        <w:t>When we compute the number of connected users per cell</w:t>
      </w:r>
      <w:r w:rsidR="00DA64CD">
        <w:rPr>
          <w:rFonts w:ascii="Arial" w:eastAsia="PMingLiU" w:hAnsi="Arial" w:cs="Arial"/>
          <w:sz w:val="20"/>
          <w:szCs w:val="20"/>
          <w:lang w:eastAsia="zh-TW"/>
        </w:rPr>
        <w:t>, w</w:t>
      </w:r>
      <w:r w:rsidR="00DA64CD" w:rsidRPr="0041458F">
        <w:rPr>
          <w:rFonts w:ascii="Arial" w:eastAsia="PMingLiU" w:hAnsi="Arial" w:cs="Arial"/>
          <w:sz w:val="20"/>
          <w:szCs w:val="20"/>
          <w:lang w:eastAsia="zh-TW"/>
        </w:rPr>
        <w:t xml:space="preserve">e </w:t>
      </w:r>
      <w:r w:rsidRPr="0041458F">
        <w:rPr>
          <w:rFonts w:ascii="Arial" w:eastAsia="PMingLiU" w:hAnsi="Arial" w:cs="Arial"/>
          <w:sz w:val="20"/>
          <w:szCs w:val="20"/>
          <w:lang w:eastAsia="zh-TW"/>
        </w:rPr>
        <w:t>can see that a high num</w:t>
      </w:r>
      <w:r>
        <w:rPr>
          <w:rFonts w:ascii="Arial" w:eastAsia="PMingLiU" w:hAnsi="Arial" w:cs="Arial"/>
          <w:sz w:val="20"/>
          <w:szCs w:val="20"/>
          <w:lang w:eastAsia="zh-TW"/>
        </w:rPr>
        <w:t xml:space="preserve">ber of users need to be served </w:t>
      </w:r>
      <w:r w:rsidRPr="0041458F">
        <w:rPr>
          <w:rFonts w:ascii="Arial" w:eastAsia="PMingLiU" w:hAnsi="Arial" w:cs="Arial"/>
          <w:sz w:val="20"/>
          <w:szCs w:val="20"/>
          <w:lang w:eastAsia="zh-TW"/>
        </w:rPr>
        <w:t xml:space="preserve">simultaneously in case of a multi-beam cell. Which might not be possible because of limited cell capacity, particularly in </w:t>
      </w:r>
      <w:r w:rsidR="00DA64CD">
        <w:rPr>
          <w:rFonts w:ascii="Arial" w:eastAsia="PMingLiU" w:hAnsi="Arial" w:cs="Arial"/>
          <w:sz w:val="20"/>
          <w:szCs w:val="20"/>
          <w:lang w:eastAsia="zh-TW"/>
        </w:rPr>
        <w:t>FR1</w:t>
      </w:r>
      <w:r w:rsidRPr="0041458F">
        <w:rPr>
          <w:rFonts w:ascii="Arial" w:eastAsia="PMingLiU" w:hAnsi="Arial" w:cs="Arial"/>
          <w:sz w:val="20"/>
          <w:szCs w:val="20"/>
          <w:lang w:eastAsia="zh-TW"/>
        </w:rPr>
        <w:t>.</w:t>
      </w:r>
    </w:p>
    <w:p w:rsidR="003560D7" w:rsidRPr="00F368A3" w:rsidRDefault="003560D7" w:rsidP="00D0698C">
      <w:pPr>
        <w:pStyle w:val="Paragraphedeliste"/>
        <w:ind w:left="0"/>
        <w:rPr>
          <w:rFonts w:ascii="Arial" w:eastAsia="PMingLiU" w:hAnsi="Arial" w:cs="Arial"/>
          <w:sz w:val="20"/>
          <w:szCs w:val="20"/>
          <w:lang w:eastAsia="zh-TW"/>
        </w:rPr>
      </w:pPr>
    </w:p>
    <w:p w:rsidR="00D0698C" w:rsidRPr="0041458F" w:rsidRDefault="00D0698C" w:rsidP="00D0698C">
      <w:pPr>
        <w:pStyle w:val="Lgende"/>
        <w:keepNext/>
        <w:rPr>
          <w:rFonts w:ascii="Arial" w:hAnsi="Arial" w:cs="Arial"/>
        </w:rPr>
      </w:pPr>
    </w:p>
    <w:p w:rsidR="00212F20" w:rsidRDefault="00212F20" w:rsidP="00212F20">
      <w:pPr>
        <w:pStyle w:val="Lgende"/>
        <w:keepNext/>
      </w:pPr>
      <w:r>
        <w:t xml:space="preserve">Table </w:t>
      </w:r>
      <w:r w:rsidR="004063B3">
        <w:fldChar w:fldCharType="begin"/>
      </w:r>
      <w:r w:rsidR="004063B3">
        <w:instrText xml:space="preserve"> SEQ Table \* ARABIC </w:instrText>
      </w:r>
      <w:r w:rsidR="004063B3">
        <w:fldChar w:fldCharType="separate"/>
      </w:r>
      <w:r>
        <w:rPr>
          <w:noProof/>
        </w:rPr>
        <w:t>2</w:t>
      </w:r>
      <w:r w:rsidR="004063B3">
        <w:rPr>
          <w:noProof/>
        </w:rPr>
        <w:fldChar w:fldCharType="end"/>
      </w:r>
      <w:r>
        <w:t xml:space="preserve"> </w:t>
      </w:r>
      <w:r w:rsidRPr="00797B19">
        <w:t>Multi satellite beam cell : 4 beams per cell</w:t>
      </w:r>
    </w:p>
    <w:tbl>
      <w:tblPr>
        <w:tblStyle w:val="Listeclaire-Accent5"/>
        <w:tblW w:w="5000" w:type="pct"/>
        <w:tblLook w:val="04A0" w:firstRow="1" w:lastRow="0" w:firstColumn="1" w:lastColumn="0" w:noHBand="0" w:noVBand="1"/>
      </w:tblPr>
      <w:tblGrid>
        <w:gridCol w:w="4295"/>
        <w:gridCol w:w="1280"/>
        <w:gridCol w:w="1856"/>
        <w:gridCol w:w="1856"/>
      </w:tblGrid>
      <w:tr w:rsidR="00D0698C" w:rsidRPr="0041458F" w:rsidTr="00212F20">
        <w:trPr>
          <w:cnfStyle w:val="100000000000" w:firstRow="1" w:lastRow="0" w:firstColumn="0" w:lastColumn="0" w:oddVBand="0" w:evenVBand="0" w:oddHBand="0"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312" w:type="pct"/>
            <w:vMerge w:val="restart"/>
            <w:hideMark/>
          </w:tcPr>
          <w:p w:rsidR="00D0698C" w:rsidRPr="0041458F" w:rsidRDefault="00D0698C" w:rsidP="0017008D">
            <w:pPr>
              <w:jc w:val="center"/>
              <w:rPr>
                <w:rFonts w:ascii="Arial" w:hAnsi="Arial" w:cs="Arial"/>
                <w:sz w:val="20"/>
                <w:szCs w:val="20"/>
                <w:lang w:val="fr-FR" w:eastAsia="fr-FR"/>
              </w:rPr>
            </w:pPr>
            <w:proofErr w:type="spellStart"/>
            <w:r w:rsidRPr="0041458F">
              <w:rPr>
                <w:rFonts w:ascii="Arial" w:hAnsi="Arial" w:cs="Arial"/>
                <w:sz w:val="20"/>
                <w:szCs w:val="20"/>
                <w:lang w:val="fr-FR" w:eastAsia="fr-FR"/>
              </w:rPr>
              <w:t>Beam</w:t>
            </w:r>
            <w:proofErr w:type="spellEnd"/>
            <w:r w:rsidRPr="0041458F">
              <w:rPr>
                <w:rFonts w:ascii="Arial" w:hAnsi="Arial" w:cs="Arial"/>
                <w:sz w:val="20"/>
                <w:szCs w:val="20"/>
                <w:lang w:val="fr-FR" w:eastAsia="fr-FR"/>
              </w:rPr>
              <w:t xml:space="preserve"> range (km)</w:t>
            </w:r>
          </w:p>
        </w:tc>
        <w:tc>
          <w:tcPr>
            <w:tcW w:w="68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fr-FR" w:eastAsia="fr-FR"/>
              </w:rPr>
            </w:pPr>
            <w:proofErr w:type="spellStart"/>
            <w:r w:rsidRPr="0041458F">
              <w:rPr>
                <w:rFonts w:ascii="Arial" w:hAnsi="Arial" w:cs="Arial"/>
                <w:sz w:val="20"/>
                <w:szCs w:val="20"/>
                <w:lang w:val="fr-FR" w:eastAsia="fr-FR"/>
              </w:rPr>
              <w:t>beam</w:t>
            </w:r>
            <w:proofErr w:type="spellEnd"/>
            <w:r w:rsidRPr="0041458F">
              <w:rPr>
                <w:rFonts w:ascii="Arial" w:hAnsi="Arial" w:cs="Arial"/>
                <w:sz w:val="20"/>
                <w:szCs w:val="20"/>
                <w:lang w:val="fr-FR" w:eastAsia="fr-FR"/>
              </w:rPr>
              <w:t xml:space="preserve"> area (Km^2)</w:t>
            </w:r>
          </w:p>
        </w:tc>
        <w:tc>
          <w:tcPr>
            <w:tcW w:w="99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fr-FR" w:eastAsia="fr-FR"/>
              </w:rPr>
            </w:pPr>
            <w:r w:rsidRPr="0041458F">
              <w:rPr>
                <w:rFonts w:ascii="Arial" w:hAnsi="Arial" w:cs="Arial"/>
                <w:sz w:val="20"/>
                <w:szCs w:val="20"/>
                <w:lang w:val="fr-FR" w:eastAsia="fr-FR"/>
              </w:rPr>
              <w:t>#</w:t>
            </w:r>
            <w:proofErr w:type="spellStart"/>
            <w:r w:rsidRPr="0041458F">
              <w:rPr>
                <w:rFonts w:ascii="Arial" w:hAnsi="Arial" w:cs="Arial"/>
                <w:sz w:val="20"/>
                <w:szCs w:val="20"/>
                <w:lang w:val="fr-FR" w:eastAsia="fr-FR"/>
              </w:rPr>
              <w:t>Connected</w:t>
            </w:r>
            <w:proofErr w:type="spellEnd"/>
            <w:r w:rsidRPr="0041458F">
              <w:rPr>
                <w:rFonts w:ascii="Arial" w:hAnsi="Arial" w:cs="Arial"/>
                <w:sz w:val="20"/>
                <w:szCs w:val="20"/>
                <w:lang w:val="fr-FR" w:eastAsia="fr-FR"/>
              </w:rPr>
              <w:t xml:space="preserve"> UE/</w:t>
            </w:r>
            <w:proofErr w:type="spellStart"/>
            <w:r w:rsidRPr="0041458F">
              <w:rPr>
                <w:rFonts w:ascii="Arial" w:hAnsi="Arial" w:cs="Arial"/>
                <w:sz w:val="20"/>
                <w:szCs w:val="20"/>
                <w:lang w:val="fr-FR" w:eastAsia="fr-FR"/>
              </w:rPr>
              <w:t>beam</w:t>
            </w:r>
            <w:proofErr w:type="spellEnd"/>
          </w:p>
        </w:tc>
        <w:tc>
          <w:tcPr>
            <w:tcW w:w="999" w:type="pct"/>
            <w:vMerge w:val="restart"/>
            <w:hideMark/>
          </w:tcPr>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fr-FR"/>
              </w:rPr>
            </w:pPr>
            <w:r w:rsidRPr="0041458F">
              <w:rPr>
                <w:rFonts w:ascii="Arial" w:hAnsi="Arial" w:cs="Arial"/>
                <w:sz w:val="20"/>
                <w:szCs w:val="20"/>
                <w:lang w:eastAsia="fr-FR"/>
              </w:rPr>
              <w:t>#Connected UE/cell</w:t>
            </w:r>
          </w:p>
          <w:p w:rsidR="00D0698C" w:rsidRPr="0041458F" w:rsidRDefault="00D0698C" w:rsidP="0017008D">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eastAsia="fr-FR"/>
              </w:rPr>
            </w:pPr>
            <w:r w:rsidRPr="0041458F">
              <w:rPr>
                <w:rFonts w:ascii="Arial" w:hAnsi="Arial" w:cs="Arial"/>
                <w:sz w:val="20"/>
                <w:szCs w:val="20"/>
                <w:lang w:eastAsia="fr-FR"/>
              </w:rPr>
              <w:t>(4 beams per cell)</w:t>
            </w:r>
          </w:p>
        </w:tc>
      </w:tr>
      <w:tr w:rsidR="00D0698C" w:rsidRPr="0041458F" w:rsidTr="00212F20">
        <w:trPr>
          <w:cnfStyle w:val="000000100000" w:firstRow="0" w:lastRow="0" w:firstColumn="0" w:lastColumn="0" w:oddVBand="0" w:evenVBand="0" w:oddHBand="1" w:evenHBand="0" w:firstRowFirstColumn="0" w:firstRowLastColumn="0" w:lastRowFirstColumn="0" w:lastRowLastColumn="0"/>
          <w:trHeight w:val="491"/>
        </w:trPr>
        <w:tc>
          <w:tcPr>
            <w:cnfStyle w:val="001000000000" w:firstRow="0" w:lastRow="0" w:firstColumn="1" w:lastColumn="0" w:oddVBand="0" w:evenVBand="0" w:oddHBand="0" w:evenHBand="0" w:firstRowFirstColumn="0" w:firstRowLastColumn="0" w:lastRowFirstColumn="0" w:lastRowLastColumn="0"/>
            <w:tcW w:w="2312" w:type="pct"/>
            <w:vMerge/>
            <w:hideMark/>
          </w:tcPr>
          <w:p w:rsidR="00D0698C" w:rsidRPr="0041458F" w:rsidRDefault="00D0698C" w:rsidP="0017008D">
            <w:pPr>
              <w:rPr>
                <w:rFonts w:ascii="Arial" w:hAnsi="Arial" w:cs="Arial"/>
                <w:color w:val="000000"/>
                <w:sz w:val="20"/>
                <w:szCs w:val="20"/>
                <w:lang w:eastAsia="fr-FR"/>
              </w:rPr>
            </w:pPr>
          </w:p>
        </w:tc>
        <w:tc>
          <w:tcPr>
            <w:tcW w:w="68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fr-FR"/>
              </w:rPr>
            </w:pPr>
          </w:p>
        </w:tc>
      </w:tr>
      <w:tr w:rsidR="00D0698C" w:rsidRPr="0041458F" w:rsidTr="00212F20">
        <w:trPr>
          <w:trHeight w:val="464"/>
        </w:trPr>
        <w:tc>
          <w:tcPr>
            <w:cnfStyle w:val="001000000000" w:firstRow="0" w:lastRow="0" w:firstColumn="1" w:lastColumn="0" w:oddVBand="0" w:evenVBand="0" w:oddHBand="0" w:evenHBand="0" w:firstRowFirstColumn="0" w:firstRowLastColumn="0" w:lastRowFirstColumn="0" w:lastRowLastColumn="0"/>
            <w:tcW w:w="2312" w:type="pct"/>
            <w:vMerge/>
            <w:hideMark/>
          </w:tcPr>
          <w:p w:rsidR="00D0698C" w:rsidRPr="0041458F" w:rsidRDefault="00D0698C" w:rsidP="0017008D">
            <w:pPr>
              <w:rPr>
                <w:rFonts w:ascii="Arial" w:hAnsi="Arial" w:cs="Arial"/>
                <w:color w:val="000000"/>
                <w:sz w:val="20"/>
                <w:szCs w:val="20"/>
                <w:lang w:eastAsia="fr-FR"/>
              </w:rPr>
            </w:pPr>
          </w:p>
        </w:tc>
        <w:tc>
          <w:tcPr>
            <w:tcW w:w="68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c>
          <w:tcPr>
            <w:tcW w:w="999" w:type="pct"/>
            <w:vMerge/>
            <w:hideMark/>
          </w:tcPr>
          <w:p w:rsidR="00D0698C" w:rsidRPr="0041458F" w:rsidRDefault="00D0698C" w:rsidP="0017008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fr-FR"/>
              </w:rPr>
            </w:pPr>
          </w:p>
        </w:tc>
      </w:tr>
      <w:tr w:rsidR="00D0698C" w:rsidRPr="0041458F" w:rsidTr="00212F20">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12" w:type="pct"/>
            <w:noWrap/>
            <w:hideMark/>
          </w:tcPr>
          <w:p w:rsidR="00D0698C" w:rsidRPr="0041458F" w:rsidRDefault="00D0698C" w:rsidP="0017008D">
            <w:pPr>
              <w:jc w:val="center"/>
              <w:rPr>
                <w:rFonts w:ascii="Arial" w:hAnsi="Arial" w:cs="Arial"/>
                <w:color w:val="000000"/>
                <w:sz w:val="20"/>
                <w:szCs w:val="20"/>
                <w:lang w:val="fr-FR" w:eastAsia="fr-FR"/>
              </w:rPr>
            </w:pPr>
            <w:r w:rsidRPr="0041458F">
              <w:rPr>
                <w:rFonts w:ascii="Arial" w:hAnsi="Arial" w:cs="Arial"/>
                <w:color w:val="000000"/>
                <w:sz w:val="20"/>
                <w:szCs w:val="20"/>
                <w:lang w:val="fr-FR" w:eastAsia="fr-FR"/>
              </w:rPr>
              <w:t xml:space="preserve">60Km </w:t>
            </w:r>
            <w:proofErr w:type="spellStart"/>
            <w:r w:rsidRPr="0041458F">
              <w:rPr>
                <w:rFonts w:ascii="Arial" w:hAnsi="Arial" w:cs="Arial"/>
                <w:color w:val="000000"/>
                <w:sz w:val="20"/>
                <w:szCs w:val="20"/>
                <w:lang w:val="fr-FR" w:eastAsia="fr-FR"/>
              </w:rPr>
              <w:t>at</w:t>
            </w:r>
            <w:proofErr w:type="spellEnd"/>
            <w:r w:rsidRPr="0041458F">
              <w:rPr>
                <w:rFonts w:ascii="Arial" w:hAnsi="Arial" w:cs="Arial"/>
                <w:color w:val="000000"/>
                <w:sz w:val="20"/>
                <w:szCs w:val="20"/>
                <w:lang w:val="fr-FR" w:eastAsia="fr-FR"/>
              </w:rPr>
              <w:t xml:space="preserve">  nadir</w:t>
            </w:r>
          </w:p>
        </w:tc>
        <w:tc>
          <w:tcPr>
            <w:tcW w:w="689" w:type="pct"/>
            <w:noWrap/>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color w:val="000000"/>
                <w:sz w:val="20"/>
                <w:szCs w:val="20"/>
                <w:lang w:val="fr-FR" w:eastAsia="fr-FR"/>
              </w:rPr>
              <w:t>2827</w:t>
            </w:r>
          </w:p>
        </w:tc>
        <w:tc>
          <w:tcPr>
            <w:tcW w:w="999" w:type="pct"/>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41458F">
              <w:rPr>
                <w:rFonts w:ascii="Arial" w:hAnsi="Arial" w:cs="Arial"/>
                <w:sz w:val="20"/>
                <w:szCs w:val="20"/>
              </w:rPr>
              <w:t>4241</w:t>
            </w:r>
          </w:p>
        </w:tc>
        <w:tc>
          <w:tcPr>
            <w:tcW w:w="999" w:type="pct"/>
            <w:hideMark/>
          </w:tcPr>
          <w:p w:rsidR="00D0698C" w:rsidRPr="0041458F" w:rsidRDefault="00D0698C" w:rsidP="0017008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sz w:val="20"/>
                <w:szCs w:val="20"/>
              </w:rPr>
              <w:t>16964</w:t>
            </w:r>
          </w:p>
        </w:tc>
      </w:tr>
      <w:tr w:rsidR="00D0698C" w:rsidRPr="0041458F" w:rsidTr="00212F20">
        <w:trPr>
          <w:trHeight w:val="289"/>
        </w:trPr>
        <w:tc>
          <w:tcPr>
            <w:cnfStyle w:val="001000000000" w:firstRow="0" w:lastRow="0" w:firstColumn="1" w:lastColumn="0" w:oddVBand="0" w:evenVBand="0" w:oddHBand="0" w:evenHBand="0" w:firstRowFirstColumn="0" w:firstRowLastColumn="0" w:lastRowFirstColumn="0" w:lastRowLastColumn="0"/>
            <w:tcW w:w="2312" w:type="pct"/>
            <w:noWrap/>
            <w:hideMark/>
          </w:tcPr>
          <w:p w:rsidR="00D0698C" w:rsidRPr="0041458F" w:rsidRDefault="00D0698C" w:rsidP="0017008D">
            <w:pPr>
              <w:jc w:val="center"/>
              <w:rPr>
                <w:rFonts w:ascii="Arial" w:hAnsi="Arial" w:cs="Arial"/>
                <w:color w:val="000000"/>
                <w:sz w:val="20"/>
                <w:szCs w:val="20"/>
                <w:lang w:eastAsia="fr-FR"/>
              </w:rPr>
            </w:pPr>
            <w:r w:rsidRPr="0041458F">
              <w:rPr>
                <w:rFonts w:ascii="Arial" w:hAnsi="Arial" w:cs="Arial"/>
                <w:color w:val="000000"/>
                <w:sz w:val="20"/>
                <w:szCs w:val="20"/>
                <w:lang w:eastAsia="fr-FR"/>
              </w:rPr>
              <w:t xml:space="preserve">At </w:t>
            </w:r>
            <w:proofErr w:type="spellStart"/>
            <w:r w:rsidRPr="0041458F">
              <w:rPr>
                <w:rFonts w:ascii="Arial" w:hAnsi="Arial" w:cs="Arial"/>
                <w:color w:val="000000"/>
                <w:sz w:val="20"/>
                <w:szCs w:val="20"/>
                <w:lang w:eastAsia="fr-FR"/>
              </w:rPr>
              <w:t>EoC</w:t>
            </w:r>
            <w:proofErr w:type="spellEnd"/>
            <w:r w:rsidRPr="0041458F">
              <w:rPr>
                <w:rFonts w:ascii="Arial" w:hAnsi="Arial" w:cs="Arial"/>
                <w:color w:val="000000"/>
                <w:sz w:val="20"/>
                <w:szCs w:val="20"/>
                <w:lang w:eastAsia="fr-FR"/>
              </w:rPr>
              <w:t xml:space="preserve"> Ellipse 60Km by 175km</w:t>
            </w:r>
          </w:p>
        </w:tc>
        <w:tc>
          <w:tcPr>
            <w:tcW w:w="689" w:type="pct"/>
            <w:noWrap/>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color w:val="000000"/>
                <w:sz w:val="20"/>
                <w:szCs w:val="20"/>
                <w:lang w:val="fr-FR" w:eastAsia="fr-FR"/>
              </w:rPr>
              <w:t>8246</w:t>
            </w:r>
          </w:p>
        </w:tc>
        <w:tc>
          <w:tcPr>
            <w:tcW w:w="999" w:type="pct"/>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1458F">
              <w:rPr>
                <w:rFonts w:ascii="Arial" w:hAnsi="Arial" w:cs="Arial"/>
                <w:sz w:val="20"/>
                <w:szCs w:val="20"/>
              </w:rPr>
              <w:t>12370</w:t>
            </w:r>
          </w:p>
        </w:tc>
        <w:tc>
          <w:tcPr>
            <w:tcW w:w="999" w:type="pct"/>
            <w:hideMark/>
          </w:tcPr>
          <w:p w:rsidR="00D0698C" w:rsidRPr="0041458F" w:rsidRDefault="00D0698C" w:rsidP="0017008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val="fr-FR" w:eastAsia="fr-FR"/>
              </w:rPr>
            </w:pPr>
            <w:r w:rsidRPr="0041458F">
              <w:rPr>
                <w:rFonts w:ascii="Arial" w:hAnsi="Arial" w:cs="Arial"/>
                <w:sz w:val="20"/>
                <w:szCs w:val="20"/>
              </w:rPr>
              <w:t>49480</w:t>
            </w:r>
          </w:p>
        </w:tc>
      </w:tr>
    </w:tbl>
    <w:p w:rsidR="00D0698C" w:rsidRPr="0041458F" w:rsidRDefault="00D0698C" w:rsidP="00D0698C">
      <w:pPr>
        <w:rPr>
          <w:rFonts w:ascii="Arial" w:hAnsi="Arial" w:cs="Arial"/>
          <w:sz w:val="20"/>
          <w:szCs w:val="20"/>
        </w:rPr>
      </w:pP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Deploying multi-beam cell and using beam management will not be applicable to all NTN deployment scenarios</w:t>
      </w:r>
    </w:p>
    <w:p w:rsidR="00D0698C" w:rsidRPr="0041458F" w:rsidRDefault="00D0698C" w:rsidP="00D0698C">
      <w:pPr>
        <w:pStyle w:val="Titre2"/>
        <w:keepLines/>
        <w:tabs>
          <w:tab w:val="clear" w:pos="576"/>
        </w:tabs>
        <w:autoSpaceDE/>
        <w:autoSpaceDN/>
        <w:adjustRightInd/>
        <w:snapToGrid/>
        <w:spacing w:before="200" w:after="240" w:line="276" w:lineRule="auto"/>
        <w:jc w:val="left"/>
      </w:pPr>
      <w:r w:rsidRPr="0041458F">
        <w:t>Flexible Frequency Reuse based on Bandwidth Part</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For a Flexible Frequency Reuse, a beam-specific BWP (BBWP) can be configured. The objective is to replace the component carrier (CC) which is not as flexible as a BWP is. The same component carrier  is used on all cells but each beam will be assigned a beam-specific BWP. The inter-beam interference mitigation will be based on  BBWP following a frequency reuse scheme.</w:t>
      </w:r>
      <w:r>
        <w:rPr>
          <w:rFonts w:ascii="Arial" w:eastAsia="PMingLiU" w:hAnsi="Arial" w:cs="Arial"/>
          <w:sz w:val="20"/>
          <w:szCs w:val="20"/>
          <w:lang w:eastAsia="zh-TW"/>
        </w:rPr>
        <w:t xml:space="preserve"> The Figure 20</w:t>
      </w:r>
      <w:r w:rsidRPr="0041458F">
        <w:rPr>
          <w:rFonts w:ascii="Arial" w:eastAsia="PMingLiU" w:hAnsi="Arial" w:cs="Arial"/>
          <w:sz w:val="20"/>
          <w:szCs w:val="20"/>
          <w:lang w:eastAsia="zh-TW"/>
        </w:rPr>
        <w:t xml:space="preserve"> shows a flexible frequency reuse based on BBWP reuse. In the proposed solution, the multi-beam cell (option 3) and beam management are assumed. But, as discussed in 4.4.3, deploying multi-beam cell and using beam management will not be applicable to all NTN deployment scenarios.</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Basically, Bandwidth parts (BWP) are used to optimize UE operations in frequency domain, whereas the BBWP will be used to support flexible frequency reuse. The beam-specific BWP (BBWP) similar to UE’s dedicated BWPs should be configured independently (from UE’s dedicated BWPs) by network via dedicated RRC signalling. For the configuration of BBWP</w:t>
      </w:r>
      <w:r>
        <w:rPr>
          <w:rFonts w:ascii="Arial" w:eastAsia="PMingLiU" w:hAnsi="Arial" w:cs="Arial"/>
          <w:sz w:val="20"/>
          <w:szCs w:val="20"/>
          <w:lang w:eastAsia="zh-TW"/>
        </w:rPr>
        <w:t>,</w:t>
      </w:r>
      <w:r w:rsidRPr="0041458F">
        <w:rPr>
          <w:rFonts w:ascii="Arial" w:eastAsia="PMingLiU" w:hAnsi="Arial" w:cs="Arial"/>
          <w:sz w:val="20"/>
          <w:szCs w:val="20"/>
          <w:lang w:eastAsia="zh-TW"/>
        </w:rPr>
        <w:t xml:space="preserve"> the same configuration parameters will be used: starting position, size and the subcarrier spacing. But we need to add an indication of the associated beam: a beam-index (CSI-RS associated with the beam).</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When a flexible frequency reuse based on BBWP is to be deployed, an a-priori BBWP planning can be used to allocate the BWP to each beam. Or a dynamic allocation can be performed by the gNB to configure beam-specific BWP based on the traffic distribution between the beams within the cell. Interference coordination may</w:t>
      </w:r>
      <w:r w:rsidR="00DA64CD">
        <w:rPr>
          <w:rFonts w:ascii="Arial" w:eastAsia="PMingLiU" w:hAnsi="Arial" w:cs="Arial"/>
          <w:sz w:val="20"/>
          <w:szCs w:val="20"/>
          <w:lang w:eastAsia="zh-TW"/>
        </w:rPr>
        <w:t xml:space="preserve"> </w:t>
      </w:r>
      <w:r>
        <w:rPr>
          <w:rFonts w:ascii="Arial" w:eastAsia="PMingLiU" w:hAnsi="Arial" w:cs="Arial"/>
          <w:sz w:val="20"/>
          <w:szCs w:val="20"/>
          <w:lang w:eastAsia="zh-TW"/>
        </w:rPr>
        <w:t xml:space="preserve">be required between the </w:t>
      </w:r>
      <w:proofErr w:type="spellStart"/>
      <w:r>
        <w:rPr>
          <w:rFonts w:ascii="Arial" w:eastAsia="PMingLiU" w:hAnsi="Arial" w:cs="Arial"/>
          <w:sz w:val="20"/>
          <w:szCs w:val="20"/>
          <w:lang w:eastAsia="zh-TW"/>
        </w:rPr>
        <w:t>gNodeBs</w:t>
      </w:r>
      <w:proofErr w:type="spellEnd"/>
    </w:p>
    <w:p w:rsidR="00D0698C" w:rsidRPr="0041458F" w:rsidRDefault="00D0698C" w:rsidP="00D0698C">
      <w:pPr>
        <w:pStyle w:val="Observation"/>
        <w:numPr>
          <w:ilvl w:val="0"/>
          <w:numId w:val="27"/>
        </w:numPr>
        <w:tabs>
          <w:tab w:val="left" w:pos="1701"/>
        </w:tabs>
        <w:spacing w:after="200" w:line="276" w:lineRule="auto"/>
        <w:ind w:left="1701" w:hanging="1701"/>
        <w:jc w:val="left"/>
        <w:rPr>
          <w:sz w:val="20"/>
          <w:szCs w:val="20"/>
        </w:rPr>
      </w:pPr>
      <w:r w:rsidRPr="0041458F">
        <w:rPr>
          <w:sz w:val="20"/>
          <w:szCs w:val="20"/>
        </w:rPr>
        <w:t>In the proposed solution, an a-priori BBWP planning can be used to allocate the BWP to each beam. Or a dynamic allocation can be performed by the gNB to configure beam-specific BWP based on the traffic distribution between the beams within the cell</w:t>
      </w:r>
    </w:p>
    <w:p w:rsidR="00D0698C" w:rsidRPr="0041458F" w:rsidRDefault="00D0698C" w:rsidP="00D0698C">
      <w:pPr>
        <w:rPr>
          <w:rFonts w:ascii="Arial" w:hAnsi="Arial" w:cs="Arial"/>
          <w:sz w:val="20"/>
          <w:szCs w:val="20"/>
        </w:rPr>
      </w:pPr>
    </w:p>
    <w:p w:rsidR="00883208" w:rsidRDefault="00D0698C" w:rsidP="00883208">
      <w:pPr>
        <w:keepNext/>
        <w:jc w:val="center"/>
      </w:pPr>
      <w:r w:rsidRPr="0041458F">
        <w:rPr>
          <w:rFonts w:ascii="Arial" w:eastAsia="PMingLiU" w:hAnsi="Arial" w:cs="Arial"/>
          <w:noProof/>
          <w:sz w:val="20"/>
          <w:szCs w:val="20"/>
          <w:lang w:val="fr-FR" w:eastAsia="fr-FR"/>
        </w:rPr>
        <w:lastRenderedPageBreak/>
        <w:drawing>
          <wp:inline distT="0" distB="0" distL="0" distR="0" wp14:anchorId="697BEC1F" wp14:editId="521E5CF8">
            <wp:extent cx="2203200" cy="2181600"/>
            <wp:effectExtent l="0" t="0" r="6985" b="0"/>
            <wp:docPr id="295" name="Imag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3200" cy="2181600"/>
                    </a:xfrm>
                    <a:prstGeom prst="rect">
                      <a:avLst/>
                    </a:prstGeom>
                    <a:noFill/>
                  </pic:spPr>
                </pic:pic>
              </a:graphicData>
            </a:graphic>
          </wp:inline>
        </w:drawing>
      </w:r>
    </w:p>
    <w:p w:rsidR="00D0698C" w:rsidRPr="0041458F" w:rsidRDefault="00883208" w:rsidP="00883208">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sidR="00212F20">
        <w:rPr>
          <w:noProof/>
        </w:rPr>
        <w:t>7</w:t>
      </w:r>
      <w:r w:rsidR="004063B3">
        <w:rPr>
          <w:noProof/>
        </w:rPr>
        <w:fldChar w:fldCharType="end"/>
      </w:r>
      <w:r>
        <w:t xml:space="preserve"> </w:t>
      </w:r>
      <w:r w:rsidRPr="000E05EB">
        <w:t>Flexible Frequency Reuse using BWP</w:t>
      </w:r>
    </w:p>
    <w:p w:rsidR="00D0698C" w:rsidRPr="0041458F" w:rsidRDefault="00D0698C" w:rsidP="00D0698C">
      <w:pPr>
        <w:rPr>
          <w:rFonts w:ascii="Arial" w:eastAsia="PMingLiU" w:hAnsi="Arial" w:cs="Arial"/>
          <w:sz w:val="20"/>
          <w:szCs w:val="20"/>
          <w:lang w:eastAsia="zh-TW"/>
        </w:rPr>
      </w:pPr>
      <w:r w:rsidRPr="0041458F">
        <w:rPr>
          <w:rFonts w:ascii="Arial" w:eastAsia="PMingLiU" w:hAnsi="Arial" w:cs="Arial"/>
          <w:sz w:val="20"/>
          <w:szCs w:val="20"/>
          <w:lang w:eastAsia="zh-TW"/>
        </w:rPr>
        <w:t>To support beam-specific BWP, the Release-15/16 BWP operation is to be considered as baseline for 5G NTN. Nevertheless, some enhancements are needed. The required enhancements and their justifications are as follow</w:t>
      </w:r>
      <w:r w:rsidR="008B0EE6">
        <w:rPr>
          <w:rFonts w:ascii="Arial" w:eastAsia="PMingLiU" w:hAnsi="Arial" w:cs="Arial"/>
          <w:sz w:val="20"/>
          <w:szCs w:val="20"/>
          <w:lang w:eastAsia="zh-TW"/>
        </w:rPr>
        <w:t>s</w:t>
      </w:r>
      <w:r w:rsidRPr="0041458F">
        <w:rPr>
          <w:rFonts w:ascii="Arial" w:eastAsia="PMingLiU" w:hAnsi="Arial" w:cs="Arial"/>
          <w:sz w:val="20"/>
          <w:szCs w:val="20"/>
          <w:lang w:eastAsia="zh-TW"/>
        </w:rPr>
        <w:t>:</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The new BBWP should be introduced on top of existing UE specific BWP. Indeed, the main usage of the BWP as per Release 15, is to restrict the bandwidth according to UE capabilities, optimize UE operations in frequency domain and dynamically reduce or increase bandwidth according to traffic amount so as to optimize UE power consumption. All these usages of Rel.15 BWP are still valid and we should be able to have the same usage of BWP as before.</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 xml:space="preserve">The UE should be configured with as many BBWP as the number of beams within the cell. But, in the current specification, a UE can be configured with up to four bandwidth parts in the downlink and up to four bandwidth parts in the uplink. Therefore, the maximum number of BBWP an NTN UE can be configured with should be </w:t>
      </w:r>
      <w:r>
        <w:rPr>
          <w:rFonts w:ascii="Arial" w:eastAsia="PMingLiU" w:hAnsi="Arial" w:cs="Arial"/>
          <w:sz w:val="20"/>
          <w:szCs w:val="20"/>
          <w:lang w:eastAsia="zh-TW"/>
        </w:rPr>
        <w:t>only limited by the number of the beams within the cell.</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The UE is not expected to receive CSI-RS outside an active bandwidth part. If BBWP operation is introduced, the UE should be able to perform inter-beam measurements outside its active BWP</w:t>
      </w:r>
    </w:p>
    <w:p w:rsidR="00D0698C" w:rsidRPr="00076C4F" w:rsidRDefault="00D0698C" w:rsidP="00D0698C">
      <w:pPr>
        <w:pStyle w:val="Paragraphedeliste"/>
        <w:numPr>
          <w:ilvl w:val="0"/>
          <w:numId w:val="30"/>
        </w:numPr>
        <w:spacing w:after="200" w:line="276" w:lineRule="auto"/>
        <w:contextualSpacing/>
        <w:rPr>
          <w:rFonts w:ascii="Arial" w:eastAsia="PMingLiU" w:hAnsi="Arial" w:cs="Arial"/>
          <w:sz w:val="20"/>
          <w:szCs w:val="20"/>
          <w:lang w:val="en-GB" w:eastAsia="zh-TW"/>
        </w:rPr>
      </w:pPr>
      <w:r w:rsidRPr="00076C4F">
        <w:rPr>
          <w:rFonts w:ascii="Arial" w:eastAsia="PMingLiU" w:hAnsi="Arial" w:cs="Arial"/>
          <w:sz w:val="20"/>
          <w:szCs w:val="20"/>
          <w:lang w:eastAsia="zh-TW"/>
        </w:rPr>
        <w:t xml:space="preserve">CSI-RS based inter-beam measurement is to be supported in the same manner as the existing CSI-RS based inter-frequency measurement, </w:t>
      </w:r>
      <w:r w:rsidRPr="00076C4F">
        <w:rPr>
          <w:rFonts w:ascii="Arial" w:eastAsia="PMingLiU" w:hAnsi="Arial" w:cs="Arial"/>
          <w:sz w:val="20"/>
          <w:szCs w:val="20"/>
          <w:lang w:val="en-GB" w:eastAsia="zh-TW"/>
        </w:rPr>
        <w:t>provided the bandwidth of the CSI-RS resource on the neighbour beam configured for measurement is not within the bandwidth of the CSI-RS resource on the serving beam configured for measurement, or the subcarrier spacing of the two CSI-RS resources is different. The UE cannot be assumed to be able to carry out such measurements without measurement gaps. a measurement gap-assisted configuration is to be provided</w:t>
      </w:r>
    </w:p>
    <w:p w:rsidR="00D0698C" w:rsidRPr="00F368A3" w:rsidRDefault="00D0698C" w:rsidP="00D0698C">
      <w:pPr>
        <w:pStyle w:val="Paragraphedeliste"/>
        <w:numPr>
          <w:ilvl w:val="0"/>
          <w:numId w:val="30"/>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For BBWP, Beam Level Mobility can only be performed based on CSI-RS.</w:t>
      </w:r>
    </w:p>
    <w:p w:rsidR="00D0698C" w:rsidRPr="00F368A3"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The new beam-specific BWP (BBWP) concept should be introduced on top of existing UE specific BWP</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 xml:space="preserve">The new beam-specific BWP (BBWP) should reuse Release-15/16 BWP operation procedures with the enhancements provided in this TDOC  </w:t>
      </w:r>
    </w:p>
    <w:p w:rsidR="00D0698C" w:rsidRPr="00712658" w:rsidRDefault="00D0698C" w:rsidP="00D0698C">
      <w:pPr>
        <w:pStyle w:val="Paragraphedeliste"/>
        <w:numPr>
          <w:ilvl w:val="0"/>
          <w:numId w:val="33"/>
        </w:numPr>
        <w:spacing w:after="200" w:line="276" w:lineRule="auto"/>
        <w:contextualSpacing/>
        <w:rPr>
          <w:rFonts w:ascii="Arial" w:eastAsia="PMingLiU" w:hAnsi="Arial" w:cs="Arial"/>
          <w:sz w:val="20"/>
          <w:szCs w:val="20"/>
          <w:lang w:eastAsia="zh-TW"/>
        </w:rPr>
      </w:pPr>
      <w:r w:rsidRPr="00076C4F">
        <w:rPr>
          <w:rFonts w:ascii="Arial" w:eastAsia="PMingLiU" w:hAnsi="Arial" w:cs="Arial"/>
          <w:sz w:val="20"/>
          <w:szCs w:val="20"/>
          <w:lang w:eastAsia="zh-TW"/>
        </w:rPr>
        <w:t xml:space="preserve">Regarding BBWP Operation: In the current specifications, initial-active DL BWP #0, </w:t>
      </w:r>
      <w:r w:rsidR="00631471">
        <w:rPr>
          <w:rFonts w:ascii="Arial" w:eastAsia="PMingLiU" w:hAnsi="Arial" w:cs="Arial"/>
          <w:sz w:val="20"/>
          <w:szCs w:val="20"/>
          <w:lang w:eastAsia="zh-TW"/>
        </w:rPr>
        <w:t xml:space="preserve">is </w:t>
      </w:r>
      <w:r w:rsidRPr="00076C4F">
        <w:rPr>
          <w:rFonts w:ascii="Arial" w:eastAsia="PMingLiU" w:hAnsi="Arial" w:cs="Arial"/>
          <w:sz w:val="20"/>
          <w:szCs w:val="20"/>
          <w:lang w:eastAsia="zh-TW"/>
        </w:rPr>
        <w:t xml:space="preserve">defined by span of CORESET#0 configured by MIB (or dedicated RRC) for scheduling of SIBs. Supported sizes </w:t>
      </w:r>
      <w:r w:rsidR="00631471">
        <w:rPr>
          <w:rFonts w:ascii="Arial" w:eastAsia="PMingLiU" w:hAnsi="Arial" w:cs="Arial"/>
          <w:sz w:val="20"/>
          <w:szCs w:val="20"/>
          <w:lang w:eastAsia="zh-TW"/>
        </w:rPr>
        <w:t xml:space="preserve">of </w:t>
      </w:r>
      <w:r w:rsidR="00631471" w:rsidRPr="00076C4F">
        <w:rPr>
          <w:rFonts w:ascii="Arial" w:eastAsia="PMingLiU" w:hAnsi="Arial" w:cs="Arial"/>
          <w:sz w:val="20"/>
          <w:szCs w:val="20"/>
          <w:lang w:eastAsia="zh-TW"/>
        </w:rPr>
        <w:t xml:space="preserve">initial-active DL BWP </w:t>
      </w:r>
      <w:r w:rsidRPr="00076C4F">
        <w:rPr>
          <w:rFonts w:ascii="Arial" w:eastAsia="PMingLiU" w:hAnsi="Arial" w:cs="Arial"/>
          <w:sz w:val="20"/>
          <w:szCs w:val="20"/>
          <w:lang w:eastAsia="zh-TW"/>
        </w:rPr>
        <w:t xml:space="preserve">are only 24,48,96 RB. Initial-active UL BWP #0: </w:t>
      </w:r>
      <w:r w:rsidR="00631471">
        <w:rPr>
          <w:rFonts w:ascii="Arial" w:eastAsia="PMingLiU" w:hAnsi="Arial" w:cs="Arial"/>
          <w:sz w:val="20"/>
          <w:szCs w:val="20"/>
          <w:lang w:eastAsia="zh-TW"/>
        </w:rPr>
        <w:t>is c</w:t>
      </w:r>
      <w:r w:rsidRPr="00076C4F">
        <w:rPr>
          <w:rFonts w:ascii="Arial" w:eastAsia="PMingLiU" w:hAnsi="Arial" w:cs="Arial"/>
          <w:sz w:val="20"/>
          <w:szCs w:val="20"/>
          <w:lang w:eastAsia="zh-TW"/>
        </w:rPr>
        <w:t>onfigured by SIB1 for random access procedure.</w:t>
      </w:r>
      <w:r>
        <w:rPr>
          <w:rFonts w:ascii="Arial" w:eastAsia="PMingLiU" w:hAnsi="Arial" w:cs="Arial"/>
          <w:sz w:val="20"/>
          <w:szCs w:val="20"/>
          <w:lang w:eastAsia="zh-TW"/>
        </w:rPr>
        <w:t xml:space="preserve"> </w:t>
      </w:r>
      <w:r w:rsidRPr="00712658">
        <w:rPr>
          <w:rFonts w:ascii="Arial" w:eastAsia="PMingLiU" w:hAnsi="Arial" w:cs="Arial"/>
          <w:sz w:val="20"/>
          <w:szCs w:val="20"/>
          <w:lang w:eastAsia="zh-TW"/>
        </w:rPr>
        <w:t xml:space="preserve">Initial BWP is compatible with all UE categories and can be used by any UE within the cell before it is reconfigured with BBWP associated to the beam in which the UE is located. Therefore, the size of the common Initial-active BWP should be designed carefully to avoid any congestion and blocking within the cell.  </w:t>
      </w:r>
    </w:p>
    <w:p w:rsidR="00D0698C" w:rsidRPr="00F368A3" w:rsidRDefault="00D0698C" w:rsidP="00D0698C">
      <w:pPr>
        <w:pStyle w:val="Observation"/>
        <w:numPr>
          <w:ilvl w:val="0"/>
          <w:numId w:val="27"/>
        </w:numPr>
        <w:tabs>
          <w:tab w:val="left" w:pos="1701"/>
        </w:tabs>
        <w:spacing w:after="200" w:line="276" w:lineRule="auto"/>
        <w:ind w:left="1701" w:hanging="1701"/>
        <w:jc w:val="left"/>
        <w:rPr>
          <w:sz w:val="20"/>
        </w:rPr>
      </w:pPr>
      <w:r w:rsidRPr="00F368A3">
        <w:rPr>
          <w:sz w:val="20"/>
        </w:rPr>
        <w:lastRenderedPageBreak/>
        <w:t xml:space="preserve">The size of the common Initial-active BWP should be defined carefully to avoid any congestion and blocking within the cell   </w:t>
      </w:r>
    </w:p>
    <w:p w:rsidR="00D0698C" w:rsidRPr="00921511" w:rsidRDefault="00D0698C" w:rsidP="00D0698C">
      <w:pPr>
        <w:pStyle w:val="Paragraphedeliste"/>
        <w:numPr>
          <w:ilvl w:val="0"/>
          <w:numId w:val="31"/>
        </w:numPr>
        <w:suppressAutoHyphens/>
        <w:overflowPunct w:val="0"/>
        <w:spacing w:after="120" w:line="276" w:lineRule="auto"/>
        <w:contextualSpacing/>
        <w:textAlignment w:val="baseline"/>
        <w:rPr>
          <w:rFonts w:ascii="Arial" w:eastAsia="PMingLiU" w:hAnsi="Arial" w:cs="Arial"/>
          <w:sz w:val="20"/>
          <w:szCs w:val="20"/>
          <w:lang w:eastAsia="zh-TW"/>
        </w:rPr>
      </w:pPr>
      <w:r w:rsidRPr="0041458F">
        <w:rPr>
          <w:rFonts w:ascii="Arial" w:eastAsia="PMingLiU" w:hAnsi="Arial" w:cs="Arial"/>
          <w:sz w:val="20"/>
          <w:szCs w:val="20"/>
          <w:lang w:eastAsia="zh-TW"/>
        </w:rPr>
        <w:t xml:space="preserve">In Connected state, </w:t>
      </w:r>
      <w:r>
        <w:rPr>
          <w:rFonts w:ascii="Arial" w:eastAsia="PMingLiU" w:hAnsi="Arial" w:cs="Arial"/>
          <w:sz w:val="20"/>
          <w:szCs w:val="20"/>
          <w:lang w:eastAsia="zh-TW"/>
        </w:rPr>
        <w:t>BWP adaptation/</w:t>
      </w:r>
      <w:r w:rsidRPr="00C42D4C">
        <w:rPr>
          <w:rFonts w:ascii="Arial" w:eastAsia="PMingLiU" w:hAnsi="Arial" w:cs="Arial"/>
          <w:sz w:val="20"/>
          <w:szCs w:val="20"/>
          <w:lang w:eastAsia="zh-TW"/>
        </w:rPr>
        <w:t>switching</w:t>
      </w:r>
      <w:r>
        <w:rPr>
          <w:rFonts w:ascii="Arial" w:eastAsia="PMingLiU" w:hAnsi="Arial" w:cs="Arial"/>
          <w:sz w:val="20"/>
          <w:szCs w:val="20"/>
          <w:lang w:eastAsia="zh-TW"/>
        </w:rPr>
        <w:t xml:space="preserve"> is based on the </w:t>
      </w:r>
      <w:r w:rsidRPr="00C42D4C">
        <w:rPr>
          <w:rFonts w:ascii="Arial" w:eastAsia="PMingLiU" w:hAnsi="Arial" w:cs="Arial"/>
          <w:sz w:val="20"/>
          <w:szCs w:val="20"/>
          <w:lang w:eastAsia="zh-TW"/>
        </w:rPr>
        <w:t>Bandwidth part indicator</w:t>
      </w:r>
      <w:r>
        <w:rPr>
          <w:rFonts w:ascii="Arial" w:eastAsia="PMingLiU" w:hAnsi="Arial" w:cs="Arial"/>
          <w:sz w:val="20"/>
          <w:szCs w:val="20"/>
          <w:lang w:eastAsia="zh-TW"/>
        </w:rPr>
        <w:t xml:space="preserve"> in the DCI.  </w:t>
      </w:r>
      <w:r w:rsidRPr="0041458F">
        <w:rPr>
          <w:rFonts w:ascii="Arial" w:eastAsia="PMingLiU" w:hAnsi="Arial" w:cs="Arial"/>
          <w:sz w:val="20"/>
          <w:szCs w:val="20"/>
          <w:lang w:eastAsia="zh-TW"/>
        </w:rPr>
        <w:t xml:space="preserve">BBWP switching should be handled by beam management indication which relies on gNB controlled means to determine and select used beams. </w:t>
      </w:r>
      <w:r w:rsidRPr="003A051E">
        <w:rPr>
          <w:rFonts w:ascii="Arial" w:eastAsia="PMingLiU" w:hAnsi="Arial" w:cs="Arial"/>
          <w:sz w:val="20"/>
          <w:szCs w:val="20"/>
          <w:lang w:eastAsia="zh-TW"/>
        </w:rPr>
        <w:t xml:space="preserve">BBWP switching </w:t>
      </w:r>
      <w:r>
        <w:rPr>
          <w:rFonts w:ascii="Arial" w:eastAsia="PMingLiU" w:hAnsi="Arial" w:cs="Arial"/>
          <w:sz w:val="20"/>
          <w:szCs w:val="20"/>
          <w:lang w:eastAsia="zh-TW"/>
        </w:rPr>
        <w:t xml:space="preserve">is illustrated on the protocol flow below. </w:t>
      </w:r>
      <w:r w:rsidRPr="0041458F">
        <w:rPr>
          <w:rFonts w:ascii="Arial" w:eastAsia="PMingLiU" w:hAnsi="Arial" w:cs="Arial"/>
          <w:sz w:val="20"/>
          <w:szCs w:val="20"/>
          <w:lang w:eastAsia="zh-TW"/>
        </w:rPr>
        <w:t xml:space="preserve">MAC CE transmission configuration indication can be used to indicate and update serving beam and implicitly the BBWP. </w:t>
      </w:r>
      <w:r w:rsidRPr="00921511">
        <w:rPr>
          <w:rFonts w:ascii="Arial" w:eastAsia="PMingLiU" w:hAnsi="Arial" w:cs="Arial"/>
          <w:sz w:val="20"/>
          <w:szCs w:val="20"/>
          <w:lang w:eastAsia="zh-TW"/>
        </w:rPr>
        <w:t>We do not need to use UE bandwidth part adaptation which use bandwidth part indicator on the DCI, because this should be used only for UE’s dedicated BWPs adaptation as per Release 15/16. We do not need to increase the</w:t>
      </w:r>
      <w:r w:rsidR="00F13464">
        <w:rPr>
          <w:rFonts w:ascii="Arial" w:eastAsia="PMingLiU" w:hAnsi="Arial" w:cs="Arial"/>
          <w:sz w:val="20"/>
          <w:szCs w:val="20"/>
          <w:lang w:eastAsia="zh-TW"/>
        </w:rPr>
        <w:t xml:space="preserve"> maximum </w:t>
      </w:r>
      <w:r w:rsidRPr="00921511">
        <w:rPr>
          <w:rFonts w:ascii="Arial" w:eastAsia="PMingLiU" w:hAnsi="Arial" w:cs="Arial"/>
          <w:sz w:val="20"/>
          <w:szCs w:val="20"/>
          <w:lang w:eastAsia="zh-TW"/>
        </w:rPr>
        <w:t xml:space="preserve"> number of </w:t>
      </w:r>
      <w:r w:rsidR="00F13464">
        <w:rPr>
          <w:rFonts w:ascii="Arial" w:eastAsia="PMingLiU" w:hAnsi="Arial" w:cs="Arial"/>
          <w:sz w:val="20"/>
          <w:szCs w:val="20"/>
          <w:lang w:eastAsia="zh-TW"/>
        </w:rPr>
        <w:t xml:space="preserve">BWP the </w:t>
      </w:r>
      <w:r w:rsidRPr="00921511">
        <w:rPr>
          <w:rFonts w:ascii="Arial" w:eastAsia="PMingLiU" w:hAnsi="Arial" w:cs="Arial"/>
          <w:sz w:val="20"/>
          <w:szCs w:val="20"/>
          <w:lang w:eastAsia="zh-TW"/>
        </w:rPr>
        <w:t xml:space="preserve">UE </w:t>
      </w:r>
      <w:r w:rsidR="00F13464">
        <w:rPr>
          <w:rFonts w:ascii="Arial" w:eastAsia="PMingLiU" w:hAnsi="Arial" w:cs="Arial"/>
          <w:sz w:val="20"/>
          <w:szCs w:val="20"/>
          <w:lang w:eastAsia="zh-TW"/>
        </w:rPr>
        <w:t xml:space="preserve">can be </w:t>
      </w:r>
      <w:r w:rsidRPr="00921511">
        <w:rPr>
          <w:rFonts w:ascii="Arial" w:eastAsia="PMingLiU" w:hAnsi="Arial" w:cs="Arial"/>
          <w:sz w:val="20"/>
          <w:szCs w:val="20"/>
          <w:lang w:eastAsia="zh-TW"/>
        </w:rPr>
        <w:t>configured</w:t>
      </w:r>
      <w:r w:rsidR="00F13464">
        <w:rPr>
          <w:rFonts w:ascii="Arial" w:eastAsia="PMingLiU" w:hAnsi="Arial" w:cs="Arial"/>
          <w:sz w:val="20"/>
          <w:szCs w:val="20"/>
          <w:lang w:eastAsia="zh-TW"/>
        </w:rPr>
        <w:t xml:space="preserve"> with</w:t>
      </w:r>
      <w:r w:rsidRPr="00921511">
        <w:rPr>
          <w:rFonts w:ascii="Arial" w:eastAsia="PMingLiU" w:hAnsi="Arial" w:cs="Arial"/>
          <w:sz w:val="20"/>
          <w:szCs w:val="20"/>
          <w:lang w:eastAsia="zh-TW"/>
        </w:rPr>
        <w:t xml:space="preserve"> That is the Bandwidth part indicator field on DCI should be unchanged.</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Bandwidth part indicator field on DCI should be unchanged</w:t>
      </w:r>
    </w:p>
    <w:p w:rsidR="00D0698C" w:rsidRPr="0041458F" w:rsidRDefault="00D0698C" w:rsidP="00D0698C">
      <w:pPr>
        <w:pStyle w:val="Proposal"/>
        <w:numPr>
          <w:ilvl w:val="0"/>
          <w:numId w:val="26"/>
        </w:numPr>
        <w:tabs>
          <w:tab w:val="clear" w:pos="1304"/>
          <w:tab w:val="left" w:pos="1701"/>
        </w:tabs>
        <w:spacing w:after="200" w:line="276" w:lineRule="auto"/>
        <w:ind w:left="1701" w:hanging="1701"/>
        <w:jc w:val="left"/>
        <w:rPr>
          <w:sz w:val="20"/>
          <w:szCs w:val="20"/>
        </w:rPr>
      </w:pPr>
      <w:r w:rsidRPr="0041458F">
        <w:rPr>
          <w:sz w:val="20"/>
          <w:szCs w:val="20"/>
        </w:rPr>
        <w:t>MAC CE transmission configuration indication (MAC CE TCI) can be used to indicate and update serving beam and implicitly the BBWP</w:t>
      </w:r>
    </w:p>
    <w:p w:rsidR="00212F20" w:rsidRDefault="00D0698C" w:rsidP="00212F20">
      <w:pPr>
        <w:keepNext/>
        <w:jc w:val="center"/>
      </w:pPr>
      <w:r w:rsidRPr="0041458F">
        <w:rPr>
          <w:rFonts w:ascii="Arial" w:eastAsia="PMingLiU" w:hAnsi="Arial" w:cs="Arial"/>
          <w:noProof/>
          <w:sz w:val="20"/>
          <w:szCs w:val="20"/>
          <w:lang w:val="fr-FR" w:eastAsia="fr-FR"/>
        </w:rPr>
        <w:drawing>
          <wp:inline distT="0" distB="0" distL="0" distR="0" wp14:anchorId="4D7F0564" wp14:editId="1CFEA49F">
            <wp:extent cx="5248800" cy="3031200"/>
            <wp:effectExtent l="19050" t="19050" r="9525" b="17145"/>
            <wp:docPr id="297" name="Imag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8800" cy="3031200"/>
                    </a:xfrm>
                    <a:prstGeom prst="rect">
                      <a:avLst/>
                    </a:prstGeom>
                    <a:noFill/>
                    <a:ln>
                      <a:solidFill>
                        <a:schemeClr val="accent1"/>
                      </a:solidFill>
                    </a:ln>
                  </pic:spPr>
                </pic:pic>
              </a:graphicData>
            </a:graphic>
          </wp:inline>
        </w:drawing>
      </w:r>
    </w:p>
    <w:p w:rsidR="00D0698C" w:rsidRPr="0041458F" w:rsidRDefault="00212F20" w:rsidP="00212F20">
      <w:pPr>
        <w:pStyle w:val="Lgende"/>
        <w:rPr>
          <w:rFonts w:ascii="Arial" w:hAnsi="Arial" w:cs="Arial"/>
        </w:rPr>
      </w:pPr>
      <w:r>
        <w:t xml:space="preserve">Figure </w:t>
      </w:r>
      <w:r w:rsidR="004063B3">
        <w:fldChar w:fldCharType="begin"/>
      </w:r>
      <w:r w:rsidR="004063B3">
        <w:instrText xml:space="preserve"> SEQ Figure \* ARABIC </w:instrText>
      </w:r>
      <w:r w:rsidR="004063B3">
        <w:fldChar w:fldCharType="separate"/>
      </w:r>
      <w:r>
        <w:rPr>
          <w:noProof/>
        </w:rPr>
        <w:t>8</w:t>
      </w:r>
      <w:r w:rsidR="004063B3">
        <w:rPr>
          <w:noProof/>
        </w:rPr>
        <w:fldChar w:fldCharType="end"/>
      </w:r>
      <w:r>
        <w:t xml:space="preserve"> </w:t>
      </w:r>
      <w:r w:rsidRPr="00FD663C">
        <w:t>BBWP change indication, based on TCI</w:t>
      </w:r>
    </w:p>
    <w:p w:rsidR="00D0698C" w:rsidRPr="003807BA" w:rsidRDefault="00D0698C" w:rsidP="00D0698C">
      <w:pPr>
        <w:pStyle w:val="Titre1"/>
        <w:keepLines/>
        <w:tabs>
          <w:tab w:val="clear" w:pos="432"/>
        </w:tabs>
        <w:autoSpaceDE/>
        <w:autoSpaceDN/>
        <w:adjustRightInd/>
        <w:snapToGrid/>
        <w:spacing w:before="480" w:after="200" w:line="276" w:lineRule="auto"/>
        <w:jc w:val="left"/>
      </w:pPr>
      <w:bookmarkStart w:id="5" w:name="_Ref47452221"/>
      <w:r w:rsidRPr="003807BA">
        <w:t>Conclusion</w:t>
      </w:r>
      <w:bookmarkEnd w:id="5"/>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1</w:t>
      </w:r>
      <w:r w:rsidRPr="00C67EA3">
        <w:rPr>
          <w:rFonts w:ascii="Arial" w:eastAsia="PMingLiU" w:hAnsi="Arial" w:cs="Arial"/>
          <w:b/>
          <w:sz w:val="20"/>
          <w:szCs w:val="20"/>
          <w:lang w:eastAsia="zh-TW"/>
        </w:rPr>
        <w:tab/>
        <w:t>For loaded cells, Frequency Reuse schemes are needed to mitigate the inter-cell/inter-beam interference and improve the overall SINR</w:t>
      </w:r>
    </w:p>
    <w:p w:rsidR="00D0698C"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2</w:t>
      </w:r>
      <w:r w:rsidRPr="00C67EA3">
        <w:rPr>
          <w:rFonts w:ascii="Arial" w:eastAsia="PMingLiU" w:hAnsi="Arial" w:cs="Arial"/>
          <w:b/>
          <w:sz w:val="20"/>
          <w:szCs w:val="20"/>
          <w:lang w:eastAsia="zh-TW"/>
        </w:rPr>
        <w:tab/>
        <w:t>Spatial Frequency reuse schemes reduce significantly the inter-beam Co-channel interference but inherently limiting the per-beam bandwidth and the system capacity</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1</w:t>
      </w:r>
      <w:r w:rsidRPr="00C67EA3">
        <w:rPr>
          <w:rFonts w:ascii="Arial" w:eastAsia="PMingLiU" w:hAnsi="Arial" w:cs="Arial"/>
          <w:b/>
          <w:sz w:val="20"/>
          <w:szCs w:val="20"/>
          <w:lang w:eastAsia="zh-TW"/>
        </w:rPr>
        <w:tab/>
        <w:t>To increase the per-beam bandwidth while ensuring excellent interference isolation between beams, other frequency separation techniques such as polarization re-use scheme should be considered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3</w:t>
      </w:r>
      <w:r w:rsidRPr="00C67EA3">
        <w:rPr>
          <w:rFonts w:ascii="Arial" w:eastAsia="PMingLiU" w:hAnsi="Arial" w:cs="Arial"/>
          <w:b/>
          <w:sz w:val="20"/>
          <w:szCs w:val="20"/>
          <w:lang w:eastAsia="zh-TW"/>
        </w:rPr>
        <w:tab/>
        <w:t>Circular polarization can be used to double the cell capacity</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4</w:t>
      </w:r>
      <w:r w:rsidRPr="00C67EA3">
        <w:rPr>
          <w:rFonts w:ascii="Arial" w:eastAsia="PMingLiU" w:hAnsi="Arial" w:cs="Arial"/>
          <w:b/>
          <w:sz w:val="20"/>
          <w:szCs w:val="20"/>
          <w:lang w:eastAsia="zh-TW"/>
        </w:rPr>
        <w:tab/>
        <w:t>In NTN it might be challenging to implement an optimal and dynamic/fast beamforming towards the users</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lastRenderedPageBreak/>
        <w:t>Observation 5</w:t>
      </w:r>
      <w:r w:rsidRPr="00C67EA3">
        <w:rPr>
          <w:rFonts w:ascii="Arial" w:eastAsia="PMingLiU" w:hAnsi="Arial" w:cs="Arial"/>
          <w:b/>
          <w:sz w:val="20"/>
          <w:szCs w:val="20"/>
          <w:lang w:eastAsia="zh-TW"/>
        </w:rPr>
        <w:tab/>
        <w:t>Option (1) Single NR cell per satellite beam and single NR beam cell can be used as a baseline. With this option NR Beam management operation is not needed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6</w:t>
      </w:r>
      <w:r w:rsidRPr="00C67EA3">
        <w:rPr>
          <w:rFonts w:ascii="Arial" w:eastAsia="PMingLiU" w:hAnsi="Arial" w:cs="Arial"/>
          <w:b/>
          <w:sz w:val="20"/>
          <w:szCs w:val="20"/>
          <w:lang w:eastAsia="zh-TW"/>
        </w:rPr>
        <w:tab/>
        <w:t>The minimum size of NR beam is the satellite beam’s size</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7</w:t>
      </w:r>
      <w:r w:rsidRPr="00C67EA3">
        <w:rPr>
          <w:rFonts w:ascii="Arial" w:eastAsia="PMingLiU" w:hAnsi="Arial" w:cs="Arial"/>
          <w:b/>
          <w:sz w:val="20"/>
          <w:szCs w:val="20"/>
          <w:lang w:eastAsia="zh-TW"/>
        </w:rPr>
        <w:tab/>
        <w:t>Beam management can be beneficial in case of multi-beam moving cell</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8</w:t>
      </w:r>
      <w:r w:rsidRPr="00C67EA3">
        <w:rPr>
          <w:rFonts w:ascii="Arial" w:eastAsia="PMingLiU" w:hAnsi="Arial" w:cs="Arial"/>
          <w:b/>
          <w:sz w:val="20"/>
          <w:szCs w:val="20"/>
          <w:lang w:eastAsia="zh-TW"/>
        </w:rPr>
        <w:tab/>
        <w:t>Deploying multi-beam cell and using beam management will not be applicable to all NTN deployment scenarios</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9</w:t>
      </w:r>
      <w:r w:rsidRPr="00C67EA3">
        <w:rPr>
          <w:rFonts w:ascii="Arial" w:eastAsia="PMingLiU" w:hAnsi="Arial" w:cs="Arial"/>
          <w:b/>
          <w:sz w:val="20"/>
          <w:szCs w:val="20"/>
          <w:lang w:eastAsia="zh-TW"/>
        </w:rPr>
        <w:tab/>
        <w:t>In the proposed solution, an a-priori BBWP planning can be used to allocate the BWP to each beam. Or a dynamic allocation can be performed by the gNB to configure beam-specific BWP based on the traffic distribution between the beams within the cell</w:t>
      </w:r>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3</w:t>
      </w:r>
      <w:r w:rsidRPr="00C67EA3">
        <w:rPr>
          <w:rFonts w:ascii="Arial" w:eastAsia="PMingLiU" w:hAnsi="Arial" w:cs="Arial"/>
          <w:b/>
          <w:sz w:val="20"/>
          <w:szCs w:val="20"/>
          <w:lang w:eastAsia="zh-TW"/>
        </w:rPr>
        <w:tab/>
        <w:t>The new beam-specific BWP (BBWP) concept should be introduced on top of existing UE specific BWP</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4</w:t>
      </w:r>
      <w:r w:rsidRPr="00C67EA3">
        <w:rPr>
          <w:rFonts w:ascii="Arial" w:eastAsia="PMingLiU" w:hAnsi="Arial" w:cs="Arial"/>
          <w:b/>
          <w:sz w:val="20"/>
          <w:szCs w:val="20"/>
          <w:lang w:eastAsia="zh-TW"/>
        </w:rPr>
        <w:tab/>
        <w:t xml:space="preserve">The new beam-specific BWP (BBWP) should reuse Release-15/16 BWP operation procedures with the enhancements provided in this TDOC  </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Observation 10</w:t>
      </w:r>
      <w:r w:rsidRPr="00C67EA3">
        <w:rPr>
          <w:rFonts w:ascii="Arial" w:eastAsia="PMingLiU" w:hAnsi="Arial" w:cs="Arial"/>
          <w:b/>
          <w:sz w:val="20"/>
          <w:szCs w:val="20"/>
          <w:lang w:eastAsia="zh-TW"/>
        </w:rPr>
        <w:tab/>
        <w:t xml:space="preserve">The size of the common Initial-active BWP should be defined carefully to avoid any congestion and blocking within the cell   </w:t>
      </w:r>
    </w:p>
    <w:p w:rsidR="00C67EA3" w:rsidRP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5</w:t>
      </w:r>
      <w:r w:rsidRPr="00C67EA3">
        <w:rPr>
          <w:rFonts w:ascii="Arial" w:eastAsia="PMingLiU" w:hAnsi="Arial" w:cs="Arial"/>
          <w:b/>
          <w:sz w:val="20"/>
          <w:szCs w:val="20"/>
          <w:lang w:eastAsia="zh-TW"/>
        </w:rPr>
        <w:tab/>
        <w:t>Bandwidth part indicator field on DCI should be unchanged</w:t>
      </w:r>
    </w:p>
    <w:p w:rsidR="00C67EA3" w:rsidRDefault="00C67EA3" w:rsidP="00C67EA3">
      <w:pPr>
        <w:ind w:left="2160" w:hanging="2160"/>
        <w:rPr>
          <w:rFonts w:ascii="Arial" w:eastAsia="PMingLiU" w:hAnsi="Arial" w:cs="Arial"/>
          <w:b/>
          <w:sz w:val="20"/>
          <w:szCs w:val="20"/>
          <w:lang w:eastAsia="zh-TW"/>
        </w:rPr>
      </w:pPr>
      <w:r w:rsidRPr="00C67EA3">
        <w:rPr>
          <w:rFonts w:ascii="Arial" w:eastAsia="PMingLiU" w:hAnsi="Arial" w:cs="Arial"/>
          <w:b/>
          <w:sz w:val="20"/>
          <w:szCs w:val="20"/>
          <w:lang w:eastAsia="zh-TW"/>
        </w:rPr>
        <w:t>Proposal 6</w:t>
      </w:r>
      <w:r w:rsidRPr="00C67EA3">
        <w:rPr>
          <w:rFonts w:ascii="Arial" w:eastAsia="PMingLiU" w:hAnsi="Arial" w:cs="Arial"/>
          <w:b/>
          <w:sz w:val="20"/>
          <w:szCs w:val="20"/>
          <w:lang w:eastAsia="zh-TW"/>
        </w:rPr>
        <w:tab/>
        <w:t>MAC CE transmission configuration indication (MAC CE TCI) can be used to indicate and update serving beam and implicitly the BBWP</w:t>
      </w:r>
    </w:p>
    <w:p w:rsidR="00C67EA3" w:rsidRPr="0041458F" w:rsidRDefault="00C67EA3" w:rsidP="00C67EA3">
      <w:pPr>
        <w:ind w:left="2160" w:hanging="2160"/>
        <w:rPr>
          <w:rFonts w:ascii="Arial" w:eastAsia="PMingLiU" w:hAnsi="Arial" w:cs="Arial"/>
          <w:b/>
          <w:sz w:val="20"/>
          <w:szCs w:val="20"/>
          <w:lang w:eastAsia="zh-TW"/>
        </w:rPr>
      </w:pPr>
    </w:p>
    <w:sdt>
      <w:sdtPr>
        <w:rPr>
          <w:rFonts w:ascii="Arial" w:eastAsiaTheme="minorHAnsi" w:hAnsi="Arial" w:cs="Arial"/>
          <w:b w:val="0"/>
          <w:bCs w:val="0"/>
          <w:sz w:val="20"/>
          <w:szCs w:val="20"/>
        </w:rPr>
        <w:id w:val="-1483234519"/>
        <w:docPartObj>
          <w:docPartGallery w:val="Bibliographies"/>
          <w:docPartUnique/>
        </w:docPartObj>
      </w:sdtPr>
      <w:sdtEndPr>
        <w:rPr>
          <w:rFonts w:eastAsiaTheme="minorEastAsia"/>
          <w:b/>
          <w:bCs/>
        </w:rPr>
      </w:sdtEndPr>
      <w:sdtContent>
        <w:sdt>
          <w:sdtPr>
            <w:rPr>
              <w:rFonts w:ascii="Arial" w:eastAsiaTheme="minorHAnsi" w:hAnsi="Arial" w:cs="Arial"/>
              <w:b w:val="0"/>
              <w:bCs w:val="0"/>
              <w:sz w:val="20"/>
              <w:szCs w:val="20"/>
            </w:rPr>
            <w:id w:val="1318463867"/>
            <w:docPartObj>
              <w:docPartGallery w:val="Bibliographies"/>
              <w:docPartUnique/>
            </w:docPartObj>
          </w:sdtPr>
          <w:sdtEndPr>
            <w:rPr>
              <w:rFonts w:eastAsiaTheme="minorEastAsia"/>
            </w:rPr>
          </w:sdtEndPr>
          <w:sdtContent>
            <w:p w:rsidR="00AD28A8" w:rsidRPr="00D533E6" w:rsidRDefault="00AD28A8" w:rsidP="00AD28A8">
              <w:pPr>
                <w:pStyle w:val="Titre1"/>
                <w:numPr>
                  <w:ilvl w:val="0"/>
                  <w:numId w:val="0"/>
                </w:numPr>
                <w:pBdr>
                  <w:top w:val="single" w:sz="12" w:space="3" w:color="auto"/>
                </w:pBdr>
                <w:spacing w:before="360" w:after="180"/>
                <w:rPr>
                  <w:rFonts w:ascii="Arial" w:hAnsi="Arial" w:cs="Arial"/>
                </w:rPr>
              </w:pPr>
              <w:r w:rsidRPr="00D533E6">
                <w:rPr>
                  <w:rFonts w:ascii="Arial" w:hAnsi="Arial" w:cs="Arial"/>
                </w:rPr>
                <w:t>Reference</w:t>
              </w:r>
            </w:p>
            <w:sdt>
              <w:sdtPr>
                <w:rPr>
                  <w:rFonts w:ascii="Arial" w:hAnsi="Arial" w:cs="Arial"/>
                  <w:sz w:val="20"/>
                  <w:szCs w:val="20"/>
                </w:rPr>
                <w:id w:val="-573587230"/>
                <w:bibliography/>
              </w:sdtPr>
              <w:sdtEndPr/>
              <w:sdtContent>
                <w:p w:rsidR="00AD28A8" w:rsidRPr="00D533E6" w:rsidRDefault="00AD28A8" w:rsidP="00AD28A8">
                  <w:pPr>
                    <w:rPr>
                      <w:rFonts w:ascii="Arial" w:eastAsia="Times New Roman" w:hAnsi="Arial" w:cs="Arial"/>
                      <w:noProof/>
                      <w:sz w:val="20"/>
                      <w:szCs w:val="20"/>
                      <w:lang w:val="en-GB" w:eastAsia="en-GB"/>
                    </w:rPr>
                  </w:pPr>
                  <w:r w:rsidRPr="00D533E6">
                    <w:rPr>
                      <w:rFonts w:ascii="Arial" w:hAnsi="Arial" w:cs="Arial"/>
                      <w:sz w:val="20"/>
                      <w:szCs w:val="20"/>
                    </w:rPr>
                    <w:fldChar w:fldCharType="begin"/>
                  </w:r>
                  <w:r w:rsidRPr="00D533E6">
                    <w:rPr>
                      <w:rFonts w:ascii="Arial" w:hAnsi="Arial" w:cs="Arial"/>
                      <w:sz w:val="20"/>
                      <w:szCs w:val="20"/>
                    </w:rPr>
                    <w:instrText xml:space="preserve"> BIBLIOGRAPHY </w:instrText>
                  </w:r>
                  <w:r w:rsidRPr="00D533E6">
                    <w:rPr>
                      <w:rFonts w:ascii="Arial" w:hAnsi="Arial" w:cs="Arial"/>
                      <w:sz w:val="20"/>
                      <w:szCs w:val="20"/>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39"/>
                    <w:gridCol w:w="8722"/>
                  </w:tblGrid>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[1] </w:t>
                        </w:r>
                      </w:p>
                    </w:tc>
                    <w:tc>
                      <w:tcPr>
                        <w:tcW w:w="0" w:type="auto"/>
                        <w:hideMark/>
                      </w:tcPr>
                      <w:p w:rsidR="00AD28A8" w:rsidRPr="00D533E6" w:rsidRDefault="00AD28A8" w:rsidP="0017008D">
                        <w:pPr>
                          <w:pStyle w:val="Bibliographie"/>
                          <w:rPr>
                            <w:rFonts w:ascii="Arial" w:hAnsi="Arial" w:cs="Arial"/>
                            <w:noProof/>
                            <w:sz w:val="20"/>
                          </w:rPr>
                        </w:pPr>
                        <w:r w:rsidRPr="00D533E6">
                          <w:rPr>
                            <w:rFonts w:ascii="Arial" w:hAnsi="Arial" w:cs="Arial"/>
                            <w:noProof/>
                            <w:sz w:val="20"/>
                          </w:rPr>
                          <w:t xml:space="preserve">Thales, RP-193234, “Solutions for NR to support non-terrestrial networks (NTN)”, Sitges, Spain, 3GPP TSG RAN meeting #86.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[2] </w:t>
                        </w:r>
                      </w:p>
                    </w:tc>
                    <w:tc>
                      <w:tcPr>
                        <w:tcW w:w="0" w:type="auto"/>
                        <w:hideMark/>
                      </w:tcPr>
                      <w:p w:rsidR="00AD28A8" w:rsidRPr="00D533E6" w:rsidRDefault="00AD28A8" w:rsidP="0017008D">
                        <w:pPr>
                          <w:pStyle w:val="Bibliographie"/>
                          <w:rPr>
                            <w:rFonts w:ascii="Arial" w:hAnsi="Arial" w:cs="Arial"/>
                            <w:noProof/>
                            <w:sz w:val="20"/>
                          </w:rPr>
                        </w:pPr>
                        <w:r w:rsidRPr="00D533E6">
                          <w:rPr>
                            <w:rFonts w:ascii="Arial" w:hAnsi="Arial" w:cs="Arial"/>
                            <w:noProof/>
                            <w:sz w:val="20"/>
                          </w:rPr>
                          <w:t xml:space="preserve">3GPP, TR 38.821 Solutions for NR to support non-terrestrial networks (NTN), Release 16.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[3] </w:t>
                        </w:r>
                      </w:p>
                    </w:tc>
                    <w:tc>
                      <w:tcPr>
                        <w:tcW w:w="0" w:type="auto"/>
                        <w:hideMark/>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3GPP, TS 38.214 Physical layer procedures for data.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[4] </w:t>
                        </w:r>
                      </w:p>
                    </w:tc>
                    <w:tc>
                      <w:tcPr>
                        <w:tcW w:w="0" w:type="auto"/>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3GPP, TS 38.133 Requirements for support of radio resource management (Release 16).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[5] </w:t>
                        </w:r>
                      </w:p>
                    </w:tc>
                    <w:tc>
                      <w:tcPr>
                        <w:tcW w:w="0" w:type="auto"/>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3GPP, TS 38.331, Radio Resource Control (RRC); Protocol specification.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[6] </w:t>
                        </w:r>
                      </w:p>
                    </w:tc>
                    <w:tc>
                      <w:tcPr>
                        <w:tcW w:w="0" w:type="auto"/>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N. R. GmbH, R1-20xxxxx Study Cases for System-Level Simulations in NTN WI.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[7] </w:t>
                        </w:r>
                      </w:p>
                    </w:tc>
                    <w:tc>
                      <w:tcPr>
                        <w:tcW w:w="0" w:type="auto"/>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3GPP, TS 38.211 Physical channels and modulation. </w:t>
                        </w:r>
                      </w:p>
                    </w:tc>
                  </w:tr>
                  <w:tr w:rsidR="00AD28A8" w:rsidRPr="00D533E6" w:rsidTr="00AD28A8">
                    <w:trPr>
                      <w:tblCellSpacing w:w="15" w:type="dxa"/>
                    </w:trPr>
                    <w:tc>
                      <w:tcPr>
                        <w:tcW w:w="217" w:type="pct"/>
                        <w:hideMark/>
                      </w:tcPr>
                      <w:p w:rsidR="00AD28A8" w:rsidRPr="00D533E6" w:rsidRDefault="00AD28A8" w:rsidP="0017008D">
                        <w:pPr>
                          <w:pStyle w:val="Bibliographie"/>
                          <w:rPr>
                            <w:rFonts w:ascii="Arial" w:hAnsi="Arial" w:cs="Arial"/>
                            <w:noProof/>
                          </w:rPr>
                        </w:pPr>
                        <w:r w:rsidRPr="00D533E6">
                          <w:rPr>
                            <w:rFonts w:ascii="Arial" w:hAnsi="Arial" w:cs="Arial"/>
                            <w:noProof/>
                          </w:rPr>
                          <w:t xml:space="preserve">[8] </w:t>
                        </w:r>
                      </w:p>
                    </w:tc>
                    <w:tc>
                      <w:tcPr>
                        <w:tcW w:w="0" w:type="auto"/>
                      </w:tcPr>
                      <w:p w:rsidR="00AD28A8" w:rsidRPr="00D533E6" w:rsidRDefault="00AD28A8" w:rsidP="0097083F">
                        <w:pPr>
                          <w:pStyle w:val="Bibliographie"/>
                          <w:rPr>
                            <w:rFonts w:ascii="Arial" w:hAnsi="Arial" w:cs="Arial"/>
                            <w:noProof/>
                            <w:sz w:val="20"/>
                          </w:rPr>
                        </w:pPr>
                        <w:r w:rsidRPr="00D533E6">
                          <w:rPr>
                            <w:rFonts w:ascii="Arial" w:hAnsi="Arial" w:cs="Arial"/>
                            <w:noProof/>
                            <w:sz w:val="20"/>
                          </w:rPr>
                          <w:t xml:space="preserve">Thales, R1-2006676 - NR NTN Reference scenarios definition for Rel-17 normative phase. </w:t>
                        </w:r>
                      </w:p>
                    </w:tc>
                  </w:tr>
                </w:tbl>
                <w:p w:rsidR="00AD28A8" w:rsidRPr="00D533E6" w:rsidRDefault="00AD28A8" w:rsidP="00AD28A8">
                  <w:pPr>
                    <w:rPr>
                      <w:rFonts w:ascii="Arial" w:eastAsia="Times New Roman" w:hAnsi="Arial" w:cs="Arial"/>
                      <w:noProof/>
                    </w:rPr>
                  </w:pPr>
                </w:p>
                <w:p w:rsidR="00AD28A8" w:rsidRDefault="00AD28A8" w:rsidP="00AD28A8">
                  <w:pPr>
                    <w:rPr>
                      <w:rFonts w:ascii="Arial" w:hAnsi="Arial" w:cs="Arial"/>
                      <w:sz w:val="20"/>
                      <w:szCs w:val="20"/>
                    </w:rPr>
                  </w:pPr>
                  <w:r w:rsidRPr="00D533E6">
                    <w:rPr>
                      <w:rFonts w:ascii="Arial" w:hAnsi="Arial" w:cs="Arial"/>
                      <w:b/>
                      <w:bCs/>
                      <w:noProof/>
                      <w:sz w:val="20"/>
                      <w:szCs w:val="20"/>
                    </w:rPr>
                    <w:fldChar w:fldCharType="end"/>
                  </w:r>
                </w:p>
              </w:sdtContent>
            </w:sdt>
          </w:sdtContent>
        </w:sdt>
        <w:p w:rsidR="00591026" w:rsidRDefault="002D22A7" w:rsidP="00AD28A8">
          <w:pPr>
            <w:pStyle w:val="Titre1"/>
            <w:numPr>
              <w:ilvl w:val="0"/>
              <w:numId w:val="0"/>
            </w:numPr>
            <w:pBdr>
              <w:top w:val="single" w:sz="12" w:space="3" w:color="auto"/>
            </w:pBdr>
            <w:spacing w:before="360" w:after="180"/>
          </w:pPr>
        </w:p>
      </w:sdtContent>
    </w:sdt>
    <w:sectPr w:rsidR="00591026"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2A7" w:rsidRDefault="002D22A7">
      <w:r>
        <w:separator/>
      </w:r>
    </w:p>
  </w:endnote>
  <w:endnote w:type="continuationSeparator" w:id="0">
    <w:p w:rsidR="002D22A7" w:rsidRDefault="002D2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2A7" w:rsidRDefault="002D22A7">
      <w:r>
        <w:separator/>
      </w:r>
    </w:p>
  </w:footnote>
  <w:footnote w:type="continuationSeparator" w:id="0">
    <w:p w:rsidR="002D22A7" w:rsidRDefault="002D2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25D1"/>
    <w:multiLevelType w:val="multilevel"/>
    <w:tmpl w:val="0526E728"/>
    <w:lvl w:ilvl="0">
      <w:start w:val="1"/>
      <w:numFmt w:val="decimal"/>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CAC55E5"/>
    <w:multiLevelType w:val="hybridMultilevel"/>
    <w:tmpl w:val="C2D85C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FA4B43"/>
    <w:multiLevelType w:val="hybridMultilevel"/>
    <w:tmpl w:val="CC36BE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AFC354C"/>
    <w:multiLevelType w:val="hybridMultilevel"/>
    <w:tmpl w:val="C314480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1">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01EC2A7C"/>
    <w:lvl w:ilvl="0" w:tplc="2ECCC9E2">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9C2CE0"/>
    <w:multiLevelType w:val="multilevel"/>
    <w:tmpl w:val="462803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047AE8"/>
    <w:multiLevelType w:val="hybridMultilevel"/>
    <w:tmpl w:val="91D06208"/>
    <w:lvl w:ilvl="0" w:tplc="7BB2FDEA">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D324C766"/>
    <w:lvl w:ilvl="0" w:tplc="2D7E93DC">
      <w:start w:val="1"/>
      <w:numFmt w:val="decimal"/>
      <w:lvlText w:val="Observation %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7546D9C"/>
    <w:multiLevelType w:val="hybridMultilevel"/>
    <w:tmpl w:val="5CD4C506"/>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34569F"/>
    <w:multiLevelType w:val="hybridMultilevel"/>
    <w:tmpl w:val="1E58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B48C5"/>
    <w:multiLevelType w:val="hybridMultilevel"/>
    <w:tmpl w:val="5F629286"/>
    <w:lvl w:ilvl="0" w:tplc="1E0283F2">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6F43BE"/>
    <w:multiLevelType w:val="hybridMultilevel"/>
    <w:tmpl w:val="169CC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34"/>
  </w:num>
  <w:num w:numId="4">
    <w:abstractNumId w:val="1"/>
  </w:num>
  <w:num w:numId="5">
    <w:abstractNumId w:val="24"/>
  </w:num>
  <w:num w:numId="6">
    <w:abstractNumId w:val="21"/>
  </w:num>
  <w:num w:numId="7">
    <w:abstractNumId w:val="31"/>
  </w:num>
  <w:num w:numId="8">
    <w:abstractNumId w:val="26"/>
  </w:num>
  <w:num w:numId="9">
    <w:abstractNumId w:val="4"/>
  </w:num>
  <w:num w:numId="10">
    <w:abstractNumId w:val="15"/>
  </w:num>
  <w:num w:numId="11">
    <w:abstractNumId w:val="25"/>
  </w:num>
  <w:num w:numId="12">
    <w:abstractNumId w:val="5"/>
  </w:num>
  <w:num w:numId="13">
    <w:abstractNumId w:val="20"/>
  </w:num>
  <w:num w:numId="14">
    <w:abstractNumId w:val="28"/>
  </w:num>
  <w:num w:numId="15">
    <w:abstractNumId w:val="30"/>
  </w:num>
  <w:num w:numId="16">
    <w:abstractNumId w:val="19"/>
  </w:num>
  <w:num w:numId="17">
    <w:abstractNumId w:val="8"/>
  </w:num>
  <w:num w:numId="18">
    <w:abstractNumId w:val="9"/>
  </w:num>
  <w:num w:numId="19">
    <w:abstractNumId w:val="11"/>
  </w:num>
  <w:num w:numId="20">
    <w:abstractNumId w:val="27"/>
  </w:num>
  <w:num w:numId="21">
    <w:abstractNumId w:val="32"/>
  </w:num>
  <w:num w:numId="22">
    <w:abstractNumId w:val="23"/>
  </w:num>
  <w:num w:numId="23">
    <w:abstractNumId w:val="35"/>
  </w:num>
  <w:num w:numId="24">
    <w:abstractNumId w:val="29"/>
  </w:num>
  <w:num w:numId="25">
    <w:abstractNumId w:val="17"/>
  </w:num>
  <w:num w:numId="26">
    <w:abstractNumId w:val="13"/>
  </w:num>
  <w:num w:numId="27">
    <w:abstractNumId w:val="22"/>
  </w:num>
  <w:num w:numId="28">
    <w:abstractNumId w:val="2"/>
  </w:num>
  <w:num w:numId="29">
    <w:abstractNumId w:val="16"/>
  </w:num>
  <w:num w:numId="30">
    <w:abstractNumId w:val="6"/>
  </w:num>
  <w:num w:numId="31">
    <w:abstractNumId w:val="7"/>
  </w:num>
  <w:num w:numId="32">
    <w:abstractNumId w:val="3"/>
  </w:num>
  <w:num w:numId="33">
    <w:abstractNumId w:val="33"/>
  </w:num>
  <w:num w:numId="34">
    <w:abstractNumId w:val="14"/>
  </w:num>
  <w:num w:numId="35">
    <w:abstractNumId w:val="0"/>
  </w:num>
  <w:num w:numId="3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16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4B6D"/>
    <w:rsid w:val="000158ED"/>
    <w:rsid w:val="00015EFB"/>
    <w:rsid w:val="000160AE"/>
    <w:rsid w:val="000165E2"/>
    <w:rsid w:val="00016868"/>
    <w:rsid w:val="0001692C"/>
    <w:rsid w:val="00016BA3"/>
    <w:rsid w:val="00016E3E"/>
    <w:rsid w:val="000172BE"/>
    <w:rsid w:val="00017476"/>
    <w:rsid w:val="00017681"/>
    <w:rsid w:val="00017CDF"/>
    <w:rsid w:val="00017D8A"/>
    <w:rsid w:val="0002003C"/>
    <w:rsid w:val="000201E9"/>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576"/>
    <w:rsid w:val="00023683"/>
    <w:rsid w:val="000241BE"/>
    <w:rsid w:val="000242F2"/>
    <w:rsid w:val="00024958"/>
    <w:rsid w:val="00025115"/>
    <w:rsid w:val="000268FF"/>
    <w:rsid w:val="00026932"/>
    <w:rsid w:val="00026D4B"/>
    <w:rsid w:val="000272FF"/>
    <w:rsid w:val="000274ED"/>
    <w:rsid w:val="000274F8"/>
    <w:rsid w:val="000275C6"/>
    <w:rsid w:val="00027923"/>
    <w:rsid w:val="00027AD6"/>
    <w:rsid w:val="00027D09"/>
    <w:rsid w:val="00027DBF"/>
    <w:rsid w:val="0003024C"/>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51A"/>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1EF2"/>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6778"/>
    <w:rsid w:val="000772F4"/>
    <w:rsid w:val="000776EB"/>
    <w:rsid w:val="000777B2"/>
    <w:rsid w:val="00080BB5"/>
    <w:rsid w:val="00081127"/>
    <w:rsid w:val="000823B0"/>
    <w:rsid w:val="0008335B"/>
    <w:rsid w:val="00083379"/>
    <w:rsid w:val="00083587"/>
    <w:rsid w:val="00083622"/>
    <w:rsid w:val="0008374F"/>
    <w:rsid w:val="00083838"/>
    <w:rsid w:val="00083B57"/>
    <w:rsid w:val="00083B6A"/>
    <w:rsid w:val="00083FF2"/>
    <w:rsid w:val="000841E7"/>
    <w:rsid w:val="000849FC"/>
    <w:rsid w:val="00084F87"/>
    <w:rsid w:val="000851E9"/>
    <w:rsid w:val="000856B9"/>
    <w:rsid w:val="00085995"/>
    <w:rsid w:val="00085DBE"/>
    <w:rsid w:val="00085E04"/>
    <w:rsid w:val="00086339"/>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5F"/>
    <w:rsid w:val="000A70DC"/>
    <w:rsid w:val="000A7888"/>
    <w:rsid w:val="000A79C5"/>
    <w:rsid w:val="000A7B38"/>
    <w:rsid w:val="000A7F10"/>
    <w:rsid w:val="000A7F5B"/>
    <w:rsid w:val="000B018F"/>
    <w:rsid w:val="000B0343"/>
    <w:rsid w:val="000B112F"/>
    <w:rsid w:val="000B208C"/>
    <w:rsid w:val="000B27C5"/>
    <w:rsid w:val="000B28F2"/>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25F"/>
    <w:rsid w:val="000B560A"/>
    <w:rsid w:val="000B5905"/>
    <w:rsid w:val="000B5975"/>
    <w:rsid w:val="000B5F1D"/>
    <w:rsid w:val="000B6E2C"/>
    <w:rsid w:val="000B734C"/>
    <w:rsid w:val="000B7399"/>
    <w:rsid w:val="000B76C5"/>
    <w:rsid w:val="000B7A10"/>
    <w:rsid w:val="000B7C48"/>
    <w:rsid w:val="000B7DAA"/>
    <w:rsid w:val="000C05A5"/>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0AE"/>
    <w:rsid w:val="000C3B0C"/>
    <w:rsid w:val="000C422D"/>
    <w:rsid w:val="000C4436"/>
    <w:rsid w:val="000C4730"/>
    <w:rsid w:val="000C4BC0"/>
    <w:rsid w:val="000C4CEF"/>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F0D"/>
    <w:rsid w:val="000E3FF5"/>
    <w:rsid w:val="000E4791"/>
    <w:rsid w:val="000E4984"/>
    <w:rsid w:val="000E4F23"/>
    <w:rsid w:val="000E50A7"/>
    <w:rsid w:val="000E50F5"/>
    <w:rsid w:val="000E565C"/>
    <w:rsid w:val="000E59A0"/>
    <w:rsid w:val="000E5DFA"/>
    <w:rsid w:val="000E67E9"/>
    <w:rsid w:val="000E71AA"/>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F58"/>
    <w:rsid w:val="00100128"/>
    <w:rsid w:val="001002A7"/>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435"/>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979"/>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389"/>
    <w:rsid w:val="001434E2"/>
    <w:rsid w:val="0014384A"/>
    <w:rsid w:val="0014426C"/>
    <w:rsid w:val="0014450F"/>
    <w:rsid w:val="001445E2"/>
    <w:rsid w:val="0014496A"/>
    <w:rsid w:val="00144D8F"/>
    <w:rsid w:val="00145391"/>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5E6D"/>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3DFF"/>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6EC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87EA6"/>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64D"/>
    <w:rsid w:val="001957BF"/>
    <w:rsid w:val="001958EA"/>
    <w:rsid w:val="00195977"/>
    <w:rsid w:val="00195CAC"/>
    <w:rsid w:val="00195E0E"/>
    <w:rsid w:val="001961CC"/>
    <w:rsid w:val="00196633"/>
    <w:rsid w:val="0019714E"/>
    <w:rsid w:val="00197320"/>
    <w:rsid w:val="00197E31"/>
    <w:rsid w:val="001A0C20"/>
    <w:rsid w:val="001A0D0F"/>
    <w:rsid w:val="001A0E39"/>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15E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EC5"/>
    <w:rsid w:val="001D2FFA"/>
    <w:rsid w:val="001D3109"/>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161"/>
    <w:rsid w:val="00210860"/>
    <w:rsid w:val="00210B6A"/>
    <w:rsid w:val="00210E44"/>
    <w:rsid w:val="002111C2"/>
    <w:rsid w:val="002118BA"/>
    <w:rsid w:val="00211CD1"/>
    <w:rsid w:val="00211F48"/>
    <w:rsid w:val="00212109"/>
    <w:rsid w:val="00212648"/>
    <w:rsid w:val="002127A0"/>
    <w:rsid w:val="002129F7"/>
    <w:rsid w:val="00212B0A"/>
    <w:rsid w:val="00212CB6"/>
    <w:rsid w:val="00212E37"/>
    <w:rsid w:val="00212F20"/>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3D4"/>
    <w:rsid w:val="00253588"/>
    <w:rsid w:val="00253823"/>
    <w:rsid w:val="00253881"/>
    <w:rsid w:val="00253FC4"/>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202"/>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CE4"/>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1742"/>
    <w:rsid w:val="002B1A69"/>
    <w:rsid w:val="002B1B71"/>
    <w:rsid w:val="002B202C"/>
    <w:rsid w:val="002B20B3"/>
    <w:rsid w:val="002B222B"/>
    <w:rsid w:val="002B2723"/>
    <w:rsid w:val="002B280E"/>
    <w:rsid w:val="002B283A"/>
    <w:rsid w:val="002B303A"/>
    <w:rsid w:val="002B3050"/>
    <w:rsid w:val="002B3321"/>
    <w:rsid w:val="002B33CB"/>
    <w:rsid w:val="002B348C"/>
    <w:rsid w:val="002B34E1"/>
    <w:rsid w:val="002B36A5"/>
    <w:rsid w:val="002B3713"/>
    <w:rsid w:val="002B3A82"/>
    <w:rsid w:val="002B4266"/>
    <w:rsid w:val="002B45F8"/>
    <w:rsid w:val="002B4AD2"/>
    <w:rsid w:val="002B538E"/>
    <w:rsid w:val="002B595A"/>
    <w:rsid w:val="002B5DCA"/>
    <w:rsid w:val="002B63CF"/>
    <w:rsid w:val="002B6565"/>
    <w:rsid w:val="002B6BDC"/>
    <w:rsid w:val="002B717B"/>
    <w:rsid w:val="002B71F1"/>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749"/>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236"/>
    <w:rsid w:val="002D22A7"/>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6EF7"/>
    <w:rsid w:val="002F7282"/>
    <w:rsid w:val="002F79A6"/>
    <w:rsid w:val="002F7BE3"/>
    <w:rsid w:val="002F7E6A"/>
    <w:rsid w:val="002F7EEA"/>
    <w:rsid w:val="002F7EF1"/>
    <w:rsid w:val="00300165"/>
    <w:rsid w:val="003009E7"/>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B2C"/>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97F"/>
    <w:rsid w:val="00346EED"/>
    <w:rsid w:val="00346F7F"/>
    <w:rsid w:val="00347293"/>
    <w:rsid w:val="00347558"/>
    <w:rsid w:val="003476F6"/>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0D7"/>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29A"/>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1804"/>
    <w:rsid w:val="003822C7"/>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BA9"/>
    <w:rsid w:val="00386ED1"/>
    <w:rsid w:val="00386EF1"/>
    <w:rsid w:val="0038780B"/>
    <w:rsid w:val="00387AC1"/>
    <w:rsid w:val="00390017"/>
    <w:rsid w:val="00390155"/>
    <w:rsid w:val="003901A3"/>
    <w:rsid w:val="00390271"/>
    <w:rsid w:val="0039072F"/>
    <w:rsid w:val="00390F31"/>
    <w:rsid w:val="00390F5F"/>
    <w:rsid w:val="0039106D"/>
    <w:rsid w:val="00391162"/>
    <w:rsid w:val="00391B88"/>
    <w:rsid w:val="0039230E"/>
    <w:rsid w:val="00392693"/>
    <w:rsid w:val="00392ADB"/>
    <w:rsid w:val="00392EA4"/>
    <w:rsid w:val="003938A6"/>
    <w:rsid w:val="00393CDE"/>
    <w:rsid w:val="003940CE"/>
    <w:rsid w:val="003942FE"/>
    <w:rsid w:val="0039557D"/>
    <w:rsid w:val="00395914"/>
    <w:rsid w:val="003961B4"/>
    <w:rsid w:val="00396949"/>
    <w:rsid w:val="00396AE0"/>
    <w:rsid w:val="00396C65"/>
    <w:rsid w:val="003971B8"/>
    <w:rsid w:val="0039747A"/>
    <w:rsid w:val="00397A6B"/>
    <w:rsid w:val="00397C1D"/>
    <w:rsid w:val="003A000A"/>
    <w:rsid w:val="003A001F"/>
    <w:rsid w:val="003A0421"/>
    <w:rsid w:val="003A09C0"/>
    <w:rsid w:val="003A0D95"/>
    <w:rsid w:val="003A180F"/>
    <w:rsid w:val="003A18DD"/>
    <w:rsid w:val="003A20C8"/>
    <w:rsid w:val="003A20D8"/>
    <w:rsid w:val="003A24AE"/>
    <w:rsid w:val="003A2B03"/>
    <w:rsid w:val="003A2C29"/>
    <w:rsid w:val="003A2DEB"/>
    <w:rsid w:val="003A2E82"/>
    <w:rsid w:val="003A2EC3"/>
    <w:rsid w:val="003A351A"/>
    <w:rsid w:val="003A36F2"/>
    <w:rsid w:val="003A3812"/>
    <w:rsid w:val="003A3BC7"/>
    <w:rsid w:val="003A3C88"/>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2E18"/>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E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D7CA8"/>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93F"/>
    <w:rsid w:val="003E3F0C"/>
    <w:rsid w:val="003E4858"/>
    <w:rsid w:val="003E4A5E"/>
    <w:rsid w:val="003E4C14"/>
    <w:rsid w:val="003E5118"/>
    <w:rsid w:val="003E5434"/>
    <w:rsid w:val="003E6061"/>
    <w:rsid w:val="003E6316"/>
    <w:rsid w:val="003E66AE"/>
    <w:rsid w:val="003E6884"/>
    <w:rsid w:val="003E6AC5"/>
    <w:rsid w:val="003E6B3E"/>
    <w:rsid w:val="003E6E87"/>
    <w:rsid w:val="003E6EBA"/>
    <w:rsid w:val="003E719C"/>
    <w:rsid w:val="003E7614"/>
    <w:rsid w:val="003E778C"/>
    <w:rsid w:val="003E78D6"/>
    <w:rsid w:val="003E7AF2"/>
    <w:rsid w:val="003E7D9B"/>
    <w:rsid w:val="003E7F04"/>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5A5"/>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3B3"/>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80"/>
    <w:rsid w:val="00437818"/>
    <w:rsid w:val="0043797D"/>
    <w:rsid w:val="0044014D"/>
    <w:rsid w:val="0044030E"/>
    <w:rsid w:val="0044143D"/>
    <w:rsid w:val="004416ED"/>
    <w:rsid w:val="00441A0D"/>
    <w:rsid w:val="00441BE9"/>
    <w:rsid w:val="00442181"/>
    <w:rsid w:val="004421C9"/>
    <w:rsid w:val="004426E6"/>
    <w:rsid w:val="0044282A"/>
    <w:rsid w:val="00442A0A"/>
    <w:rsid w:val="00442E5D"/>
    <w:rsid w:val="00442F2B"/>
    <w:rsid w:val="00443C85"/>
    <w:rsid w:val="004447AD"/>
    <w:rsid w:val="004449AA"/>
    <w:rsid w:val="00444C38"/>
    <w:rsid w:val="00444F21"/>
    <w:rsid w:val="00445702"/>
    <w:rsid w:val="00445F7D"/>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4F4C"/>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2CE"/>
    <w:rsid w:val="004A0367"/>
    <w:rsid w:val="004A0590"/>
    <w:rsid w:val="004A09A1"/>
    <w:rsid w:val="004A0D37"/>
    <w:rsid w:val="004A0F39"/>
    <w:rsid w:val="004A1107"/>
    <w:rsid w:val="004A223D"/>
    <w:rsid w:val="004A251F"/>
    <w:rsid w:val="004A3292"/>
    <w:rsid w:val="004A32E2"/>
    <w:rsid w:val="004A34B9"/>
    <w:rsid w:val="004A3BF1"/>
    <w:rsid w:val="004A3C7D"/>
    <w:rsid w:val="004A3D1E"/>
    <w:rsid w:val="004A3E42"/>
    <w:rsid w:val="004A4307"/>
    <w:rsid w:val="004A44FB"/>
    <w:rsid w:val="004A4715"/>
    <w:rsid w:val="004A4778"/>
    <w:rsid w:val="004A4C7D"/>
    <w:rsid w:val="004A5046"/>
    <w:rsid w:val="004A557F"/>
    <w:rsid w:val="004A565E"/>
    <w:rsid w:val="004A5DF3"/>
    <w:rsid w:val="004A6134"/>
    <w:rsid w:val="004A62E8"/>
    <w:rsid w:val="004A6522"/>
    <w:rsid w:val="004A6548"/>
    <w:rsid w:val="004A669F"/>
    <w:rsid w:val="004A6F46"/>
    <w:rsid w:val="004A7092"/>
    <w:rsid w:val="004B05D1"/>
    <w:rsid w:val="004B08AA"/>
    <w:rsid w:val="004B0B03"/>
    <w:rsid w:val="004B0E08"/>
    <w:rsid w:val="004B0E6F"/>
    <w:rsid w:val="004B1040"/>
    <w:rsid w:val="004B111A"/>
    <w:rsid w:val="004B13F0"/>
    <w:rsid w:val="004B182A"/>
    <w:rsid w:val="004B187B"/>
    <w:rsid w:val="004B1B11"/>
    <w:rsid w:val="004B22BC"/>
    <w:rsid w:val="004B267F"/>
    <w:rsid w:val="004B2781"/>
    <w:rsid w:val="004B27B5"/>
    <w:rsid w:val="004B287C"/>
    <w:rsid w:val="004B2EBA"/>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1840"/>
    <w:rsid w:val="004C19A3"/>
    <w:rsid w:val="004C24C9"/>
    <w:rsid w:val="004C2ADA"/>
    <w:rsid w:val="004C2EDA"/>
    <w:rsid w:val="004C31B6"/>
    <w:rsid w:val="004C32D7"/>
    <w:rsid w:val="004C402D"/>
    <w:rsid w:val="004C407E"/>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29B"/>
    <w:rsid w:val="004D0418"/>
    <w:rsid w:val="004D0893"/>
    <w:rsid w:val="004D08AF"/>
    <w:rsid w:val="004D0DFE"/>
    <w:rsid w:val="004D1371"/>
    <w:rsid w:val="004D1B17"/>
    <w:rsid w:val="004D1BDC"/>
    <w:rsid w:val="004D1D91"/>
    <w:rsid w:val="004D22C3"/>
    <w:rsid w:val="004D22F9"/>
    <w:rsid w:val="004D3A8F"/>
    <w:rsid w:val="004D3BB4"/>
    <w:rsid w:val="004D3C9B"/>
    <w:rsid w:val="004D4002"/>
    <w:rsid w:val="004D419A"/>
    <w:rsid w:val="004D446D"/>
    <w:rsid w:val="004D4DAC"/>
    <w:rsid w:val="004D4EE4"/>
    <w:rsid w:val="004D4EF0"/>
    <w:rsid w:val="004D5532"/>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5DFE"/>
    <w:rsid w:val="004F6264"/>
    <w:rsid w:val="004F6368"/>
    <w:rsid w:val="004F64BB"/>
    <w:rsid w:val="004F66EC"/>
    <w:rsid w:val="004F6946"/>
    <w:rsid w:val="004F6CBD"/>
    <w:rsid w:val="004F7528"/>
    <w:rsid w:val="004F78C6"/>
    <w:rsid w:val="004F7BCA"/>
    <w:rsid w:val="004F7D89"/>
    <w:rsid w:val="005008F8"/>
    <w:rsid w:val="00500EC4"/>
    <w:rsid w:val="00500F1A"/>
    <w:rsid w:val="005013A2"/>
    <w:rsid w:val="00501814"/>
    <w:rsid w:val="00501981"/>
    <w:rsid w:val="00501A85"/>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C0A"/>
    <w:rsid w:val="00521010"/>
    <w:rsid w:val="00521043"/>
    <w:rsid w:val="0052127D"/>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5B4"/>
    <w:rsid w:val="00531D97"/>
    <w:rsid w:val="00531E16"/>
    <w:rsid w:val="00531EBE"/>
    <w:rsid w:val="005320F8"/>
    <w:rsid w:val="005321E0"/>
    <w:rsid w:val="005323A7"/>
    <w:rsid w:val="0053242E"/>
    <w:rsid w:val="0053275A"/>
    <w:rsid w:val="00532F8B"/>
    <w:rsid w:val="0053323B"/>
    <w:rsid w:val="00533338"/>
    <w:rsid w:val="00533737"/>
    <w:rsid w:val="00533D4D"/>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5817"/>
    <w:rsid w:val="00555BE4"/>
    <w:rsid w:val="005565FF"/>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AC1"/>
    <w:rsid w:val="00563B1A"/>
    <w:rsid w:val="00563DB6"/>
    <w:rsid w:val="005640F3"/>
    <w:rsid w:val="00564A45"/>
    <w:rsid w:val="005651D3"/>
    <w:rsid w:val="005656ED"/>
    <w:rsid w:val="00565884"/>
    <w:rsid w:val="00566544"/>
    <w:rsid w:val="00566608"/>
    <w:rsid w:val="00566756"/>
    <w:rsid w:val="005667B3"/>
    <w:rsid w:val="00566C83"/>
    <w:rsid w:val="00566D88"/>
    <w:rsid w:val="0056751C"/>
    <w:rsid w:val="00567E70"/>
    <w:rsid w:val="005700FE"/>
    <w:rsid w:val="00570175"/>
    <w:rsid w:val="005705C0"/>
    <w:rsid w:val="00570E24"/>
    <w:rsid w:val="0057121E"/>
    <w:rsid w:val="00571387"/>
    <w:rsid w:val="00571512"/>
    <w:rsid w:val="00572760"/>
    <w:rsid w:val="00572D7B"/>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285"/>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403"/>
    <w:rsid w:val="005C28FA"/>
    <w:rsid w:val="005C2F38"/>
    <w:rsid w:val="005C2FA2"/>
    <w:rsid w:val="005C30FC"/>
    <w:rsid w:val="005C37EC"/>
    <w:rsid w:val="005C3A99"/>
    <w:rsid w:val="005C3FFF"/>
    <w:rsid w:val="005C4031"/>
    <w:rsid w:val="005C40F4"/>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750"/>
    <w:rsid w:val="005D0E4F"/>
    <w:rsid w:val="005D1314"/>
    <w:rsid w:val="005D14D0"/>
    <w:rsid w:val="005D15D0"/>
    <w:rsid w:val="005D197E"/>
    <w:rsid w:val="005D1BC2"/>
    <w:rsid w:val="005D1E32"/>
    <w:rsid w:val="005D206B"/>
    <w:rsid w:val="005D22B7"/>
    <w:rsid w:val="005D2651"/>
    <w:rsid w:val="005D2BDE"/>
    <w:rsid w:val="005D3B60"/>
    <w:rsid w:val="005D3D76"/>
    <w:rsid w:val="005D3F19"/>
    <w:rsid w:val="005D44C4"/>
    <w:rsid w:val="005D4578"/>
    <w:rsid w:val="005D4EB0"/>
    <w:rsid w:val="005D4EFA"/>
    <w:rsid w:val="005D54C3"/>
    <w:rsid w:val="005D55BA"/>
    <w:rsid w:val="005D59D6"/>
    <w:rsid w:val="005D5ADB"/>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60B"/>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034"/>
    <w:rsid w:val="005E775D"/>
    <w:rsid w:val="005E7C77"/>
    <w:rsid w:val="005F0A43"/>
    <w:rsid w:val="005F13AB"/>
    <w:rsid w:val="005F2273"/>
    <w:rsid w:val="005F2795"/>
    <w:rsid w:val="005F27BF"/>
    <w:rsid w:val="005F293E"/>
    <w:rsid w:val="005F2F5E"/>
    <w:rsid w:val="005F3009"/>
    <w:rsid w:val="005F311A"/>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0D3"/>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9AC"/>
    <w:rsid w:val="006061D2"/>
    <w:rsid w:val="0060690F"/>
    <w:rsid w:val="00606970"/>
    <w:rsid w:val="00606A20"/>
    <w:rsid w:val="006072C6"/>
    <w:rsid w:val="00607443"/>
    <w:rsid w:val="00607A2E"/>
    <w:rsid w:val="00607B36"/>
    <w:rsid w:val="006103A1"/>
    <w:rsid w:val="006107EB"/>
    <w:rsid w:val="00610931"/>
    <w:rsid w:val="00610BCA"/>
    <w:rsid w:val="00610E30"/>
    <w:rsid w:val="00611634"/>
    <w:rsid w:val="00611698"/>
    <w:rsid w:val="00611A26"/>
    <w:rsid w:val="00611DC1"/>
    <w:rsid w:val="006124EE"/>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832"/>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DCE"/>
    <w:rsid w:val="00630E37"/>
    <w:rsid w:val="006310DD"/>
    <w:rsid w:val="0063120A"/>
    <w:rsid w:val="00631471"/>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7A4"/>
    <w:rsid w:val="0063580D"/>
    <w:rsid w:val="00635824"/>
    <w:rsid w:val="00635A32"/>
    <w:rsid w:val="00635CAE"/>
    <w:rsid w:val="00635ED7"/>
    <w:rsid w:val="006360F6"/>
    <w:rsid w:val="00636638"/>
    <w:rsid w:val="00636A9D"/>
    <w:rsid w:val="00637240"/>
    <w:rsid w:val="00637CF3"/>
    <w:rsid w:val="0064030A"/>
    <w:rsid w:val="0064059B"/>
    <w:rsid w:val="006406F5"/>
    <w:rsid w:val="00640B57"/>
    <w:rsid w:val="00641208"/>
    <w:rsid w:val="00641323"/>
    <w:rsid w:val="006414A1"/>
    <w:rsid w:val="00642179"/>
    <w:rsid w:val="006423B8"/>
    <w:rsid w:val="00642601"/>
    <w:rsid w:val="00642D69"/>
    <w:rsid w:val="006435FF"/>
    <w:rsid w:val="00643660"/>
    <w:rsid w:val="00643750"/>
    <w:rsid w:val="0064487F"/>
    <w:rsid w:val="00645468"/>
    <w:rsid w:val="00645739"/>
    <w:rsid w:val="00645CB3"/>
    <w:rsid w:val="0064637E"/>
    <w:rsid w:val="006468B9"/>
    <w:rsid w:val="00646D8C"/>
    <w:rsid w:val="0064781C"/>
    <w:rsid w:val="00647A5E"/>
    <w:rsid w:val="00647C1A"/>
    <w:rsid w:val="00650139"/>
    <w:rsid w:val="00650195"/>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3E6D"/>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3F30"/>
    <w:rsid w:val="006644C7"/>
    <w:rsid w:val="00665829"/>
    <w:rsid w:val="0066609E"/>
    <w:rsid w:val="0066615C"/>
    <w:rsid w:val="00666D8C"/>
    <w:rsid w:val="00667020"/>
    <w:rsid w:val="0066732C"/>
    <w:rsid w:val="006679F5"/>
    <w:rsid w:val="00667B77"/>
    <w:rsid w:val="006709B2"/>
    <w:rsid w:val="00670A0B"/>
    <w:rsid w:val="00670E10"/>
    <w:rsid w:val="00671026"/>
    <w:rsid w:val="0067107A"/>
    <w:rsid w:val="006716DA"/>
    <w:rsid w:val="00671965"/>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59E"/>
    <w:rsid w:val="00691906"/>
    <w:rsid w:val="00691B30"/>
    <w:rsid w:val="0069207C"/>
    <w:rsid w:val="006920FE"/>
    <w:rsid w:val="00692A89"/>
    <w:rsid w:val="00692E24"/>
    <w:rsid w:val="00693E1F"/>
    <w:rsid w:val="00693ECB"/>
    <w:rsid w:val="00694797"/>
    <w:rsid w:val="00694867"/>
    <w:rsid w:val="006948D3"/>
    <w:rsid w:val="00694BDE"/>
    <w:rsid w:val="006952E2"/>
    <w:rsid w:val="006954D8"/>
    <w:rsid w:val="006954D9"/>
    <w:rsid w:val="00695887"/>
    <w:rsid w:val="006960D7"/>
    <w:rsid w:val="006962DF"/>
    <w:rsid w:val="00696E9A"/>
    <w:rsid w:val="00697733"/>
    <w:rsid w:val="00697C63"/>
    <w:rsid w:val="00697CE8"/>
    <w:rsid w:val="00697DC8"/>
    <w:rsid w:val="006A0018"/>
    <w:rsid w:val="006A01EA"/>
    <w:rsid w:val="006A0769"/>
    <w:rsid w:val="006A0ED3"/>
    <w:rsid w:val="006A0F70"/>
    <w:rsid w:val="006A11A1"/>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7DB"/>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8B7"/>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96E"/>
    <w:rsid w:val="00724A75"/>
    <w:rsid w:val="00726036"/>
    <w:rsid w:val="00726083"/>
    <w:rsid w:val="00726279"/>
    <w:rsid w:val="00726578"/>
    <w:rsid w:val="00726A9B"/>
    <w:rsid w:val="00726CB9"/>
    <w:rsid w:val="00726EB1"/>
    <w:rsid w:val="00727037"/>
    <w:rsid w:val="00727530"/>
    <w:rsid w:val="007276A0"/>
    <w:rsid w:val="00727DA2"/>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BC9"/>
    <w:rsid w:val="00784EED"/>
    <w:rsid w:val="007851BB"/>
    <w:rsid w:val="00785900"/>
    <w:rsid w:val="00785CAD"/>
    <w:rsid w:val="007861DF"/>
    <w:rsid w:val="00786347"/>
    <w:rsid w:val="00786651"/>
    <w:rsid w:val="00786657"/>
    <w:rsid w:val="00786958"/>
    <w:rsid w:val="00786C49"/>
    <w:rsid w:val="00786E71"/>
    <w:rsid w:val="00786EC2"/>
    <w:rsid w:val="0078744E"/>
    <w:rsid w:val="0078773B"/>
    <w:rsid w:val="007878F1"/>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2F57"/>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4A4"/>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E07CB"/>
    <w:rsid w:val="007E0B8D"/>
    <w:rsid w:val="007E1211"/>
    <w:rsid w:val="007E1369"/>
    <w:rsid w:val="007E1A1B"/>
    <w:rsid w:val="007E1A88"/>
    <w:rsid w:val="007E2663"/>
    <w:rsid w:val="007E2935"/>
    <w:rsid w:val="007E295C"/>
    <w:rsid w:val="007E2FE2"/>
    <w:rsid w:val="007E3322"/>
    <w:rsid w:val="007E3575"/>
    <w:rsid w:val="007E3746"/>
    <w:rsid w:val="007E3C8C"/>
    <w:rsid w:val="007E444D"/>
    <w:rsid w:val="007E44DF"/>
    <w:rsid w:val="007E4834"/>
    <w:rsid w:val="007E4C88"/>
    <w:rsid w:val="007E50B1"/>
    <w:rsid w:val="007E5368"/>
    <w:rsid w:val="007E585E"/>
    <w:rsid w:val="007E5B1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3D5"/>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24F"/>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9F8"/>
    <w:rsid w:val="00825CEC"/>
    <w:rsid w:val="008260CA"/>
    <w:rsid w:val="0082632F"/>
    <w:rsid w:val="00826488"/>
    <w:rsid w:val="00826EC5"/>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40"/>
    <w:rsid w:val="008613CA"/>
    <w:rsid w:val="008616F5"/>
    <w:rsid w:val="00861763"/>
    <w:rsid w:val="0086197D"/>
    <w:rsid w:val="00861F73"/>
    <w:rsid w:val="0086219B"/>
    <w:rsid w:val="00862200"/>
    <w:rsid w:val="008624EA"/>
    <w:rsid w:val="0086251F"/>
    <w:rsid w:val="0086275E"/>
    <w:rsid w:val="008628D1"/>
    <w:rsid w:val="00862C3B"/>
    <w:rsid w:val="00862D0A"/>
    <w:rsid w:val="00862D30"/>
    <w:rsid w:val="00862E23"/>
    <w:rsid w:val="00863304"/>
    <w:rsid w:val="0086359E"/>
    <w:rsid w:val="0086395D"/>
    <w:rsid w:val="00864190"/>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208"/>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8DB"/>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4CE"/>
    <w:rsid w:val="008A4B98"/>
    <w:rsid w:val="008A4C29"/>
    <w:rsid w:val="008A50E5"/>
    <w:rsid w:val="008A5199"/>
    <w:rsid w:val="008A5940"/>
    <w:rsid w:val="008A6AC3"/>
    <w:rsid w:val="008A73B2"/>
    <w:rsid w:val="008B043F"/>
    <w:rsid w:val="008B0808"/>
    <w:rsid w:val="008B0AEC"/>
    <w:rsid w:val="008B0EE6"/>
    <w:rsid w:val="008B10CA"/>
    <w:rsid w:val="008B17C3"/>
    <w:rsid w:val="008B197C"/>
    <w:rsid w:val="008B1BD5"/>
    <w:rsid w:val="008B1E53"/>
    <w:rsid w:val="008B1E5B"/>
    <w:rsid w:val="008B246C"/>
    <w:rsid w:val="008B2F97"/>
    <w:rsid w:val="008B3586"/>
    <w:rsid w:val="008B389D"/>
    <w:rsid w:val="008B3C5C"/>
    <w:rsid w:val="008B5299"/>
    <w:rsid w:val="008B52E0"/>
    <w:rsid w:val="008B56CC"/>
    <w:rsid w:val="008B5A1A"/>
    <w:rsid w:val="008B5A5F"/>
    <w:rsid w:val="008B5AB0"/>
    <w:rsid w:val="008B6054"/>
    <w:rsid w:val="008B60CF"/>
    <w:rsid w:val="008B611B"/>
    <w:rsid w:val="008B68D0"/>
    <w:rsid w:val="008B694E"/>
    <w:rsid w:val="008B7098"/>
    <w:rsid w:val="008B72E2"/>
    <w:rsid w:val="008B7B08"/>
    <w:rsid w:val="008C00B5"/>
    <w:rsid w:val="008C0F21"/>
    <w:rsid w:val="008C1096"/>
    <w:rsid w:val="008C13F0"/>
    <w:rsid w:val="008C14DD"/>
    <w:rsid w:val="008C1671"/>
    <w:rsid w:val="008C1A09"/>
    <w:rsid w:val="008C1E66"/>
    <w:rsid w:val="008C1F26"/>
    <w:rsid w:val="008C2452"/>
    <w:rsid w:val="008C24CA"/>
    <w:rsid w:val="008C2A3A"/>
    <w:rsid w:val="008C2FA3"/>
    <w:rsid w:val="008C42F2"/>
    <w:rsid w:val="008C48B9"/>
    <w:rsid w:val="008C48C4"/>
    <w:rsid w:val="008C4A76"/>
    <w:rsid w:val="008C4C7E"/>
    <w:rsid w:val="008C5263"/>
    <w:rsid w:val="008C544A"/>
    <w:rsid w:val="008C580E"/>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4B"/>
    <w:rsid w:val="008D74B4"/>
    <w:rsid w:val="008D7EB7"/>
    <w:rsid w:val="008D7F54"/>
    <w:rsid w:val="008E03C8"/>
    <w:rsid w:val="008E0621"/>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6A1"/>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201E7"/>
    <w:rsid w:val="00920454"/>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206"/>
    <w:rsid w:val="00931891"/>
    <w:rsid w:val="00931B76"/>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5A9E"/>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852"/>
    <w:rsid w:val="00951AAB"/>
    <w:rsid w:val="00951ADB"/>
    <w:rsid w:val="00951C84"/>
    <w:rsid w:val="00952EEB"/>
    <w:rsid w:val="00953087"/>
    <w:rsid w:val="0095364F"/>
    <w:rsid w:val="0095373F"/>
    <w:rsid w:val="0095380C"/>
    <w:rsid w:val="00953D92"/>
    <w:rsid w:val="00954293"/>
    <w:rsid w:val="00954353"/>
    <w:rsid w:val="0095437F"/>
    <w:rsid w:val="00954C8A"/>
    <w:rsid w:val="009556F2"/>
    <w:rsid w:val="009557EC"/>
    <w:rsid w:val="00955C0A"/>
    <w:rsid w:val="00955C4F"/>
    <w:rsid w:val="00955D2D"/>
    <w:rsid w:val="00955EB8"/>
    <w:rsid w:val="00955EBC"/>
    <w:rsid w:val="00956570"/>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83F"/>
    <w:rsid w:val="00974A1F"/>
    <w:rsid w:val="00974AD9"/>
    <w:rsid w:val="0097507C"/>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3F"/>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839"/>
    <w:rsid w:val="009A6A6B"/>
    <w:rsid w:val="009A70DE"/>
    <w:rsid w:val="009A7626"/>
    <w:rsid w:val="009A791C"/>
    <w:rsid w:val="009A7DE1"/>
    <w:rsid w:val="009B01AC"/>
    <w:rsid w:val="009B101B"/>
    <w:rsid w:val="009B1A9D"/>
    <w:rsid w:val="009B1E81"/>
    <w:rsid w:val="009B1EF9"/>
    <w:rsid w:val="009B1F0A"/>
    <w:rsid w:val="009B2090"/>
    <w:rsid w:val="009B26AC"/>
    <w:rsid w:val="009B2A77"/>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C58"/>
    <w:rsid w:val="009C0E14"/>
    <w:rsid w:val="009C111A"/>
    <w:rsid w:val="009C18CC"/>
    <w:rsid w:val="009C1B7F"/>
    <w:rsid w:val="009C2685"/>
    <w:rsid w:val="009C2967"/>
    <w:rsid w:val="009C2DC6"/>
    <w:rsid w:val="009C2E63"/>
    <w:rsid w:val="009C379C"/>
    <w:rsid w:val="009C38F4"/>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4F92"/>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692"/>
    <w:rsid w:val="009F08B2"/>
    <w:rsid w:val="009F0B4D"/>
    <w:rsid w:val="009F1096"/>
    <w:rsid w:val="009F1303"/>
    <w:rsid w:val="009F150E"/>
    <w:rsid w:val="009F194A"/>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78C"/>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D45"/>
    <w:rsid w:val="00A233EF"/>
    <w:rsid w:val="00A24216"/>
    <w:rsid w:val="00A24520"/>
    <w:rsid w:val="00A245B9"/>
    <w:rsid w:val="00A25007"/>
    <w:rsid w:val="00A251CB"/>
    <w:rsid w:val="00A25294"/>
    <w:rsid w:val="00A253B6"/>
    <w:rsid w:val="00A254EE"/>
    <w:rsid w:val="00A25BE7"/>
    <w:rsid w:val="00A25DB0"/>
    <w:rsid w:val="00A26C31"/>
    <w:rsid w:val="00A27008"/>
    <w:rsid w:val="00A27029"/>
    <w:rsid w:val="00A27A8F"/>
    <w:rsid w:val="00A27CDB"/>
    <w:rsid w:val="00A27CDF"/>
    <w:rsid w:val="00A309C6"/>
    <w:rsid w:val="00A30B8D"/>
    <w:rsid w:val="00A30D13"/>
    <w:rsid w:val="00A30F06"/>
    <w:rsid w:val="00A312A7"/>
    <w:rsid w:val="00A317E2"/>
    <w:rsid w:val="00A319D0"/>
    <w:rsid w:val="00A32316"/>
    <w:rsid w:val="00A327F7"/>
    <w:rsid w:val="00A33042"/>
    <w:rsid w:val="00A33172"/>
    <w:rsid w:val="00A33CF3"/>
    <w:rsid w:val="00A34322"/>
    <w:rsid w:val="00A3432B"/>
    <w:rsid w:val="00A346BA"/>
    <w:rsid w:val="00A34C67"/>
    <w:rsid w:val="00A34D62"/>
    <w:rsid w:val="00A34DC8"/>
    <w:rsid w:val="00A34F08"/>
    <w:rsid w:val="00A3611D"/>
    <w:rsid w:val="00A3620E"/>
    <w:rsid w:val="00A362C5"/>
    <w:rsid w:val="00A36339"/>
    <w:rsid w:val="00A364EE"/>
    <w:rsid w:val="00A366E4"/>
    <w:rsid w:val="00A37DE9"/>
    <w:rsid w:val="00A40F05"/>
    <w:rsid w:val="00A40F3B"/>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704B9"/>
    <w:rsid w:val="00A70519"/>
    <w:rsid w:val="00A705DF"/>
    <w:rsid w:val="00A7075B"/>
    <w:rsid w:val="00A70A8D"/>
    <w:rsid w:val="00A70B9A"/>
    <w:rsid w:val="00A71946"/>
    <w:rsid w:val="00A719F5"/>
    <w:rsid w:val="00A71CE6"/>
    <w:rsid w:val="00A71D23"/>
    <w:rsid w:val="00A720A8"/>
    <w:rsid w:val="00A7257D"/>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820"/>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E3D"/>
    <w:rsid w:val="00A8443A"/>
    <w:rsid w:val="00A8479C"/>
    <w:rsid w:val="00A847CB"/>
    <w:rsid w:val="00A849DB"/>
    <w:rsid w:val="00A8557B"/>
    <w:rsid w:val="00A85A05"/>
    <w:rsid w:val="00A85B0E"/>
    <w:rsid w:val="00A86D63"/>
    <w:rsid w:val="00A86EF1"/>
    <w:rsid w:val="00A87294"/>
    <w:rsid w:val="00A8762A"/>
    <w:rsid w:val="00A87797"/>
    <w:rsid w:val="00A87A79"/>
    <w:rsid w:val="00A87B8C"/>
    <w:rsid w:val="00A87DDE"/>
    <w:rsid w:val="00A87FBF"/>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5105"/>
    <w:rsid w:val="00A951C3"/>
    <w:rsid w:val="00A955FE"/>
    <w:rsid w:val="00A95682"/>
    <w:rsid w:val="00A95951"/>
    <w:rsid w:val="00A95D66"/>
    <w:rsid w:val="00A95EED"/>
    <w:rsid w:val="00A95F6F"/>
    <w:rsid w:val="00A9601D"/>
    <w:rsid w:val="00A963C7"/>
    <w:rsid w:val="00A97044"/>
    <w:rsid w:val="00A97799"/>
    <w:rsid w:val="00AA01DA"/>
    <w:rsid w:val="00AA0C34"/>
    <w:rsid w:val="00AA0D73"/>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1FE3"/>
    <w:rsid w:val="00AD2852"/>
    <w:rsid w:val="00AD28A8"/>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2E4"/>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37F"/>
    <w:rsid w:val="00AE3A6A"/>
    <w:rsid w:val="00AE3B3B"/>
    <w:rsid w:val="00AE3B4E"/>
    <w:rsid w:val="00AE3E92"/>
    <w:rsid w:val="00AE41ED"/>
    <w:rsid w:val="00AE4256"/>
    <w:rsid w:val="00AE59EC"/>
    <w:rsid w:val="00AE6176"/>
    <w:rsid w:val="00AE67B3"/>
    <w:rsid w:val="00AE6A0F"/>
    <w:rsid w:val="00AE74D0"/>
    <w:rsid w:val="00AE7864"/>
    <w:rsid w:val="00AE78EC"/>
    <w:rsid w:val="00AE7949"/>
    <w:rsid w:val="00AE7B27"/>
    <w:rsid w:val="00AE7CCA"/>
    <w:rsid w:val="00AE7EE1"/>
    <w:rsid w:val="00AF05CB"/>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353B"/>
    <w:rsid w:val="00B037C2"/>
    <w:rsid w:val="00B040B2"/>
    <w:rsid w:val="00B04B89"/>
    <w:rsid w:val="00B04C05"/>
    <w:rsid w:val="00B050E9"/>
    <w:rsid w:val="00B052DD"/>
    <w:rsid w:val="00B05426"/>
    <w:rsid w:val="00B05CBB"/>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9BC"/>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47AEA"/>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33AB"/>
    <w:rsid w:val="00B74251"/>
    <w:rsid w:val="00B7455A"/>
    <w:rsid w:val="00B746C6"/>
    <w:rsid w:val="00B74F3C"/>
    <w:rsid w:val="00B755AD"/>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800"/>
    <w:rsid w:val="00B8284A"/>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87B24"/>
    <w:rsid w:val="00B90D10"/>
    <w:rsid w:val="00B90FE5"/>
    <w:rsid w:val="00B914B9"/>
    <w:rsid w:val="00B919AD"/>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F1F"/>
    <w:rsid w:val="00B95320"/>
    <w:rsid w:val="00B957FE"/>
    <w:rsid w:val="00B95E28"/>
    <w:rsid w:val="00B95F02"/>
    <w:rsid w:val="00B9667E"/>
    <w:rsid w:val="00B96BEF"/>
    <w:rsid w:val="00B96ED4"/>
    <w:rsid w:val="00B96FC0"/>
    <w:rsid w:val="00B97260"/>
    <w:rsid w:val="00B978B7"/>
    <w:rsid w:val="00B97A69"/>
    <w:rsid w:val="00BA00EF"/>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D12"/>
    <w:rsid w:val="00BD1846"/>
    <w:rsid w:val="00BD23D2"/>
    <w:rsid w:val="00BD2F3B"/>
    <w:rsid w:val="00BD2F7D"/>
    <w:rsid w:val="00BD3372"/>
    <w:rsid w:val="00BD3A0F"/>
    <w:rsid w:val="00BD409C"/>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421"/>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855"/>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6EDA"/>
    <w:rsid w:val="00C570F7"/>
    <w:rsid w:val="00C5720D"/>
    <w:rsid w:val="00C57C32"/>
    <w:rsid w:val="00C57E45"/>
    <w:rsid w:val="00C57FD0"/>
    <w:rsid w:val="00C6017E"/>
    <w:rsid w:val="00C6038C"/>
    <w:rsid w:val="00C6041F"/>
    <w:rsid w:val="00C60D08"/>
    <w:rsid w:val="00C60E04"/>
    <w:rsid w:val="00C610C1"/>
    <w:rsid w:val="00C6135F"/>
    <w:rsid w:val="00C61459"/>
    <w:rsid w:val="00C6156E"/>
    <w:rsid w:val="00C61644"/>
    <w:rsid w:val="00C61AB9"/>
    <w:rsid w:val="00C61CD0"/>
    <w:rsid w:val="00C61E6E"/>
    <w:rsid w:val="00C620E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3"/>
    <w:rsid w:val="00C67EAB"/>
    <w:rsid w:val="00C67FA1"/>
    <w:rsid w:val="00C70D52"/>
    <w:rsid w:val="00C70DFF"/>
    <w:rsid w:val="00C7159F"/>
    <w:rsid w:val="00C715B6"/>
    <w:rsid w:val="00C717E2"/>
    <w:rsid w:val="00C71EC2"/>
    <w:rsid w:val="00C725C9"/>
    <w:rsid w:val="00C72609"/>
    <w:rsid w:val="00C7267B"/>
    <w:rsid w:val="00C73022"/>
    <w:rsid w:val="00C73283"/>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4A1"/>
    <w:rsid w:val="00C82E5B"/>
    <w:rsid w:val="00C832DC"/>
    <w:rsid w:val="00C8363E"/>
    <w:rsid w:val="00C8377F"/>
    <w:rsid w:val="00C840A1"/>
    <w:rsid w:val="00C84300"/>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1E14"/>
    <w:rsid w:val="00CA20C1"/>
    <w:rsid w:val="00CA21D8"/>
    <w:rsid w:val="00CA2241"/>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065"/>
    <w:rsid w:val="00CB318C"/>
    <w:rsid w:val="00CB3E2E"/>
    <w:rsid w:val="00CB4078"/>
    <w:rsid w:val="00CB4692"/>
    <w:rsid w:val="00CB4B6D"/>
    <w:rsid w:val="00CB51CE"/>
    <w:rsid w:val="00CB541B"/>
    <w:rsid w:val="00CB5B1E"/>
    <w:rsid w:val="00CB6154"/>
    <w:rsid w:val="00CB62A3"/>
    <w:rsid w:val="00CB676D"/>
    <w:rsid w:val="00CB6933"/>
    <w:rsid w:val="00CB6E08"/>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26AF"/>
    <w:rsid w:val="00CF3040"/>
    <w:rsid w:val="00CF3528"/>
    <w:rsid w:val="00CF36FF"/>
    <w:rsid w:val="00CF3A15"/>
    <w:rsid w:val="00CF4247"/>
    <w:rsid w:val="00CF50BA"/>
    <w:rsid w:val="00CF5263"/>
    <w:rsid w:val="00CF536E"/>
    <w:rsid w:val="00CF5B69"/>
    <w:rsid w:val="00CF5E9B"/>
    <w:rsid w:val="00CF5EDD"/>
    <w:rsid w:val="00CF60B5"/>
    <w:rsid w:val="00CF6331"/>
    <w:rsid w:val="00CF6ED0"/>
    <w:rsid w:val="00CF723D"/>
    <w:rsid w:val="00CF7E2F"/>
    <w:rsid w:val="00CF7F39"/>
    <w:rsid w:val="00D00137"/>
    <w:rsid w:val="00D0027D"/>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98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81D"/>
    <w:rsid w:val="00D17B86"/>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922"/>
    <w:rsid w:val="00D50E7E"/>
    <w:rsid w:val="00D51956"/>
    <w:rsid w:val="00D519F3"/>
    <w:rsid w:val="00D51D12"/>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4F3"/>
    <w:rsid w:val="00D6752A"/>
    <w:rsid w:val="00D679CF"/>
    <w:rsid w:val="00D679D3"/>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4C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672"/>
    <w:rsid w:val="00DC60A2"/>
    <w:rsid w:val="00DC615E"/>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4F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3A5F"/>
    <w:rsid w:val="00DE4066"/>
    <w:rsid w:val="00DE49CA"/>
    <w:rsid w:val="00DE4CB4"/>
    <w:rsid w:val="00DE52E3"/>
    <w:rsid w:val="00DE5D60"/>
    <w:rsid w:val="00DE5E32"/>
    <w:rsid w:val="00DE6344"/>
    <w:rsid w:val="00DE689E"/>
    <w:rsid w:val="00DE699E"/>
    <w:rsid w:val="00DE6C08"/>
    <w:rsid w:val="00DE71D3"/>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04B5"/>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418"/>
    <w:rsid w:val="00E269DA"/>
    <w:rsid w:val="00E26C0B"/>
    <w:rsid w:val="00E26D6D"/>
    <w:rsid w:val="00E2766A"/>
    <w:rsid w:val="00E27BAE"/>
    <w:rsid w:val="00E30253"/>
    <w:rsid w:val="00E30D23"/>
    <w:rsid w:val="00E30E7B"/>
    <w:rsid w:val="00E313B4"/>
    <w:rsid w:val="00E3163B"/>
    <w:rsid w:val="00E3165B"/>
    <w:rsid w:val="00E3182A"/>
    <w:rsid w:val="00E32D62"/>
    <w:rsid w:val="00E339C0"/>
    <w:rsid w:val="00E339DC"/>
    <w:rsid w:val="00E33E15"/>
    <w:rsid w:val="00E3584D"/>
    <w:rsid w:val="00E35AF2"/>
    <w:rsid w:val="00E35CC0"/>
    <w:rsid w:val="00E35F2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F37"/>
    <w:rsid w:val="00E44185"/>
    <w:rsid w:val="00E44539"/>
    <w:rsid w:val="00E447F7"/>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B1E"/>
    <w:rsid w:val="00E56CA2"/>
    <w:rsid w:val="00E56E14"/>
    <w:rsid w:val="00E5733D"/>
    <w:rsid w:val="00E57786"/>
    <w:rsid w:val="00E57A4F"/>
    <w:rsid w:val="00E6017E"/>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6C5"/>
    <w:rsid w:val="00E81CD4"/>
    <w:rsid w:val="00E81CE0"/>
    <w:rsid w:val="00E81E7C"/>
    <w:rsid w:val="00E8224D"/>
    <w:rsid w:val="00E829DE"/>
    <w:rsid w:val="00E82B74"/>
    <w:rsid w:val="00E83196"/>
    <w:rsid w:val="00E83765"/>
    <w:rsid w:val="00E83AC3"/>
    <w:rsid w:val="00E84604"/>
    <w:rsid w:val="00E8519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393B"/>
    <w:rsid w:val="00E940D5"/>
    <w:rsid w:val="00E94213"/>
    <w:rsid w:val="00E943C2"/>
    <w:rsid w:val="00E94B38"/>
    <w:rsid w:val="00E94CF1"/>
    <w:rsid w:val="00E94F0D"/>
    <w:rsid w:val="00E957AB"/>
    <w:rsid w:val="00E95BA6"/>
    <w:rsid w:val="00E9612B"/>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AF3"/>
    <w:rsid w:val="00EA2ED3"/>
    <w:rsid w:val="00EA3B5A"/>
    <w:rsid w:val="00EA3BF4"/>
    <w:rsid w:val="00EA410E"/>
    <w:rsid w:val="00EA4E50"/>
    <w:rsid w:val="00EA4FD1"/>
    <w:rsid w:val="00EA53C2"/>
    <w:rsid w:val="00EA5695"/>
    <w:rsid w:val="00EA5B0A"/>
    <w:rsid w:val="00EA61F6"/>
    <w:rsid w:val="00EA64F1"/>
    <w:rsid w:val="00EA65AD"/>
    <w:rsid w:val="00EA691C"/>
    <w:rsid w:val="00EA6953"/>
    <w:rsid w:val="00EA7A9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E0197"/>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57B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1540"/>
    <w:rsid w:val="00F12366"/>
    <w:rsid w:val="00F123AF"/>
    <w:rsid w:val="00F1253F"/>
    <w:rsid w:val="00F12A51"/>
    <w:rsid w:val="00F12C2C"/>
    <w:rsid w:val="00F133A1"/>
    <w:rsid w:val="00F13464"/>
    <w:rsid w:val="00F13ECD"/>
    <w:rsid w:val="00F14298"/>
    <w:rsid w:val="00F14328"/>
    <w:rsid w:val="00F14D45"/>
    <w:rsid w:val="00F1555F"/>
    <w:rsid w:val="00F155A3"/>
    <w:rsid w:val="00F155CE"/>
    <w:rsid w:val="00F156C0"/>
    <w:rsid w:val="00F159C8"/>
    <w:rsid w:val="00F15F33"/>
    <w:rsid w:val="00F17166"/>
    <w:rsid w:val="00F17859"/>
    <w:rsid w:val="00F17C08"/>
    <w:rsid w:val="00F17D23"/>
    <w:rsid w:val="00F17EAE"/>
    <w:rsid w:val="00F17F4D"/>
    <w:rsid w:val="00F2006A"/>
    <w:rsid w:val="00F2019B"/>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5209"/>
    <w:rsid w:val="00F45AC1"/>
    <w:rsid w:val="00F45C72"/>
    <w:rsid w:val="00F45E97"/>
    <w:rsid w:val="00F468CB"/>
    <w:rsid w:val="00F47498"/>
    <w:rsid w:val="00F47DE5"/>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58EF"/>
    <w:rsid w:val="00F6603D"/>
    <w:rsid w:val="00F66333"/>
    <w:rsid w:val="00F6642C"/>
    <w:rsid w:val="00F664D1"/>
    <w:rsid w:val="00F66660"/>
    <w:rsid w:val="00F66CF8"/>
    <w:rsid w:val="00F66E4E"/>
    <w:rsid w:val="00F6727F"/>
    <w:rsid w:val="00F676BC"/>
    <w:rsid w:val="00F6772F"/>
    <w:rsid w:val="00F6783E"/>
    <w:rsid w:val="00F701D2"/>
    <w:rsid w:val="00F70DBE"/>
    <w:rsid w:val="00F710CD"/>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BB5"/>
    <w:rsid w:val="00F83829"/>
    <w:rsid w:val="00F83D15"/>
    <w:rsid w:val="00F83D49"/>
    <w:rsid w:val="00F84069"/>
    <w:rsid w:val="00F842C8"/>
    <w:rsid w:val="00F843D7"/>
    <w:rsid w:val="00F84769"/>
    <w:rsid w:val="00F84778"/>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117"/>
    <w:rsid w:val="00F97908"/>
    <w:rsid w:val="00F97AF7"/>
    <w:rsid w:val="00F97B43"/>
    <w:rsid w:val="00F97C64"/>
    <w:rsid w:val="00FA027A"/>
    <w:rsid w:val="00FA07F8"/>
    <w:rsid w:val="00FA0A77"/>
    <w:rsid w:val="00FA105C"/>
    <w:rsid w:val="00FA1475"/>
    <w:rsid w:val="00FA148A"/>
    <w:rsid w:val="00FA14ED"/>
    <w:rsid w:val="00FA226C"/>
    <w:rsid w:val="00FA27C8"/>
    <w:rsid w:val="00FA2C40"/>
    <w:rsid w:val="00FA2D4C"/>
    <w:rsid w:val="00FA2D56"/>
    <w:rsid w:val="00FA2EB2"/>
    <w:rsid w:val="00FA327F"/>
    <w:rsid w:val="00FA349D"/>
    <w:rsid w:val="00FA3B76"/>
    <w:rsid w:val="00FA3F05"/>
    <w:rsid w:val="00FA444F"/>
    <w:rsid w:val="00FA4622"/>
    <w:rsid w:val="00FA48D9"/>
    <w:rsid w:val="00FA4D66"/>
    <w:rsid w:val="00FA5A4E"/>
    <w:rsid w:val="00FA5EFE"/>
    <w:rsid w:val="00FA65ED"/>
    <w:rsid w:val="00FA685B"/>
    <w:rsid w:val="00FA69A0"/>
    <w:rsid w:val="00FA6B27"/>
    <w:rsid w:val="00FA6C5A"/>
    <w:rsid w:val="00FA75C9"/>
    <w:rsid w:val="00FA75FA"/>
    <w:rsid w:val="00FA7C14"/>
    <w:rsid w:val="00FB0082"/>
    <w:rsid w:val="00FB0243"/>
    <w:rsid w:val="00FB0469"/>
    <w:rsid w:val="00FB068B"/>
    <w:rsid w:val="00FB0E87"/>
    <w:rsid w:val="00FB1123"/>
    <w:rsid w:val="00FB1527"/>
    <w:rsid w:val="00FB2066"/>
    <w:rsid w:val="00FB220E"/>
    <w:rsid w:val="00FB2537"/>
    <w:rsid w:val="00FB2EFC"/>
    <w:rsid w:val="00FB33DC"/>
    <w:rsid w:val="00FB3BF1"/>
    <w:rsid w:val="00FB4313"/>
    <w:rsid w:val="00FB4338"/>
    <w:rsid w:val="00FB477E"/>
    <w:rsid w:val="00FB4C32"/>
    <w:rsid w:val="00FB4C9C"/>
    <w:rsid w:val="00FB5B0A"/>
    <w:rsid w:val="00FB5BAE"/>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1FF"/>
    <w:rsid w:val="00FD3291"/>
    <w:rsid w:val="00FD329A"/>
    <w:rsid w:val="00FD37F6"/>
    <w:rsid w:val="00FD4589"/>
    <w:rsid w:val="00FD46DF"/>
    <w:rsid w:val="00FD473E"/>
    <w:rsid w:val="00FD4A68"/>
    <w:rsid w:val="00FD4A96"/>
    <w:rsid w:val="00FD4EC4"/>
    <w:rsid w:val="00FD548D"/>
    <w:rsid w:val="00FD58E6"/>
    <w:rsid w:val="00FD59E0"/>
    <w:rsid w:val="00FD5C3C"/>
    <w:rsid w:val="00FD5F6D"/>
    <w:rsid w:val="00FD6279"/>
    <w:rsid w:val="00FD64EC"/>
    <w:rsid w:val="00FD6555"/>
    <w:rsid w:val="00FD6B92"/>
    <w:rsid w:val="00FD6BD6"/>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91C"/>
    <w:rsid w:val="00FE41B8"/>
    <w:rsid w:val="00FE42DD"/>
    <w:rsid w:val="00FE459F"/>
    <w:rsid w:val="00FE51F6"/>
    <w:rsid w:val="00FE5783"/>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qFormat/>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11"/>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table" w:styleId="Ombrageclair">
    <w:name w:val="Light Shading"/>
    <w:basedOn w:val="TableauNormal"/>
    <w:uiPriority w:val="60"/>
    <w:rsid w:val="00D0698C"/>
    <w:rPr>
      <w:rFonts w:asciiTheme="minorHAnsi" w:eastAsiaTheme="minorHAnsi" w:hAnsiTheme="minorHAnsi" w:cstheme="minorBid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claire-Accent5">
    <w:name w:val="Light List Accent 5"/>
    <w:basedOn w:val="TableauNormal"/>
    <w:uiPriority w:val="61"/>
    <w:rsid w:val="00D0698C"/>
    <w:rPr>
      <w:rFonts w:ascii="CG Times (WN)" w:eastAsia="Times New Roman" w:hAnsi="CG Times (WN)"/>
      <w:lang w:val="en-GB" w:eastAsia="en-GB"/>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qFormat/>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qFormat/>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4A32E2"/>
    <w:pPr>
      <w:numPr>
        <w:numId w:val="11"/>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table" w:styleId="Ombrageclair">
    <w:name w:val="Light Shading"/>
    <w:basedOn w:val="TableauNormal"/>
    <w:uiPriority w:val="60"/>
    <w:rsid w:val="00D0698C"/>
    <w:rPr>
      <w:rFonts w:asciiTheme="minorHAnsi" w:eastAsiaTheme="minorHAnsi" w:hAnsiTheme="minorHAnsi" w:cstheme="minorBidi"/>
      <w:color w:val="000000" w:themeColor="text1" w:themeShade="BF"/>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claire-Accent5">
    <w:name w:val="Light List Accent 5"/>
    <w:basedOn w:val="TableauNormal"/>
    <w:uiPriority w:val="61"/>
    <w:rsid w:val="00D0698C"/>
    <w:rPr>
      <w:rFonts w:ascii="CG Times (WN)" w:eastAsia="Times New Roman" w:hAnsi="CG Times (WN)"/>
      <w:lang w:val="en-GB" w:eastAsia="en-GB"/>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4607">
      <w:bodyDiv w:val="1"/>
      <w:marLeft w:val="0"/>
      <w:marRight w:val="0"/>
      <w:marTop w:val="0"/>
      <w:marBottom w:val="0"/>
      <w:divBdr>
        <w:top w:val="none" w:sz="0" w:space="0" w:color="auto"/>
        <w:left w:val="none" w:sz="0" w:space="0" w:color="auto"/>
        <w:bottom w:val="none" w:sz="0" w:space="0" w:color="auto"/>
        <w:right w:val="none" w:sz="0" w:space="0" w:color="auto"/>
      </w:divBdr>
      <w:divsChild>
        <w:div w:id="413013787">
          <w:marLeft w:val="0"/>
          <w:marRight w:val="0"/>
          <w:marTop w:val="0"/>
          <w:marBottom w:val="0"/>
          <w:divBdr>
            <w:top w:val="none" w:sz="0" w:space="0" w:color="auto"/>
            <w:left w:val="none" w:sz="0" w:space="0" w:color="auto"/>
            <w:bottom w:val="none" w:sz="0" w:space="0" w:color="auto"/>
            <w:right w:val="none" w:sz="0" w:space="0" w:color="auto"/>
          </w:divBdr>
        </w:div>
      </w:divsChild>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5</b:RefOrder>
  </b:Source>
  <b:Source>
    <b:Tag>TR32</b:Tag>
    <b:SourceType>ConferenceProceedings</b:SourceType>
    <b:Guid>{EAA01403-C092-4868-965E-D1D469D7D769}</b:Guid>
    <b:Title>TR38.213 Physical layer procedures for control</b:Title>
    <b:RefOrder>6</b:RefOrder>
  </b:Source>
  <b:Source>
    <b:Tag>ASt18</b:Tag>
    <b:SourceType>JournalArticle</b:SourceType>
    <b:Guid>{DE448DED-7306-4E1F-BD73-6BAF86795E7D}</b:Guid>
    <b:Author>
      <b:Author>
        <b:NameList>
          <b:Person>
            <b:Last>A. Stern</b:Last>
            <b:First>A.</b:First>
            <b:Middle>Kos</b:Middle>
          </b:Person>
        </b:NameList>
      </b:Author>
    </b:Author>
    <b:Title>Positioning Performance Assessment of Geodetic Automotive, and Smartphone GNSS Receivers in Standardized Road Scenarios</b:Title>
    <b:JournalName>IEEE Access</b:JournalName>
    <b:Year>2018</b:Year>
    <b:RefOrder>7</b:RefOrder>
  </b:Source>
  <b:Source>
    <b:Tag>Tom18</b:Tag>
    <b:SourceType>JournalArticle</b:SourceType>
    <b:Guid>{9C09EEE0-D442-4ED7-AABA-847D25C87BCD}</b:Guid>
    <b:Author>
      <b:Author>
        <b:NameList>
          <b:Person>
            <b:Last>Tomasz Szot</b:Last>
            <b:First>Cezary</b:First>
            <b:Middle>Specht, Mariusz Specht, Pawel S. Dabrowski</b:Middle>
          </b:Person>
        </b:NameList>
      </b:Author>
    </b:Author>
    <b:Title>Comparative analysis of positioning accuracy of Samsung Galaxy smartphones in stationary measurements</b:Title>
    <b:JournalName>Plos One</b:JournalName>
    <b:Year>April 2018</b:Year>
    <b:RefOrder>8</b:RefOrder>
  </b:Source>
  <b:Source>
    <b:Tag>Eng</b:Tag>
    <b:SourceType>JournalArticle</b:SourceType>
    <b:Guid>{8301C4E3-586C-4C37-A720-AA996F583CB2}</b:Guid>
    <b:Title>The World’s first GPS MOOC and Worldwide Laboratory using Smartphones</b:Title>
    <b:JournalName>Proceedings of the 28th International Technical Meeting of the Satellite Division of The Institute of Navigation (ION GNSS+ 2015)</b:JournalName>
    <b:Author>
      <b:Author>
        <b:NameList>
          <b:Person>
            <b:Last>Enge</b:Last>
            <b:First>Frank</b:First>
            <b:Middle>van Diggelen and Per</b:Middle>
          </b:Person>
        </b:NameList>
      </b:Author>
    </b:Author>
    <b:RefOrder>9</b:RefOrder>
  </b:Source>
  <b:Source>
    <b:Tag>Tha2</b:Tag>
    <b:SourceType>JournalArticle</b:SourceType>
    <b:Guid>{679D7662-91D8-40E8-8BE1-DA15C75FAB55}</b:Guid>
    <b:Author>
      <b:Author>
        <b:Corporate>Thales</b:Corporate>
      </b:Author>
    </b:Author>
    <b:Title>R2-20XXXX Considerations on satellite ephemeris</b:Title>
    <b:JournalName>3GPP TSG RAN WG2 eMeeting #111-e</b:JournalName>
    <b:RefOrder>10</b:RefOrder>
  </b:Source>
  <b:Source>
    <b:Tag>Tha19</b:Tag>
    <b:SourceType>JournalArticle</b:SourceType>
    <b:Guid>{D119887B-558E-438A-A0EC-E9051CA4E3C0}</b:Guid>
    <b:Author>
      <b:Author>
        <b:Corporate>Thales</b:Corporate>
      </b:Author>
    </b:Author>
    <b:Title>RP-201256 Solutions for NR to support non-terresttrial networks (NTN)</b:Title>
    <b:JournalName>RAN#88e</b:JournalName>
    <b:Year>June 2020</b:Year>
    <b:RefOrder>11</b:RefOrder>
  </b:Source>
  <b:Source>
    <b:Tag>Tha3</b:Tag>
    <b:SourceType>JournalArticle</b:SourceType>
    <b:Guid>{637D2BC1-0D2B-4FD3-A3F8-30A97E27CCB9}</b:Guid>
    <b:Author>
      <b:Author>
        <b:Corporate>Thales</b:Corporate>
      </b:Author>
    </b:Author>
    <b:Title>R1-2005306 NR_NTN_solutions work plan</b:Title>
    <b:JournalName>RAN1#102-e</b:JournalName>
    <b:RefOrder>12</b:RefOrder>
  </b:Source>
  <b:Source>
    <b:Tag>Tha</b:Tag>
    <b:SourceType>Book</b:SourceType>
    <b:Guid>{8E5DD94D-4ABE-42BA-B72E-D6A66B0A786C}</b:Guid>
    <b:Author>
      <b:Author>
        <b:Corporate>Thales</b:Corporate>
      </b:Author>
    </b:Author>
    <b:Title>RP-193234, “Solutions for NR to support non-terrestrial networks (NTN)”, Sitges, Spain, 3GPP TSG RAN meeting #86</b:Title>
    <b:RefOrder>1</b:RefOrder>
  </b:Source>
  <b:Source>
    <b:Tag>3GP16</b:Tag>
    <b:SourceType>Book</b:SourceType>
    <b:Guid>{13A0A5F0-ED8C-4AD0-BC85-2A84C110C444}</b:Guid>
    <b:Author>
      <b:Author>
        <b:NameList>
          <b:Person>
            <b:Last>3GPP</b:Last>
          </b:Person>
        </b:NameList>
      </b:Author>
    </b:Author>
    <b:Title>TR 38.821 Solutions for NR to support non-terrestrial networks (NTN)</b:Title>
    <b:Year>Release 16</b:Year>
    <b:RefOrder>2</b:RefOrder>
  </b:Source>
  <b:Source>
    <b:Tag>Stu</b:Tag>
    <b:SourceType>Book</b:SourceType>
    <b:Guid>{1EDE1D14-211A-4FE6-AFD4-C53FBAEC1D43}</b:Guid>
    <b:Title>R1-20xxxxx Study Cases for System-Level Simulations in NTN WI</b:Title>
    <b:Author>
      <b:Author>
        <b:NameList>
          <b:Person>
            <b:Last>GmbH</b:Last>
            <b:First>Nomor</b:First>
            <b:Middle>Research</b:Middle>
          </b:Person>
        </b:NameList>
      </b:Author>
    </b:Author>
    <b:RefOrder>3</b:RefOrder>
  </b:Source>
  <b:Source>
    <b:Tag>3GP1</b:Tag>
    <b:SourceType>Book</b:SourceType>
    <b:Guid>{0FE87025-6093-49C0-AF95-40062D9052B5}</b:Guid>
    <b:Author>
      <b:Author>
        <b:NameList>
          <b:Person>
            <b:Last>3GPP</b:Last>
          </b:Person>
        </b:NameList>
      </b:Author>
    </b:Author>
    <b:Title>TS 38.211 Physical channels and modulation</b:Title>
    <b:RefOrder>4</b:RefOrder>
  </b:Source>
  <b:Source>
    <b:Tag>Hua19</b:Tag>
    <b:SourceType>JournalArticle</b:SourceType>
    <b:Guid>{96BE8AF8-E946-4215-968A-F70EF47F1159}</b:Guid>
    <b:Author>
      <b:Author>
        <b:Corporate>Huawei, HiSilicon</b:Corporate>
      </b:Author>
    </b:Author>
    <b:Title>R1-1905712 Discussion on PAPR in NTN</b:Title>
    <b:JournalName>3GPP TSG RAN WG1 Meeting #96bis</b:JournalName>
    <b:Year>2019</b:Year>
    <b:RefOrder>13</b:RefOrder>
  </b:Source>
  <b:Source>
    <b:Tag>Cim97</b:Tag>
    <b:SourceType>ConferenceProceedings</b:SourceType>
    <b:Guid>{B6820702-C035-4E1F-A096-453A89FC2708}</b:Guid>
    <b:Author>
      <b:Author>
        <b:NameList>
          <b:Person>
            <b:Last>Cimini</b:Last>
            <b:First>X.</b:First>
            <b:Middle>Li and L. J.</b:Middle>
          </b:Person>
        </b:NameList>
      </b:Author>
    </b:Author>
    <b:Title>Effects of clipping and filtering on the performance of OFDM</b:Title>
    <b:JournalName>IEEE 47th Vehicular Technology Conference</b:JournalName>
    <b:Year>1997</b:Year>
    <b:Pages>1634-1638</b:Pages>
    <b:ConferenceName>IEEE 47th Vehicular Technology Conference</b:ConferenceName>
    <b:City>Phoenix</b:City>
    <b:RefOrder>14</b:RefOrder>
  </b:Source>
  <b:Source>
    <b:Tag>Hua16</b:Tag>
    <b:SourceType>JournalArticle</b:SourceType>
    <b:Guid>{22A7EDB1-3AAD-465E-A0E3-B30A6AAFED33}</b:Guid>
    <b:Title>R1-1608828 Overview of PAPR reduction techniques</b:Title>
    <b:Year>2016</b:Year>
    <b:Author>
      <b:Author>
        <b:Corporate>Huawei, HiSilicon</b:Corporate>
      </b:Author>
    </b:Author>
    <b:JournalName>RAN1#86bis</b:JournalName>
    <b:RefOrder>15</b:RefOrder>
  </b:Source>
  <b:Source>
    <b:Tag>SHM97</b:Tag>
    <b:SourceType>JournalArticle</b:SourceType>
    <b:Guid>{1A6D1CF7-4AA9-41C9-AA66-65C49E1B6FA4}</b:Guid>
    <b:Author>
      <b:Author>
        <b:NameList>
          <b:Person>
            <b:Last>Huber</b:Last>
            <b:First>S.</b:First>
            <b:Middle>H. Muller and J. B.</b:Middle>
          </b:Person>
        </b:NameList>
      </b:Author>
    </b:Author>
    <b:Title>OFDM with reduced peak-to-average power ratio by optimum combination of partial transmit sequences</b:Title>
    <b:JournalName>Electronics Letters</b:JournalName>
    <b:Year>1997</b:Year>
    <b:RefOrder>16</b:RefOrder>
  </b:Source>
  <b:Source>
    <b:Tag>Eri19</b:Tag>
    <b:SourceType>JournalArticle</b:SourceType>
    <b:Guid>{19B6F378-3D42-4BFC-9E1C-B05CFAD0D5A8}</b:Guid>
    <b:Author>
      <b:Author>
        <b:Corporate>Ericsson</b:Corporate>
      </b:Author>
    </b:Author>
    <b:Title>R1-1907431 PAPR reduction for NTN</b:Title>
    <b:JournalName>RAN1#97</b:JournalName>
    <b:Year>2019</b:Year>
    <b:RefOrder>17</b:RefOrder>
  </b:Source>
  <b:Source>
    <b:Tag>3GP</b:Tag>
    <b:SourceType>Book</b:SourceType>
    <b:Guid>{7174EBF6-2BB0-4B70-B03D-ECD669B81472}</b:Guid>
    <b:Author>
      <b:Author>
        <b:NameList>
          <b:Person>
            <b:Last>3GPP</b:Last>
          </b:Person>
        </b:NameList>
      </b:Author>
    </b:Author>
    <b:Title>TS 38.133 Requirements for support of radio resource management (Release 16)</b:Title>
    <b:RefOrder>18</b:RefOrder>
  </b:Source>
  <b:Source>
    <b:Tag>TS3</b:Tag>
    <b:SourceType>Book</b:SourceType>
    <b:Guid>{60661446-72AC-4FBD-B7A8-D22E0E74EF2E}</b:Guid>
    <b:Author>
      <b:Author>
        <b:NameList>
          <b:Person>
            <b:Last>3GPP</b:Last>
          </b:Person>
        </b:NameList>
      </b:Author>
    </b:Author>
    <b:Title>TS 38.331, Radio Resource Control (RRC); Protocol specification</b:Title>
    <b:RefOrder>19</b:RefOrder>
  </b:Source>
  <b:Source>
    <b:Tag>3GP2</b:Tag>
    <b:SourceType>Book</b:SourceType>
    <b:Guid>{B0854B76-0458-4A9F-9B63-D50901D87ECF}</b:Guid>
    <b:Author>
      <b:Author>
        <b:NameList>
          <b:Person>
            <b:Last>3GPP</b:Last>
          </b:Person>
        </b:NameList>
      </b:Author>
    </b:Author>
    <b:Title>TS 38.214 Physical layer procedures for data</b:Title>
    <b:RefOrder>20</b:RefOrder>
  </b:Source>
  <b:Source>
    <b:Tag>R12006676</b:Tag>
    <b:SourceType>Book</b:SourceType>
    <b:Guid>{BD799CB7-8A29-440D-BAB9-7FDFEA352E33}</b:Guid>
    <b:Title>R1-2006676 - NR NTN Reference scenarios definition for Rel-17 normative phase</b:Title>
    <b:Author>
      <b:Author>
        <b:NameList>
          <b:Person>
            <b:Last>Thales</b:Last>
          </b:Person>
        </b:NameList>
      </b:Author>
    </b:Author>
    <b:RefOrder>21</b:RefOrder>
  </b:Source>
</b:Sources>
</file>

<file path=customXml/itemProps1.xml><?xml version="1.0" encoding="utf-8"?>
<ds:datastoreItem xmlns:ds="http://schemas.openxmlformats.org/officeDocument/2006/customXml" ds:itemID="{77E0590C-F9C2-4194-83D4-A9C73137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3641</Words>
  <Characters>20026</Characters>
  <Application>Microsoft Office Word</Application>
  <DocSecurity>0</DocSecurity>
  <Lines>166</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11</cp:revision>
  <cp:lastPrinted>2015-07-25T10:06:00Z</cp:lastPrinted>
  <dcterms:created xsi:type="dcterms:W3CDTF">2021-01-15T10:54:00Z</dcterms:created>
  <dcterms:modified xsi:type="dcterms:W3CDTF">2021-01-15T14:03:00Z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