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B064E" w14:textId="6D68BFB9" w:rsidR="00D872F1" w:rsidRPr="002D6B2B" w:rsidRDefault="00D872F1" w:rsidP="00D872F1">
      <w:pPr>
        <w:tabs>
          <w:tab w:val="center" w:pos="4536"/>
          <w:tab w:val="right" w:pos="9356"/>
          <w:tab w:val="right" w:pos="9639"/>
        </w:tabs>
        <w:spacing w:after="0"/>
        <w:rPr>
          <w:rFonts w:ascii="Arial" w:hAnsi="Arial" w:cs="Arial"/>
          <w:b/>
          <w:bCs/>
          <w:sz w:val="24"/>
        </w:rPr>
      </w:pPr>
      <w:bookmarkStart w:id="0" w:name="_Hlk528952890"/>
      <w:r w:rsidRPr="002D6B2B">
        <w:rPr>
          <w:rFonts w:ascii="Arial" w:hAnsi="Arial" w:cs="Arial"/>
          <w:b/>
          <w:bCs/>
          <w:sz w:val="24"/>
        </w:rPr>
        <w:t>GPP TSG RAN WG1 Meeting #</w:t>
      </w:r>
      <w:r w:rsidR="00E72F06" w:rsidRPr="002D6B2B">
        <w:rPr>
          <w:rFonts w:ascii="Arial" w:hAnsi="Arial" w:cs="Arial"/>
          <w:b/>
          <w:bCs/>
          <w:sz w:val="24"/>
        </w:rPr>
        <w:t>10</w:t>
      </w:r>
      <w:r w:rsidR="002051CF">
        <w:rPr>
          <w:rFonts w:ascii="Arial" w:hAnsi="Arial" w:cs="Arial"/>
          <w:b/>
          <w:bCs/>
          <w:sz w:val="24"/>
        </w:rPr>
        <w:t>4</w:t>
      </w:r>
      <w:r w:rsidR="00E052B1" w:rsidRPr="002D6B2B">
        <w:rPr>
          <w:rFonts w:ascii="Arial" w:hAnsi="Arial" w:cs="Arial"/>
          <w:b/>
          <w:bCs/>
          <w:sz w:val="24"/>
        </w:rPr>
        <w:t>-e</w:t>
      </w:r>
      <w:r w:rsidRPr="002D6B2B">
        <w:rPr>
          <w:rFonts w:ascii="Arial" w:hAnsi="Arial" w:cs="Arial"/>
          <w:b/>
          <w:bCs/>
          <w:sz w:val="24"/>
        </w:rPr>
        <w:tab/>
      </w:r>
      <w:r w:rsidRPr="002D6B2B">
        <w:rPr>
          <w:rFonts w:ascii="Arial" w:eastAsia="MS Mincho" w:hAnsi="Arial" w:cs="Arial"/>
          <w:b/>
          <w:bCs/>
          <w:sz w:val="24"/>
          <w:lang w:eastAsia="ja-JP"/>
        </w:rPr>
        <w:tab/>
      </w:r>
      <w:r w:rsidRPr="003169D0">
        <w:rPr>
          <w:rFonts w:ascii="Arial" w:hAnsi="Arial" w:cs="Arial"/>
          <w:b/>
          <w:bCs/>
          <w:sz w:val="24"/>
        </w:rPr>
        <w:t>R1-</w:t>
      </w:r>
      <w:r w:rsidR="00935535" w:rsidRPr="00935535">
        <w:t xml:space="preserve"> </w:t>
      </w:r>
      <w:r w:rsidR="00935535" w:rsidRPr="00935535">
        <w:rPr>
          <w:rFonts w:ascii="Arial" w:hAnsi="Arial" w:cs="Arial"/>
          <w:b/>
          <w:bCs/>
          <w:sz w:val="24"/>
        </w:rPr>
        <w:t>2101011</w:t>
      </w:r>
    </w:p>
    <w:p w14:paraId="59ED94E2" w14:textId="53A4F169" w:rsidR="00D872F1" w:rsidRPr="002D6B2B" w:rsidRDefault="00E72F06" w:rsidP="00D872F1">
      <w:pPr>
        <w:pStyle w:val="Header"/>
        <w:rPr>
          <w:rFonts w:eastAsia="MS Mincho" w:cs="Arial"/>
          <w:bCs/>
          <w:noProof w:val="0"/>
          <w:sz w:val="24"/>
          <w:lang w:val="en-GB" w:eastAsia="ja-JP"/>
        </w:rPr>
      </w:pPr>
      <w:r w:rsidRPr="002D6B2B">
        <w:rPr>
          <w:rFonts w:eastAsia="MS Mincho" w:cs="Arial"/>
          <w:bCs/>
          <w:noProof w:val="0"/>
          <w:sz w:val="24"/>
          <w:lang w:val="en-GB" w:eastAsia="ja-JP"/>
        </w:rPr>
        <w:t>e-Meeting</w:t>
      </w:r>
      <w:r w:rsidR="008822B1" w:rsidRPr="002D6B2B">
        <w:rPr>
          <w:rFonts w:eastAsia="MS Mincho" w:cs="Arial"/>
          <w:bCs/>
          <w:noProof w:val="0"/>
          <w:sz w:val="24"/>
          <w:lang w:val="en-GB" w:eastAsia="ja-JP"/>
        </w:rPr>
        <w:t xml:space="preserve">, </w:t>
      </w:r>
      <w:r w:rsidR="002051CF">
        <w:rPr>
          <w:rFonts w:eastAsia="MS Mincho" w:cs="Arial"/>
          <w:bCs/>
          <w:noProof w:val="0"/>
          <w:sz w:val="24"/>
          <w:lang w:val="en-GB" w:eastAsia="ja-JP"/>
        </w:rPr>
        <w:t>January</w:t>
      </w:r>
      <w:r w:rsidR="003B0290" w:rsidRPr="002D6B2B">
        <w:rPr>
          <w:rFonts w:eastAsia="MS Mincho" w:cs="Arial"/>
          <w:bCs/>
          <w:noProof w:val="0"/>
          <w:sz w:val="24"/>
          <w:lang w:val="en-GB" w:eastAsia="ja-JP"/>
        </w:rPr>
        <w:t xml:space="preserve"> </w:t>
      </w:r>
      <w:r w:rsidR="00C473CC">
        <w:rPr>
          <w:rFonts w:eastAsia="MS Mincho" w:cs="Arial"/>
          <w:bCs/>
          <w:noProof w:val="0"/>
          <w:sz w:val="24"/>
          <w:lang w:val="en-GB" w:eastAsia="ja-JP"/>
        </w:rPr>
        <w:t>2</w:t>
      </w:r>
      <w:r w:rsidR="002051CF">
        <w:rPr>
          <w:rFonts w:eastAsia="MS Mincho" w:cs="Arial"/>
          <w:bCs/>
          <w:noProof w:val="0"/>
          <w:sz w:val="24"/>
          <w:lang w:val="en-GB" w:eastAsia="ja-JP"/>
        </w:rPr>
        <w:t>5</w:t>
      </w:r>
      <w:r w:rsidR="003B0290" w:rsidRPr="00C473CC">
        <w:rPr>
          <w:rFonts w:eastAsia="MS Mincho" w:cs="Arial"/>
          <w:bCs/>
          <w:noProof w:val="0"/>
          <w:sz w:val="24"/>
          <w:vertAlign w:val="superscript"/>
          <w:lang w:val="en-GB" w:eastAsia="ja-JP"/>
        </w:rPr>
        <w:t>th</w:t>
      </w:r>
      <w:r w:rsidR="003B0290" w:rsidRPr="002D6B2B">
        <w:rPr>
          <w:rFonts w:eastAsia="MS Mincho" w:cs="Arial"/>
          <w:bCs/>
          <w:noProof w:val="0"/>
          <w:sz w:val="24"/>
          <w:lang w:val="en-GB" w:eastAsia="ja-JP"/>
        </w:rPr>
        <w:t xml:space="preserve"> – </w:t>
      </w:r>
      <w:r w:rsidR="002051CF">
        <w:rPr>
          <w:rFonts w:eastAsia="MS Mincho" w:cs="Arial"/>
          <w:bCs/>
          <w:noProof w:val="0"/>
          <w:sz w:val="24"/>
          <w:lang w:val="en-GB" w:eastAsia="ja-JP"/>
        </w:rPr>
        <w:t>February</w:t>
      </w:r>
      <w:r w:rsidR="00C473CC">
        <w:rPr>
          <w:rFonts w:eastAsia="MS Mincho" w:cs="Arial"/>
          <w:bCs/>
          <w:noProof w:val="0"/>
          <w:sz w:val="24"/>
          <w:lang w:val="en-GB" w:eastAsia="ja-JP"/>
        </w:rPr>
        <w:t xml:space="preserve"> </w:t>
      </w:r>
      <w:r w:rsidR="002051CF">
        <w:rPr>
          <w:rFonts w:eastAsia="MS Mincho" w:cs="Arial"/>
          <w:bCs/>
          <w:noProof w:val="0"/>
          <w:sz w:val="24"/>
          <w:lang w:val="en-GB" w:eastAsia="ja-JP"/>
        </w:rPr>
        <w:t>5</w:t>
      </w:r>
      <w:r w:rsidR="00DC7F05" w:rsidRPr="00C473CC">
        <w:rPr>
          <w:rFonts w:eastAsia="MS Mincho" w:cs="Arial"/>
          <w:bCs/>
          <w:noProof w:val="0"/>
          <w:sz w:val="24"/>
          <w:vertAlign w:val="superscript"/>
          <w:lang w:val="en-GB" w:eastAsia="ja-JP"/>
        </w:rPr>
        <w:t>th</w:t>
      </w:r>
      <w:r w:rsidR="003B0290" w:rsidRPr="002D6B2B">
        <w:rPr>
          <w:rFonts w:eastAsia="MS Mincho" w:cs="Arial"/>
          <w:bCs/>
          <w:noProof w:val="0"/>
          <w:sz w:val="24"/>
          <w:lang w:val="en-GB" w:eastAsia="ja-JP"/>
        </w:rPr>
        <w:t>, 202</w:t>
      </w:r>
      <w:r w:rsidR="002051CF">
        <w:rPr>
          <w:rFonts w:eastAsia="MS Mincho" w:cs="Arial"/>
          <w:bCs/>
          <w:noProof w:val="0"/>
          <w:sz w:val="24"/>
          <w:lang w:val="en-GB" w:eastAsia="ja-JP"/>
        </w:rPr>
        <w:t>1</w:t>
      </w:r>
    </w:p>
    <w:p w14:paraId="0A7584F0" w14:textId="77777777" w:rsidR="00D872F1" w:rsidRPr="002D6B2B" w:rsidRDefault="00D872F1" w:rsidP="00D872F1">
      <w:pPr>
        <w:pStyle w:val="Header"/>
        <w:rPr>
          <w:bCs/>
          <w:noProof w:val="0"/>
          <w:sz w:val="24"/>
          <w:lang w:val="en-GB" w:eastAsia="ja-JP"/>
        </w:rPr>
      </w:pPr>
    </w:p>
    <w:p w14:paraId="59798EB4" w14:textId="1CF647B3" w:rsidR="00D872F1" w:rsidRPr="002D6B2B" w:rsidRDefault="00D872F1" w:rsidP="00D872F1">
      <w:pPr>
        <w:pStyle w:val="CRCoverPage"/>
        <w:rPr>
          <w:rFonts w:cs="Arial"/>
          <w:b/>
          <w:bCs/>
          <w:sz w:val="24"/>
          <w:lang w:eastAsia="ja-JP"/>
        </w:rPr>
      </w:pPr>
      <w:r w:rsidRPr="002D6B2B">
        <w:rPr>
          <w:rFonts w:cs="Arial"/>
          <w:b/>
          <w:bCs/>
          <w:sz w:val="24"/>
        </w:rPr>
        <w:t xml:space="preserve">Agenda item:       </w:t>
      </w:r>
      <w:r w:rsidR="003B0290" w:rsidRPr="002D6B2B">
        <w:rPr>
          <w:rFonts w:cs="Arial"/>
          <w:b/>
          <w:bCs/>
          <w:sz w:val="24"/>
        </w:rPr>
        <w:t>8.</w:t>
      </w:r>
      <w:r w:rsidR="00983DF9">
        <w:rPr>
          <w:rFonts w:cs="Arial"/>
          <w:b/>
          <w:bCs/>
          <w:sz w:val="24"/>
        </w:rPr>
        <w:t>1.4</w:t>
      </w:r>
    </w:p>
    <w:p w14:paraId="27646CFA" w14:textId="010B6FC2" w:rsidR="00D872F1" w:rsidRPr="002D6B2B" w:rsidRDefault="00D872F1" w:rsidP="0487154D">
      <w:pPr>
        <w:tabs>
          <w:tab w:val="left" w:pos="1985"/>
        </w:tabs>
        <w:spacing w:after="120"/>
        <w:ind w:left="1985" w:hanging="1985"/>
        <w:rPr>
          <w:rFonts w:ascii="Arial" w:hAnsi="Arial" w:cs="Arial"/>
          <w:b/>
          <w:bCs/>
          <w:sz w:val="24"/>
          <w:szCs w:val="24"/>
        </w:rPr>
      </w:pPr>
      <w:r w:rsidRPr="002D6B2B">
        <w:rPr>
          <w:rFonts w:ascii="Arial" w:hAnsi="Arial" w:cs="Arial"/>
          <w:b/>
          <w:bCs/>
          <w:sz w:val="24"/>
          <w:szCs w:val="24"/>
        </w:rPr>
        <w:t>Source:</w:t>
      </w:r>
      <w:r w:rsidR="663CC15D" w:rsidRPr="002D6B2B">
        <w:rPr>
          <w:rFonts w:ascii="Arial" w:hAnsi="Arial" w:cs="Arial"/>
          <w:b/>
          <w:bCs/>
          <w:sz w:val="24"/>
          <w:szCs w:val="24"/>
        </w:rPr>
        <w:t xml:space="preserve"> </w:t>
      </w:r>
      <w:r w:rsidRPr="002D6B2B">
        <w:rPr>
          <w:rFonts w:ascii="Arial" w:hAnsi="Arial" w:cs="Arial"/>
          <w:b/>
          <w:bCs/>
          <w:sz w:val="24"/>
        </w:rPr>
        <w:tab/>
      </w:r>
      <w:r w:rsidRPr="002D6B2B">
        <w:rPr>
          <w:rFonts w:ascii="Arial" w:hAnsi="Arial" w:cs="Arial"/>
          <w:b/>
          <w:bCs/>
          <w:sz w:val="24"/>
          <w:szCs w:val="24"/>
        </w:rPr>
        <w:t>Nokia, Nokia Shanghai Bell</w:t>
      </w:r>
    </w:p>
    <w:p w14:paraId="52B587A3" w14:textId="4E10B7AA" w:rsidR="00D872F1" w:rsidRPr="002D6B2B" w:rsidRDefault="00D872F1" w:rsidP="0487154D">
      <w:pPr>
        <w:ind w:left="1985" w:hanging="1985"/>
        <w:rPr>
          <w:rFonts w:ascii="Arial" w:hAnsi="Arial" w:cs="Arial"/>
          <w:b/>
          <w:bCs/>
          <w:sz w:val="24"/>
          <w:szCs w:val="24"/>
        </w:rPr>
      </w:pPr>
      <w:r w:rsidRPr="002D6B2B">
        <w:rPr>
          <w:rFonts w:ascii="Arial" w:hAnsi="Arial" w:cs="Arial"/>
          <w:b/>
          <w:bCs/>
          <w:sz w:val="24"/>
          <w:szCs w:val="24"/>
        </w:rPr>
        <w:t>Title:</w:t>
      </w:r>
      <w:r w:rsidR="26C55055" w:rsidRPr="002D6B2B">
        <w:rPr>
          <w:rFonts w:ascii="Arial" w:hAnsi="Arial" w:cs="Arial"/>
          <w:b/>
          <w:bCs/>
          <w:sz w:val="24"/>
          <w:szCs w:val="24"/>
        </w:rPr>
        <w:t xml:space="preserve"> </w:t>
      </w:r>
      <w:r w:rsidRPr="002D6B2B">
        <w:rPr>
          <w:rFonts w:ascii="Arial" w:hAnsi="Arial" w:cs="Arial"/>
          <w:b/>
          <w:bCs/>
          <w:sz w:val="24"/>
        </w:rPr>
        <w:tab/>
      </w:r>
      <w:r w:rsidR="003B0290" w:rsidRPr="002D6B2B">
        <w:rPr>
          <w:rFonts w:ascii="Arial" w:hAnsi="Arial" w:cs="Arial"/>
          <w:b/>
          <w:bCs/>
          <w:sz w:val="24"/>
          <w:szCs w:val="24"/>
        </w:rPr>
        <w:t>Enhancement on CSI measurement and reporting</w:t>
      </w:r>
    </w:p>
    <w:p w14:paraId="192169BC" w14:textId="4C127F9D" w:rsidR="00D872F1" w:rsidRPr="002D6B2B" w:rsidRDefault="00D872F1" w:rsidP="00D872F1">
      <w:pPr>
        <w:rPr>
          <w:rFonts w:ascii="Arial" w:hAnsi="Arial" w:cs="Arial"/>
          <w:b/>
          <w:bCs/>
          <w:sz w:val="24"/>
        </w:rPr>
      </w:pPr>
      <w:r w:rsidRPr="002D6B2B">
        <w:rPr>
          <w:rFonts w:ascii="Arial" w:hAnsi="Arial" w:cs="Arial"/>
          <w:b/>
          <w:bCs/>
          <w:sz w:val="24"/>
        </w:rPr>
        <w:t>Document for:     Discussion</w:t>
      </w:r>
      <w:r w:rsidR="007C5120">
        <w:rPr>
          <w:rFonts w:ascii="Arial" w:hAnsi="Arial" w:cs="Arial"/>
          <w:b/>
          <w:bCs/>
          <w:sz w:val="24"/>
        </w:rPr>
        <w:t xml:space="preserve"> and Decision</w:t>
      </w:r>
    </w:p>
    <w:p w14:paraId="728CA942" w14:textId="77777777" w:rsidR="00837037" w:rsidRDefault="00837037" w:rsidP="00D872F1">
      <w:pPr>
        <w:pStyle w:val="Heading1"/>
      </w:pPr>
    </w:p>
    <w:p w14:paraId="31E20BE4" w14:textId="63F2BEC0" w:rsidR="00D872F1" w:rsidRPr="002D6B2B" w:rsidRDefault="00D872F1" w:rsidP="00D872F1">
      <w:pPr>
        <w:pStyle w:val="Heading1"/>
      </w:pPr>
      <w:r w:rsidRPr="002D6B2B">
        <w:t>1</w:t>
      </w:r>
      <w:r w:rsidRPr="002D6B2B">
        <w:tab/>
        <w:t>Introduction</w:t>
      </w:r>
    </w:p>
    <w:p w14:paraId="07DAD3E9" w14:textId="2A6A816E" w:rsidR="00647AF7" w:rsidRPr="00B462B9" w:rsidRDefault="009F300C" w:rsidP="00465E89">
      <w:r w:rsidRPr="00B462B9">
        <w:t>In</w:t>
      </w:r>
      <w:r w:rsidR="00465E89" w:rsidRPr="00B462B9">
        <w:t xml:space="preserve"> RAN1#10</w:t>
      </w:r>
      <w:r w:rsidR="00D10F43">
        <w:t>3</w:t>
      </w:r>
      <w:r w:rsidR="00465E89" w:rsidRPr="00B462B9">
        <w:t>-e</w:t>
      </w:r>
      <w:r w:rsidRPr="00B462B9">
        <w:t>,</w:t>
      </w:r>
      <w:r w:rsidR="00465E89" w:rsidRPr="00B462B9">
        <w:t xml:space="preserve"> </w:t>
      </w:r>
      <w:r w:rsidR="00D10F43">
        <w:t xml:space="preserve">the discussion for reciprocity-aided FDD CSI enhancement focussed </w:t>
      </w:r>
      <w:r w:rsidR="00A86004">
        <w:t>on the first of the following three main study areas identified in RAN1</w:t>
      </w:r>
      <w:r w:rsidR="005E67BE">
        <w:t>#</w:t>
      </w:r>
      <w:r w:rsidR="00A86004">
        <w:t xml:space="preserve">102-e, </w:t>
      </w:r>
      <w:r w:rsidR="00A86004" w:rsidRPr="00A86004">
        <w:rPr>
          <w:i/>
          <w:iCs/>
        </w:rPr>
        <w:t>i.e.</w:t>
      </w:r>
      <w:r w:rsidR="00A86004">
        <w:t>, the codebook structure:</w:t>
      </w:r>
    </w:p>
    <w:p w14:paraId="6C9DD122" w14:textId="06C21BB5" w:rsidR="00711A2B" w:rsidRPr="00B462B9" w:rsidRDefault="005146BC" w:rsidP="00A151C2">
      <w:pPr>
        <w:numPr>
          <w:ilvl w:val="0"/>
          <w:numId w:val="2"/>
        </w:numPr>
      </w:pPr>
      <w:bookmarkStart w:id="1" w:name="_Ref54347756"/>
      <w:r w:rsidRPr="00B462B9">
        <w:t>Codebook structure</w:t>
      </w:r>
      <w:bookmarkEnd w:id="1"/>
    </w:p>
    <w:p w14:paraId="5FAD9D49" w14:textId="42C3A56C" w:rsidR="005146BC" w:rsidRPr="00B462B9" w:rsidRDefault="005146BC" w:rsidP="00A151C2">
      <w:pPr>
        <w:numPr>
          <w:ilvl w:val="0"/>
          <w:numId w:val="2"/>
        </w:numPr>
      </w:pPr>
      <w:bookmarkStart w:id="2" w:name="_Ref54347760"/>
      <w:r w:rsidRPr="00B462B9">
        <w:t>Indication/reporting mechanism</w:t>
      </w:r>
      <w:bookmarkEnd w:id="2"/>
    </w:p>
    <w:p w14:paraId="66ADF3A1" w14:textId="4DD2C37A" w:rsidR="005146BC" w:rsidRPr="00B462B9" w:rsidRDefault="005146BC" w:rsidP="00A151C2">
      <w:pPr>
        <w:numPr>
          <w:ilvl w:val="0"/>
          <w:numId w:val="2"/>
        </w:numPr>
      </w:pPr>
      <w:r w:rsidRPr="00B462B9">
        <w:t>RS triggering/signalling/transmission mechanism</w:t>
      </w:r>
    </w:p>
    <w:p w14:paraId="536D5CBC" w14:textId="1817886B" w:rsidR="00A86004" w:rsidRDefault="00A86004" w:rsidP="009F300C">
      <w:r>
        <w:t xml:space="preserve">Several proposals very discussed and a list of candidate codebook structures was agreed. In this contribution we </w:t>
      </w:r>
      <w:r w:rsidR="007E17A4">
        <w:t>analyse and discuss these</w:t>
      </w:r>
      <w:r>
        <w:t xml:space="preserve"> proposals</w:t>
      </w:r>
      <w:r w:rsidR="007E17A4">
        <w:t xml:space="preserve"> in detail and identify the following main differentiating aspects:</w:t>
      </w:r>
    </w:p>
    <w:p w14:paraId="59D92E16" w14:textId="3A77B323" w:rsidR="007E17A4" w:rsidRDefault="007E17A4" w:rsidP="007E17A4">
      <w:pPr>
        <w:pStyle w:val="ListParagraph"/>
        <w:numPr>
          <w:ilvl w:val="0"/>
          <w:numId w:val="41"/>
        </w:numPr>
      </w:pPr>
      <w:r>
        <w:t xml:space="preserve">The role of </w:t>
      </w:r>
      <m:oMath>
        <m:sSub>
          <m:sSubPr>
            <m:ctrlPr>
              <w:rPr>
                <w:rFonts w:ascii="Cambria Math" w:hAnsi="Cambria Math"/>
                <w:i/>
              </w:rPr>
            </m:ctrlPr>
          </m:sSubPr>
          <m:e>
            <m:r>
              <m:rPr>
                <m:sty m:val="bi"/>
              </m:rPr>
              <w:rPr>
                <w:rFonts w:ascii="Cambria Math" w:hAnsi="Cambria Math"/>
              </w:rPr>
              <m:t>W</m:t>
            </m:r>
          </m:e>
          <m:sub>
            <m:r>
              <w:rPr>
                <w:rFonts w:ascii="Cambria Math" w:hAnsi="Cambria Math"/>
              </w:rPr>
              <m:t>f</m:t>
            </m:r>
          </m:sub>
        </m:sSub>
      </m:oMath>
      <w:r>
        <w:t>, where three design alternatives are proposed</w:t>
      </w:r>
    </w:p>
    <w:p w14:paraId="1D202121" w14:textId="7BD41333" w:rsidR="007E17A4" w:rsidRDefault="007E17A4" w:rsidP="007E17A4">
      <w:pPr>
        <w:pStyle w:val="ListParagraph"/>
        <w:numPr>
          <w:ilvl w:val="0"/>
          <w:numId w:val="41"/>
        </w:numPr>
        <w:spacing w:after="180"/>
        <w:ind w:left="714" w:hanging="357"/>
      </w:pPr>
      <w:r>
        <w:t>Mapping of SD-FD pairs to CSI-RS ports, where single or multiple pairs may be mapped in a single port</w:t>
      </w:r>
    </w:p>
    <w:p w14:paraId="6E49561C" w14:textId="128AEE8C" w:rsidR="007E17A4" w:rsidRDefault="007E17A4" w:rsidP="007E17A4">
      <w:r>
        <w:t xml:space="preserve">Both these codebook aspects play an important role in reducing the CSI-RS overhead, which is critical </w:t>
      </w:r>
      <w:r w:rsidRPr="007E17A4">
        <w:rPr>
          <w:rFonts w:eastAsia="Times New Roman"/>
        </w:rPr>
        <w:t>when scheduling multiple UEs simultaneously for CSI reports with a large number of UE-specific CSI-RS ports,</w:t>
      </w:r>
      <w:r>
        <w:rPr>
          <w:rFonts w:eastAsia="Times New Roman"/>
        </w:rPr>
        <w:t xml:space="preserve"> for example</w:t>
      </w:r>
      <w:r w:rsidRPr="007E17A4">
        <w:rPr>
          <w:rFonts w:eastAsia="Times New Roman"/>
        </w:rPr>
        <w:t xml:space="preserve"> 32</w:t>
      </w:r>
      <w:r>
        <w:rPr>
          <w:rFonts w:eastAsia="Times New Roman"/>
        </w:rPr>
        <w:t>.</w:t>
      </w:r>
      <w:r>
        <w:t xml:space="preserve"> </w:t>
      </w:r>
      <w:r w:rsidR="00792394">
        <w:t>We elaborate on the merits of different schemes and articulate our proposals supported by extensive simulation results.</w:t>
      </w:r>
    </w:p>
    <w:p w14:paraId="6D1E61D6" w14:textId="204F978E" w:rsidR="00EE35DC" w:rsidRDefault="005146BC" w:rsidP="00EE35DC">
      <w:r w:rsidRPr="00B462B9">
        <w:t>For M</w:t>
      </w:r>
      <w:r w:rsidR="004E2612" w:rsidRPr="00B462B9">
        <w:t>-</w:t>
      </w:r>
      <w:r w:rsidRPr="00B462B9">
        <w:t>TRP CSI enhancement,</w:t>
      </w:r>
      <w:r w:rsidR="00D7638C">
        <w:t xml:space="preserve"> it was agreed to prioritise </w:t>
      </w:r>
      <w:r w:rsidR="00D7638C" w:rsidRPr="00D639B0">
        <w:rPr>
          <w:rFonts w:eastAsia="Batang"/>
          <w:szCs w:val="24"/>
          <w:lang w:eastAsia="x-none"/>
        </w:rPr>
        <w:t>NC</w:t>
      </w:r>
      <w:r w:rsidR="00EE35DC">
        <w:rPr>
          <w:rFonts w:eastAsia="Batang"/>
          <w:szCs w:val="24"/>
          <w:lang w:eastAsia="x-none"/>
        </w:rPr>
        <w:t>-</w:t>
      </w:r>
      <w:r w:rsidR="00D7638C" w:rsidRPr="00D639B0">
        <w:rPr>
          <w:rFonts w:eastAsia="Batang"/>
          <w:szCs w:val="24"/>
          <w:lang w:eastAsia="x-none"/>
        </w:rPr>
        <w:t>JT CSI enhancement with single reporting setting</w:t>
      </w:r>
      <w:r w:rsidR="00D7638C">
        <w:rPr>
          <w:rFonts w:eastAsia="Batang"/>
          <w:szCs w:val="24"/>
          <w:lang w:eastAsia="x-none"/>
        </w:rPr>
        <w:t>. Moreover,</w:t>
      </w:r>
      <w:r w:rsidRPr="00B462B9">
        <w:t xml:space="preserve"> </w:t>
      </w:r>
      <w:r w:rsidR="00EE35DC">
        <w:t>the main agreements reached can be summarised as follows:</w:t>
      </w:r>
    </w:p>
    <w:p w14:paraId="038E8CDF" w14:textId="22F851A9" w:rsidR="00EE35DC" w:rsidRDefault="00EE35DC" w:rsidP="00EE35DC">
      <w:pPr>
        <w:pStyle w:val="ListParagraph"/>
        <w:numPr>
          <w:ilvl w:val="0"/>
          <w:numId w:val="43"/>
        </w:numPr>
      </w:pPr>
      <w:r>
        <w:t xml:space="preserve">For NC-JT measurement with </w:t>
      </w:r>
      <w:r w:rsidR="00C20512">
        <w:t>one</w:t>
      </w:r>
      <w:r>
        <w:t xml:space="preserve"> CSI Reporting Setting, it was agreed that </w:t>
      </w:r>
      <w:r>
        <w:rPr>
          <w:rFonts w:eastAsia="Batang"/>
        </w:rPr>
        <w:t>CMR</w:t>
      </w:r>
      <w:r w:rsidRPr="00D639B0">
        <w:rPr>
          <w:rFonts w:eastAsia="Batang"/>
        </w:rPr>
        <w:t xml:space="preserve"> resources are associated to different TRPs/TCI states at resource level</w:t>
      </w:r>
      <w:r>
        <w:t>.</w:t>
      </w:r>
    </w:p>
    <w:p w14:paraId="46F37B1F" w14:textId="6B133BCC" w:rsidR="00EE35DC" w:rsidRPr="00EE35DC" w:rsidRDefault="00EE35DC" w:rsidP="00EE35DC">
      <w:pPr>
        <w:pStyle w:val="ListParagraph"/>
        <w:numPr>
          <w:ilvl w:val="0"/>
          <w:numId w:val="43"/>
        </w:numPr>
      </w:pPr>
      <w:r>
        <w:t xml:space="preserve">For NC-JT reporting with </w:t>
      </w:r>
      <w:r w:rsidR="00C20512">
        <w:t>one</w:t>
      </w:r>
      <w:r>
        <w:t xml:space="preserve"> CSI Reporting Setting, it was agreed that a UE may report </w:t>
      </w:r>
      <w:r w:rsidRPr="00EE35DC">
        <w:rPr>
          <w:rFonts w:ascii="Times" w:eastAsia="Malgun Gothic" w:hAnsi="Times"/>
          <w:lang w:val="en-US" w:eastAsia="x-none"/>
        </w:rPr>
        <w:t>two RIs, two PMIs, two LIs and one CQI per codeword</w:t>
      </w:r>
      <w:r w:rsidR="00A73893">
        <w:rPr>
          <w:rFonts w:ascii="Times" w:eastAsia="Malgun Gothic" w:hAnsi="Times"/>
          <w:lang w:val="en-US" w:eastAsia="x-none"/>
        </w:rPr>
        <w:t>.</w:t>
      </w:r>
    </w:p>
    <w:p w14:paraId="36A1EB8D" w14:textId="3A6C7561" w:rsidR="00EE35DC" w:rsidRDefault="00EE35DC" w:rsidP="00EE35DC">
      <w:pPr>
        <w:pStyle w:val="ListParagraph"/>
        <w:numPr>
          <w:ilvl w:val="0"/>
          <w:numId w:val="43"/>
        </w:numPr>
      </w:pPr>
      <w:r>
        <w:t xml:space="preserve">For </w:t>
      </w:r>
      <w:r w:rsidR="00C20512">
        <w:t xml:space="preserve">CSI reporting with one CSI Reporting Setting, </w:t>
      </w:r>
      <w:r w:rsidR="00A73893">
        <w:t>three alternatives were listed including one, two or three CSIs in the same report.</w:t>
      </w:r>
    </w:p>
    <w:p w14:paraId="6DDFE8A5" w14:textId="168450E6" w:rsidR="00A73893" w:rsidRPr="00B462B9" w:rsidRDefault="00A73893" w:rsidP="005B135B">
      <w:pPr>
        <w:pStyle w:val="ListParagraph"/>
        <w:numPr>
          <w:ilvl w:val="0"/>
          <w:numId w:val="43"/>
        </w:numPr>
        <w:spacing w:after="180"/>
        <w:ind w:left="765" w:hanging="357"/>
      </w:pPr>
      <w:r>
        <w:t>For NC-JT measurement based on multi-DCI, a working assumption was agreed with two alternative options</w:t>
      </w:r>
      <w:r w:rsidR="005B135B">
        <w:t>: an explicit or implicit association between the two CSI Reporting Settings.</w:t>
      </w:r>
    </w:p>
    <w:p w14:paraId="7CFCF6DA" w14:textId="3157D595" w:rsidR="00A86004" w:rsidRDefault="005B135B" w:rsidP="009F300C">
      <w:r>
        <w:t>In this contribution, we discuss our proposals for the many open points remaining in the measurement and reporting aspects of M-TRP CSI.</w:t>
      </w:r>
    </w:p>
    <w:p w14:paraId="11A9908B" w14:textId="77777777" w:rsidR="005B135B" w:rsidRDefault="005B135B" w:rsidP="009F300C"/>
    <w:p w14:paraId="5F8ECB26" w14:textId="13CC7424" w:rsidR="00DF5CDA" w:rsidRPr="002D6B2B" w:rsidRDefault="00DF5CDA">
      <w:pPr>
        <w:pStyle w:val="Heading1"/>
      </w:pPr>
      <w:bookmarkStart w:id="3" w:name="_Ref54347807"/>
      <w:r w:rsidRPr="002D6B2B">
        <w:t>2</w:t>
      </w:r>
      <w:r w:rsidRPr="002D6B2B">
        <w:tab/>
      </w:r>
      <w:r w:rsidR="00021C0A">
        <w:t xml:space="preserve">FDD </w:t>
      </w:r>
      <w:r w:rsidR="002821B4" w:rsidRPr="002D6B2B">
        <w:t xml:space="preserve">CSI reporting </w:t>
      </w:r>
      <w:r w:rsidR="00021C0A">
        <w:t>with partial reciprocity</w:t>
      </w:r>
      <w:bookmarkEnd w:id="3"/>
    </w:p>
    <w:p w14:paraId="797285F5" w14:textId="77777777" w:rsidR="00A10E23" w:rsidRDefault="00A10E23" w:rsidP="00385572"/>
    <w:p w14:paraId="34B6169E" w14:textId="037D4FFE" w:rsidR="00385572" w:rsidRPr="00385572" w:rsidRDefault="00385572" w:rsidP="00385572">
      <w:r>
        <w:t>In RAN1#103-e, several alternatives were listed for the codebook structure as detailed in the following agreement</w:t>
      </w:r>
      <w:r w:rsidR="00753E07">
        <w:t>.</w:t>
      </w:r>
    </w:p>
    <w:p w14:paraId="6635C2A2" w14:textId="77777777" w:rsidR="00B4717D" w:rsidRPr="0022298F" w:rsidRDefault="00B4717D" w:rsidP="00B4717D">
      <w:pPr>
        <w:rPr>
          <w:i/>
          <w:iCs/>
        </w:rPr>
      </w:pPr>
      <w:r w:rsidRPr="0022298F">
        <w:rPr>
          <w:rFonts w:asciiTheme="minorHAnsi" w:hAnsi="Calibri" w:cstheme="minorBidi"/>
          <w:b/>
          <w:bCs/>
          <w:i/>
          <w:iCs/>
          <w:color w:val="000000" w:themeColor="text1"/>
          <w:kern w:val="24"/>
          <w:highlight w:val="green"/>
        </w:rPr>
        <w:t>Agreement</w:t>
      </w:r>
    </w:p>
    <w:p w14:paraId="697A23E8" w14:textId="7A95907D" w:rsidR="00385572" w:rsidRPr="0022298F" w:rsidRDefault="00385572" w:rsidP="00385572">
      <w:pPr>
        <w:spacing w:after="0"/>
        <w:jc w:val="both"/>
        <w:rPr>
          <w:rFonts w:asciiTheme="minorHAnsi" w:eastAsia="Times New Roman" w:hAnsiTheme="minorHAnsi" w:cstheme="minorHAnsi"/>
          <w:i/>
          <w:iCs/>
        </w:rPr>
      </w:pPr>
      <w:r w:rsidRPr="0022298F">
        <w:rPr>
          <w:rFonts w:asciiTheme="minorHAnsi" w:eastAsia="Times New Roman" w:hAnsiTheme="minorHAnsi" w:cstheme="minorHAnsi"/>
          <w:i/>
          <w:iCs/>
        </w:rPr>
        <w:t>Study following alternatives, and select one or a combination of multiple alternatives for Rel-17 in RAN1#104-e:</w:t>
      </w:r>
    </w:p>
    <w:p w14:paraId="56D4FCA0" w14:textId="77777777" w:rsidR="00385572" w:rsidRPr="0022298F" w:rsidRDefault="00385572" w:rsidP="00385572">
      <w:pPr>
        <w:spacing w:after="0"/>
        <w:jc w:val="both"/>
        <w:rPr>
          <w:rFonts w:asciiTheme="minorHAnsi" w:eastAsia="Times New Roman" w:hAnsiTheme="minorHAnsi" w:cstheme="minorHAnsi"/>
          <w:i/>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85572" w:rsidRPr="00385572" w14:paraId="5F0D4B4E" w14:textId="77777777" w:rsidTr="00AD3DC3">
        <w:tc>
          <w:tcPr>
            <w:tcW w:w="9839" w:type="dxa"/>
            <w:tcBorders>
              <w:top w:val="single" w:sz="4" w:space="0" w:color="auto"/>
              <w:left w:val="single" w:sz="4" w:space="0" w:color="auto"/>
              <w:bottom w:val="single" w:sz="4" w:space="0" w:color="auto"/>
              <w:right w:val="single" w:sz="4" w:space="0" w:color="auto"/>
            </w:tcBorders>
          </w:tcPr>
          <w:p w14:paraId="0DC075A4" w14:textId="46C3E21F" w:rsidR="00385572" w:rsidRPr="00385572" w:rsidRDefault="00385572" w:rsidP="00385572">
            <w:pPr>
              <w:spacing w:after="0"/>
              <w:jc w:val="both"/>
              <w:rPr>
                <w:rFonts w:asciiTheme="minorHAnsi" w:eastAsia="Times New Roman" w:hAnsiTheme="minorHAnsi" w:cstheme="minorHAnsi"/>
                <w:sz w:val="16"/>
                <w:szCs w:val="16"/>
              </w:rPr>
            </w:pPr>
            <w:r w:rsidRPr="00385572">
              <w:rPr>
                <w:rFonts w:asciiTheme="minorHAnsi" w:eastAsia="Times New Roman" w:hAnsiTheme="minorHAnsi" w:cstheme="minorHAnsi"/>
                <w:noProof/>
                <w:sz w:val="16"/>
                <w:szCs w:val="16"/>
              </w:rPr>
              <w:lastRenderedPageBreak/>
              <w:drawing>
                <wp:inline distT="0" distB="0" distL="0" distR="0" wp14:anchorId="7861A435" wp14:editId="3DA6E59F">
                  <wp:extent cx="5737860" cy="1600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7860" cy="160020"/>
                          </a:xfrm>
                          <a:prstGeom prst="rect">
                            <a:avLst/>
                          </a:prstGeom>
                          <a:noFill/>
                          <a:ln>
                            <a:noFill/>
                          </a:ln>
                        </pic:spPr>
                      </pic:pic>
                    </a:graphicData>
                  </a:graphic>
                </wp:inline>
              </w:drawing>
            </w:r>
          </w:p>
          <w:p w14:paraId="2B6DDFCF" w14:textId="77777777" w:rsidR="00385572" w:rsidRPr="00385572" w:rsidRDefault="00385572" w:rsidP="00385572">
            <w:pPr>
              <w:spacing w:after="0"/>
              <w:jc w:val="both"/>
              <w:rPr>
                <w:rFonts w:asciiTheme="minorHAnsi" w:eastAsia="Times New Roman" w:hAnsiTheme="minorHAnsi" w:cstheme="minorHAnsi"/>
                <w:sz w:val="16"/>
                <w:szCs w:val="16"/>
              </w:rPr>
            </w:pPr>
          </w:p>
          <w:p w14:paraId="312FC9C3" w14:textId="43C90FF6" w:rsidR="00385572" w:rsidRPr="00385572" w:rsidRDefault="00385572" w:rsidP="00385572">
            <w:pPr>
              <w:spacing w:after="0"/>
              <w:jc w:val="both"/>
              <w:rPr>
                <w:rFonts w:asciiTheme="minorHAnsi" w:eastAsia="Times New Roman" w:hAnsiTheme="minorHAnsi" w:cstheme="minorHAnsi"/>
                <w:sz w:val="16"/>
                <w:szCs w:val="16"/>
              </w:rPr>
            </w:pPr>
            <w:r w:rsidRPr="00385572">
              <w:rPr>
                <w:rFonts w:asciiTheme="minorHAnsi" w:eastAsia="Times New Roman" w:hAnsiTheme="minorHAnsi" w:cstheme="minorHAnsi"/>
                <w:noProof/>
                <w:sz w:val="16"/>
                <w:szCs w:val="16"/>
              </w:rPr>
              <w:drawing>
                <wp:inline distT="0" distB="0" distL="0" distR="0" wp14:anchorId="54E583A8" wp14:editId="5E216FC0">
                  <wp:extent cx="5737860" cy="14325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7860" cy="1432560"/>
                          </a:xfrm>
                          <a:prstGeom prst="rect">
                            <a:avLst/>
                          </a:prstGeom>
                          <a:noFill/>
                          <a:ln>
                            <a:noFill/>
                          </a:ln>
                        </pic:spPr>
                      </pic:pic>
                    </a:graphicData>
                  </a:graphic>
                </wp:inline>
              </w:drawing>
            </w:r>
          </w:p>
          <w:p w14:paraId="115C1536" w14:textId="77777777" w:rsidR="00385572" w:rsidRPr="00385572" w:rsidRDefault="00385572" w:rsidP="00385572">
            <w:pPr>
              <w:spacing w:after="0"/>
              <w:jc w:val="both"/>
              <w:rPr>
                <w:rFonts w:asciiTheme="minorHAnsi" w:eastAsia="Times New Roman" w:hAnsiTheme="minorHAnsi" w:cstheme="minorHAnsi"/>
                <w:sz w:val="16"/>
                <w:szCs w:val="16"/>
              </w:rPr>
            </w:pPr>
          </w:p>
          <w:p w14:paraId="14A66427" w14:textId="06773BCF" w:rsidR="00385572" w:rsidRPr="00385572" w:rsidRDefault="00385572" w:rsidP="00385572">
            <w:pPr>
              <w:spacing w:after="0"/>
              <w:jc w:val="both"/>
              <w:rPr>
                <w:rFonts w:asciiTheme="minorHAnsi" w:eastAsia="Times New Roman" w:hAnsiTheme="minorHAnsi" w:cstheme="minorHAnsi"/>
                <w:sz w:val="16"/>
                <w:szCs w:val="16"/>
              </w:rPr>
            </w:pPr>
            <w:r w:rsidRPr="00385572">
              <w:rPr>
                <w:rFonts w:asciiTheme="minorHAnsi" w:eastAsia="Times New Roman" w:hAnsiTheme="minorHAnsi" w:cstheme="minorHAnsi"/>
                <w:noProof/>
                <w:sz w:val="16"/>
                <w:szCs w:val="16"/>
              </w:rPr>
              <w:drawing>
                <wp:inline distT="0" distB="0" distL="0" distR="0" wp14:anchorId="03F8AE5C" wp14:editId="0842D1CC">
                  <wp:extent cx="5737860" cy="27813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37860" cy="2781300"/>
                          </a:xfrm>
                          <a:prstGeom prst="rect">
                            <a:avLst/>
                          </a:prstGeom>
                          <a:noFill/>
                          <a:ln>
                            <a:noFill/>
                          </a:ln>
                        </pic:spPr>
                      </pic:pic>
                    </a:graphicData>
                  </a:graphic>
                </wp:inline>
              </w:drawing>
            </w:r>
          </w:p>
          <w:p w14:paraId="4E5CF419" w14:textId="0805AE70" w:rsidR="00385572" w:rsidRPr="00385572" w:rsidRDefault="00385572" w:rsidP="00385572">
            <w:pPr>
              <w:spacing w:after="0"/>
              <w:jc w:val="both"/>
              <w:rPr>
                <w:rFonts w:asciiTheme="minorHAnsi" w:eastAsia="Times New Roman" w:hAnsiTheme="minorHAnsi" w:cstheme="minorHAnsi"/>
                <w:sz w:val="16"/>
                <w:szCs w:val="16"/>
              </w:rPr>
            </w:pPr>
            <w:r w:rsidRPr="00385572">
              <w:rPr>
                <w:rFonts w:asciiTheme="minorHAnsi" w:eastAsia="Times New Roman" w:hAnsiTheme="minorHAnsi" w:cstheme="minorHAnsi"/>
                <w:noProof/>
                <w:sz w:val="16"/>
                <w:szCs w:val="16"/>
              </w:rPr>
              <w:drawing>
                <wp:inline distT="0" distB="0" distL="0" distR="0" wp14:anchorId="7645A93B" wp14:editId="3F3C513F">
                  <wp:extent cx="5737860" cy="22402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37860" cy="2240280"/>
                          </a:xfrm>
                          <a:prstGeom prst="rect">
                            <a:avLst/>
                          </a:prstGeom>
                          <a:noFill/>
                          <a:ln>
                            <a:noFill/>
                          </a:ln>
                        </pic:spPr>
                      </pic:pic>
                    </a:graphicData>
                  </a:graphic>
                </wp:inline>
              </w:drawing>
            </w:r>
          </w:p>
        </w:tc>
      </w:tr>
    </w:tbl>
    <w:p w14:paraId="09AB51D5" w14:textId="6D1AF03E" w:rsidR="00B4717D" w:rsidRPr="00B4717D" w:rsidRDefault="00B4717D" w:rsidP="00385572">
      <w:pPr>
        <w:spacing w:after="0"/>
        <w:jc w:val="both"/>
        <w:rPr>
          <w:rFonts w:asciiTheme="minorHAnsi" w:eastAsia="Times New Roman" w:hAnsiTheme="minorHAnsi" w:cstheme="minorHAnsi"/>
          <w:sz w:val="16"/>
          <w:szCs w:val="16"/>
        </w:rPr>
      </w:pPr>
    </w:p>
    <w:p w14:paraId="04D10C02" w14:textId="1242257B" w:rsidR="00B4717D" w:rsidRDefault="00B4717D" w:rsidP="00B4717D">
      <w:pPr>
        <w:jc w:val="both"/>
        <w:rPr>
          <w:rFonts w:eastAsia="Times New Roman"/>
        </w:rPr>
      </w:pPr>
    </w:p>
    <w:p w14:paraId="1FADEDEC" w14:textId="77777777" w:rsidR="00C12C35" w:rsidRDefault="00100EAE" w:rsidP="00752E25">
      <w:pPr>
        <w:jc w:val="both"/>
        <w:rPr>
          <w:rFonts w:eastAsia="Times New Roman"/>
        </w:rPr>
      </w:pPr>
      <w:r>
        <w:rPr>
          <w:rFonts w:eastAsia="Times New Roman"/>
        </w:rPr>
        <w:t xml:space="preserve">In terms of functional description of the codebook components all alternatives share the same understanding of </w:t>
      </w:r>
      <m:oMath>
        <m:sSub>
          <m:sSubPr>
            <m:ctrlPr>
              <w:rPr>
                <w:rFonts w:ascii="Cambria Math" w:eastAsia="Times New Roman" w:hAnsi="Cambria Math"/>
                <w:i/>
              </w:rPr>
            </m:ctrlPr>
          </m:sSubPr>
          <m:e>
            <m:r>
              <m:rPr>
                <m:sty m:val="bi"/>
              </m:rPr>
              <w:rPr>
                <w:rFonts w:ascii="Cambria Math" w:eastAsia="Times New Roman" w:hAnsi="Cambria Math"/>
              </w:rPr>
              <m:t>W</m:t>
            </m:r>
          </m:e>
          <m:sub>
            <m:r>
              <w:rPr>
                <w:rFonts w:ascii="Cambria Math" w:eastAsia="Times New Roman" w:hAnsi="Cambria Math"/>
              </w:rPr>
              <m:t>2</m:t>
            </m:r>
          </m:sub>
        </m:sSub>
      </m:oMath>
      <w:r>
        <w:rPr>
          <w:rFonts w:eastAsia="Times New Roman"/>
        </w:rPr>
        <w:t xml:space="preserve"> as matrix of combination coefficients and </w:t>
      </w:r>
      <m:oMath>
        <m:sSub>
          <m:sSubPr>
            <m:ctrlPr>
              <w:rPr>
                <w:rFonts w:ascii="Cambria Math" w:eastAsia="Times New Roman" w:hAnsi="Cambria Math"/>
                <w:i/>
              </w:rPr>
            </m:ctrlPr>
          </m:sSubPr>
          <m:e>
            <m:r>
              <m:rPr>
                <m:sty m:val="bi"/>
              </m:rPr>
              <w:rPr>
                <w:rFonts w:ascii="Cambria Math" w:eastAsia="Times New Roman" w:hAnsi="Cambria Math"/>
              </w:rPr>
              <m:t>W</m:t>
            </m:r>
          </m:e>
          <m:sub>
            <m:r>
              <w:rPr>
                <w:rFonts w:ascii="Cambria Math" w:eastAsia="Times New Roman" w:hAnsi="Cambria Math"/>
              </w:rPr>
              <m:t>1</m:t>
            </m:r>
          </m:sub>
        </m:sSub>
      </m:oMath>
      <w:r>
        <w:rPr>
          <w:rFonts w:eastAsia="Times New Roman"/>
        </w:rPr>
        <w:t xml:space="preserve"> as a free selection matrix, except Alt 0, which can be regarded as a special case in which all ports are selected.</w:t>
      </w:r>
      <w:r w:rsidR="008B1AF8">
        <w:rPr>
          <w:rFonts w:eastAsia="Times New Roman"/>
        </w:rPr>
        <w:t xml:space="preserve"> In fact, Alt 0 can be applied to all other alternatives, such that the</w:t>
      </w:r>
      <w:r w:rsidR="000A43A0">
        <w:rPr>
          <w:rFonts w:eastAsia="Times New Roman"/>
        </w:rPr>
        <w:t xml:space="preserve"> freely</w:t>
      </w:r>
      <w:r w:rsidR="008B1AF8">
        <w:rPr>
          <w:rFonts w:eastAsia="Times New Roman"/>
        </w:rPr>
        <w:t xml:space="preserve"> </w:t>
      </w:r>
      <w:r w:rsidR="000A43A0">
        <w:rPr>
          <w:rFonts w:eastAsia="Times New Roman"/>
        </w:rPr>
        <w:t>selected ports are layer-specific and corresponds, for each reported layer</w:t>
      </w:r>
      <w:r w:rsidR="00D74866">
        <w:rPr>
          <w:rFonts w:eastAsia="Times New Roman"/>
        </w:rPr>
        <w:t>,</w:t>
      </w:r>
      <w:r w:rsidR="000A43A0">
        <w:rPr>
          <w:rFonts w:eastAsia="Times New Roman"/>
        </w:rPr>
        <w:t xml:space="preserve"> to the port index associated to the reported nonzero coefficients.</w:t>
      </w:r>
    </w:p>
    <w:p w14:paraId="252C4C56" w14:textId="356B9296" w:rsidR="00830441" w:rsidRPr="00C12C35" w:rsidRDefault="00C12C35" w:rsidP="00752E25">
      <w:pPr>
        <w:jc w:val="both"/>
        <w:rPr>
          <w:rFonts w:eastAsia="Times New Roman"/>
          <w:b/>
          <w:bCs/>
        </w:rPr>
      </w:pPr>
      <w:r w:rsidRPr="00C12C35">
        <w:rPr>
          <w:rFonts w:eastAsia="Times New Roman"/>
          <w:b/>
          <w:bCs/>
        </w:rPr>
        <w:t>Observation</w:t>
      </w:r>
      <w:r w:rsidR="00F05E92">
        <w:rPr>
          <w:rFonts w:eastAsia="Times New Roman"/>
          <w:b/>
          <w:bCs/>
        </w:rPr>
        <w:t xml:space="preserve"> 1</w:t>
      </w:r>
      <w:r w:rsidRPr="00C12C35">
        <w:rPr>
          <w:rFonts w:eastAsia="Times New Roman"/>
          <w:b/>
          <w:bCs/>
        </w:rPr>
        <w:t xml:space="preserve">. Alt 0 can be regarded as a special case </w:t>
      </w:r>
      <w:r w:rsidR="009902DB">
        <w:rPr>
          <w:rFonts w:eastAsia="Times New Roman"/>
          <w:b/>
          <w:bCs/>
        </w:rPr>
        <w:t xml:space="preserve">applicable to </w:t>
      </w:r>
      <w:r w:rsidRPr="00C12C35">
        <w:rPr>
          <w:rFonts w:eastAsia="Times New Roman"/>
          <w:b/>
          <w:bCs/>
        </w:rPr>
        <w:t xml:space="preserve">any of the other alternatives, where the indication of port selection </w:t>
      </w:r>
      <w:r w:rsidR="009902DB">
        <w:rPr>
          <w:rFonts w:eastAsia="Times New Roman"/>
          <w:b/>
          <w:bCs/>
        </w:rPr>
        <w:t>is combined with</w:t>
      </w:r>
      <w:r w:rsidRPr="00C12C35">
        <w:rPr>
          <w:rFonts w:eastAsia="Times New Roman"/>
          <w:b/>
          <w:bCs/>
        </w:rPr>
        <w:t xml:space="preserve"> </w:t>
      </w:r>
      <w:r w:rsidR="009902DB">
        <w:rPr>
          <w:rFonts w:eastAsia="Times New Roman"/>
          <w:b/>
          <w:bCs/>
        </w:rPr>
        <w:t xml:space="preserve">the </w:t>
      </w:r>
      <w:r w:rsidRPr="00C12C35">
        <w:rPr>
          <w:rFonts w:eastAsia="Times New Roman"/>
          <w:b/>
          <w:bCs/>
        </w:rPr>
        <w:t xml:space="preserve">nonzero coefficient selection. This option allows layer-specific port selection and entails </w:t>
      </w:r>
      <w:r w:rsidR="009902DB">
        <w:rPr>
          <w:rFonts w:eastAsia="Times New Roman"/>
          <w:b/>
          <w:bCs/>
        </w:rPr>
        <w:t>larger</w:t>
      </w:r>
      <w:r w:rsidRPr="00C12C35">
        <w:rPr>
          <w:rFonts w:eastAsia="Times New Roman"/>
          <w:b/>
          <w:bCs/>
        </w:rPr>
        <w:t xml:space="preserve"> feedback overhead.</w:t>
      </w:r>
    </w:p>
    <w:p w14:paraId="25587758" w14:textId="07460B4D" w:rsidR="00752E25" w:rsidRDefault="00830441" w:rsidP="00752E25">
      <w:pPr>
        <w:jc w:val="both"/>
        <w:rPr>
          <w:rFonts w:eastAsia="Times New Roman"/>
        </w:rPr>
      </w:pPr>
      <w:r>
        <w:rPr>
          <w:rFonts w:eastAsia="Times New Roman"/>
        </w:rPr>
        <w:t>However, t</w:t>
      </w:r>
      <w:r w:rsidR="00AD3DC3">
        <w:rPr>
          <w:rFonts w:eastAsia="Times New Roman"/>
        </w:rPr>
        <w:t>wo main design</w:t>
      </w:r>
      <w:r w:rsidR="00752E25">
        <w:rPr>
          <w:rFonts w:eastAsia="Times New Roman"/>
        </w:rPr>
        <w:t xml:space="preserve"> differences can be identified across the proposes alternative codebook structures:</w:t>
      </w:r>
    </w:p>
    <w:p w14:paraId="5F71D425" w14:textId="07138EEF" w:rsidR="00752E25" w:rsidRDefault="00752E25" w:rsidP="00752E25">
      <w:pPr>
        <w:pStyle w:val="ListParagraph"/>
        <w:numPr>
          <w:ilvl w:val="0"/>
          <w:numId w:val="32"/>
        </w:numPr>
        <w:jc w:val="both"/>
        <w:rPr>
          <w:rFonts w:eastAsia="Times New Roman"/>
        </w:rPr>
      </w:pPr>
      <w:bookmarkStart w:id="4" w:name="_Ref61341919"/>
      <w:r>
        <w:rPr>
          <w:rFonts w:eastAsia="Times New Roman"/>
        </w:rPr>
        <w:lastRenderedPageBreak/>
        <w:t xml:space="preserve">Role of </w:t>
      </w:r>
      <m:oMath>
        <m:sSub>
          <m:sSubPr>
            <m:ctrlPr>
              <w:rPr>
                <w:rFonts w:ascii="Cambria Math" w:eastAsia="Times New Roman" w:hAnsi="Cambria Math"/>
                <w:i/>
              </w:rPr>
            </m:ctrlPr>
          </m:sSubPr>
          <m:e>
            <m:r>
              <m:rPr>
                <m:sty m:val="bi"/>
              </m:rPr>
              <w:rPr>
                <w:rFonts w:ascii="Cambria Math" w:eastAsia="Times New Roman" w:hAnsi="Cambria Math"/>
              </w:rPr>
              <m:t>W</m:t>
            </m:r>
          </m:e>
          <m:sub>
            <m:r>
              <w:rPr>
                <w:rFonts w:ascii="Cambria Math" w:eastAsia="Times New Roman" w:hAnsi="Cambria Math"/>
              </w:rPr>
              <m:t>f</m:t>
            </m:r>
          </m:sub>
        </m:sSub>
      </m:oMath>
      <w:r w:rsidR="00100EAE">
        <w:rPr>
          <w:rFonts w:eastAsia="Times New Roman"/>
        </w:rPr>
        <w:t xml:space="preserve">. </w:t>
      </w:r>
      <w:r w:rsidR="00830441">
        <w:rPr>
          <w:rFonts w:eastAsia="Times New Roman"/>
        </w:rPr>
        <w:t>There are three different proposals</w:t>
      </w:r>
      <w:bookmarkEnd w:id="4"/>
    </w:p>
    <w:p w14:paraId="145F088C" w14:textId="233ADABF" w:rsidR="00830441" w:rsidRDefault="00497DD0" w:rsidP="00830441">
      <w:pPr>
        <w:pStyle w:val="ListParagraph"/>
        <w:numPr>
          <w:ilvl w:val="1"/>
          <w:numId w:val="32"/>
        </w:numPr>
        <w:jc w:val="both"/>
        <w:rPr>
          <w:rFonts w:eastAsia="Times New Roman"/>
        </w:rPr>
      </w:pPr>
      <m:oMath>
        <m:sSub>
          <m:sSubPr>
            <m:ctrlPr>
              <w:rPr>
                <w:rFonts w:ascii="Cambria Math" w:eastAsia="Times New Roman" w:hAnsi="Cambria Math"/>
                <w:i/>
              </w:rPr>
            </m:ctrlPr>
          </m:sSubPr>
          <m:e>
            <m:r>
              <m:rPr>
                <m:sty m:val="bi"/>
              </m:rPr>
              <w:rPr>
                <w:rFonts w:ascii="Cambria Math" w:eastAsia="Times New Roman" w:hAnsi="Cambria Math"/>
              </w:rPr>
              <m:t>W</m:t>
            </m:r>
          </m:e>
          <m:sub>
            <m:r>
              <w:rPr>
                <w:rFonts w:ascii="Cambria Math" w:eastAsia="Times New Roman" w:hAnsi="Cambria Math"/>
              </w:rPr>
              <m:t>f</m:t>
            </m:r>
          </m:sub>
        </m:sSub>
      </m:oMath>
      <w:r w:rsidR="00830441">
        <w:rPr>
          <w:rFonts w:eastAsia="Times New Roman"/>
        </w:rPr>
        <w:t xml:space="preserve"> is not needed (Alt 1 and 2). The understanding is that a UE reports wideband (WB) PMI only and that the calculation of the WB coefficients is left to UE’s implementation, similarly to Rel-15 Type II WB reporting</w:t>
      </w:r>
    </w:p>
    <w:bookmarkStart w:id="5" w:name="_Ref61341920"/>
    <w:bookmarkStart w:id="6" w:name="_Ref61290585"/>
    <w:p w14:paraId="11B80F40" w14:textId="7C1B6677" w:rsidR="002D329B" w:rsidRDefault="00497DD0" w:rsidP="00830441">
      <w:pPr>
        <w:pStyle w:val="ListParagraph"/>
        <w:numPr>
          <w:ilvl w:val="1"/>
          <w:numId w:val="32"/>
        </w:numPr>
        <w:jc w:val="both"/>
        <w:rPr>
          <w:rFonts w:eastAsia="Times New Roman"/>
        </w:rPr>
      </w:pPr>
      <m:oMath>
        <m:sSub>
          <m:sSubPr>
            <m:ctrlPr>
              <w:rPr>
                <w:rFonts w:ascii="Cambria Math" w:eastAsia="Times New Roman" w:hAnsi="Cambria Math"/>
                <w:i/>
              </w:rPr>
            </m:ctrlPr>
          </m:sSubPr>
          <m:e>
            <m:r>
              <m:rPr>
                <m:sty m:val="bi"/>
              </m:rPr>
              <w:rPr>
                <w:rFonts w:ascii="Cambria Math" w:eastAsia="Times New Roman" w:hAnsi="Cambria Math"/>
              </w:rPr>
              <m:t>W</m:t>
            </m:r>
          </m:e>
          <m:sub>
            <m:r>
              <w:rPr>
                <w:rFonts w:ascii="Cambria Math" w:eastAsia="Times New Roman" w:hAnsi="Cambria Math"/>
              </w:rPr>
              <m:t>f</m:t>
            </m:r>
          </m:sub>
        </m:sSub>
      </m:oMath>
      <w:r w:rsidR="00830441">
        <w:rPr>
          <w:rFonts w:eastAsia="Times New Roman"/>
        </w:rPr>
        <w:t xml:space="preserve"> is a DFT-based compression matrix</w:t>
      </w:r>
      <w:r w:rsidR="00054332">
        <w:rPr>
          <w:rFonts w:eastAsia="Times New Roman"/>
        </w:rPr>
        <w:t>, like in Rel-16 eType II codebooks (Alt 3.0, 3.1 and 5).</w:t>
      </w:r>
      <w:r w:rsidR="007F6112">
        <w:rPr>
          <w:rFonts w:eastAsia="Times New Roman"/>
        </w:rPr>
        <w:t xml:space="preserve"> </w:t>
      </w:r>
      <m:oMath>
        <m:sSub>
          <m:sSubPr>
            <m:ctrlPr>
              <w:rPr>
                <w:rFonts w:ascii="Cambria Math" w:eastAsia="Times New Roman" w:hAnsi="Cambria Math"/>
                <w:i/>
              </w:rPr>
            </m:ctrlPr>
          </m:sSubPr>
          <m:e>
            <m:r>
              <m:rPr>
                <m:sty m:val="bi"/>
              </m:rPr>
              <w:rPr>
                <w:rFonts w:ascii="Cambria Math" w:eastAsia="Times New Roman" w:hAnsi="Cambria Math"/>
              </w:rPr>
              <m:t>W</m:t>
            </m:r>
          </m:e>
          <m:sub>
            <m:r>
              <w:rPr>
                <w:rFonts w:ascii="Cambria Math" w:eastAsia="Times New Roman" w:hAnsi="Cambria Math"/>
              </w:rPr>
              <m:t>f</m:t>
            </m:r>
          </m:sub>
        </m:sSub>
      </m:oMath>
      <w:r w:rsidR="007F6112">
        <w:rPr>
          <w:rFonts w:eastAsia="Times New Roman"/>
        </w:rPr>
        <w:t xml:space="preserve"> may be</w:t>
      </w:r>
      <w:r w:rsidR="00054332">
        <w:rPr>
          <w:rFonts w:eastAsia="Times New Roman"/>
        </w:rPr>
        <w:t xml:space="preserve"> configured/indicated to the UE and/or selected/reported by the UE</w:t>
      </w:r>
      <w:r w:rsidR="007F6112">
        <w:rPr>
          <w:rFonts w:eastAsia="Times New Roman"/>
        </w:rPr>
        <w:t>.</w:t>
      </w:r>
      <w:r w:rsidR="002D329B">
        <w:rPr>
          <w:rFonts w:eastAsia="Times New Roman"/>
        </w:rPr>
        <w:t xml:space="preserve"> Maintaining the same functional definition of</w:t>
      </w:r>
      <w:r w:rsidR="002D329B" w:rsidRPr="002D329B">
        <w:rPr>
          <w:rFonts w:eastAsia="Times New Roman"/>
        </w:rPr>
        <w:t xml:space="preserve"> </w:t>
      </w:r>
      <m:oMath>
        <m:sSub>
          <m:sSubPr>
            <m:ctrlPr>
              <w:rPr>
                <w:rFonts w:ascii="Cambria Math" w:eastAsia="Times New Roman" w:hAnsi="Cambria Math"/>
                <w:i/>
              </w:rPr>
            </m:ctrlPr>
          </m:sSubPr>
          <m:e>
            <m:r>
              <m:rPr>
                <m:sty m:val="bi"/>
              </m:rPr>
              <w:rPr>
                <w:rFonts w:ascii="Cambria Math" w:eastAsia="Times New Roman" w:hAnsi="Cambria Math"/>
              </w:rPr>
              <m:t>W</m:t>
            </m:r>
          </m:e>
          <m:sub>
            <m:r>
              <w:rPr>
                <w:rFonts w:ascii="Cambria Math" w:eastAsia="Times New Roman" w:hAnsi="Cambria Math"/>
              </w:rPr>
              <m:t>f</m:t>
            </m:r>
          </m:sub>
        </m:sSub>
      </m:oMath>
      <w:r w:rsidR="002D329B">
        <w:rPr>
          <w:rFonts w:eastAsia="Times New Roman"/>
        </w:rPr>
        <w:t xml:space="preserve"> as in Rel-16,</w:t>
      </w:r>
      <w:r w:rsidR="002D329B" w:rsidRPr="002D329B">
        <w:rPr>
          <w:rFonts w:eastAsia="Times New Roman"/>
        </w:rPr>
        <w:t xml:space="preserve"> as DFT-based compression matrix</w:t>
      </w:r>
      <w:r w:rsidR="002D329B">
        <w:rPr>
          <w:rFonts w:eastAsia="Times New Roman"/>
        </w:rPr>
        <w:t>,</w:t>
      </w:r>
      <w:r w:rsidR="002D329B" w:rsidRPr="002D329B">
        <w:rPr>
          <w:rFonts w:eastAsia="Times New Roman"/>
        </w:rPr>
        <w:t xml:space="preserve"> allows to configure/indicate to a UE to calculate few additional FD components</w:t>
      </w:r>
      <w:r w:rsidR="002C10A0">
        <w:rPr>
          <w:rFonts w:eastAsia="Times New Roman"/>
        </w:rPr>
        <w:t xml:space="preserve">. This </w:t>
      </w:r>
      <w:r w:rsidR="002D329B" w:rsidRPr="002D329B">
        <w:rPr>
          <w:rFonts w:eastAsia="Times New Roman"/>
        </w:rPr>
        <w:t>has the benefit</w:t>
      </w:r>
      <w:r w:rsidR="002C10A0">
        <w:rPr>
          <w:rFonts w:eastAsia="Times New Roman"/>
        </w:rPr>
        <w:t xml:space="preserve"> of reducing the CSI-RS port occupancy by letting a UE calculate some FD components to free up some CSI-RS ports and/or to increase the PMI accuracy if the delays cannot be perfectly pre-compensated. Also note that WB reporting can be configured as a special case for </w:t>
      </w:r>
      <m:oMath>
        <m:sSub>
          <m:sSubPr>
            <m:ctrlPr>
              <w:rPr>
                <w:rFonts w:ascii="Cambria Math" w:eastAsia="Times New Roman" w:hAnsi="Cambria Math"/>
                <w:i/>
              </w:rPr>
            </m:ctrlPr>
          </m:sSubPr>
          <m:e>
            <m:r>
              <w:rPr>
                <w:rFonts w:ascii="Cambria Math" w:eastAsia="Times New Roman" w:hAnsi="Cambria Math"/>
              </w:rPr>
              <m:t>M</m:t>
            </m:r>
          </m:e>
          <m:sub>
            <m:r>
              <w:rPr>
                <w:rFonts w:ascii="Cambria Math" w:eastAsia="Times New Roman" w:hAnsi="Cambria Math"/>
              </w:rPr>
              <m:t>ν</m:t>
            </m:r>
          </m:sub>
        </m:sSub>
        <m:r>
          <w:rPr>
            <w:rFonts w:ascii="Cambria Math" w:eastAsia="Times New Roman" w:hAnsi="Cambria Math"/>
          </w:rPr>
          <m:t>=N=1</m:t>
        </m:r>
      </m:oMath>
      <w:r w:rsidR="002C10A0">
        <w:rPr>
          <w:rFonts w:eastAsia="Times New Roman"/>
        </w:rPr>
        <w:t>. However, in this case, unlike Alt 1 and 2, where the WB coefficients are not specified, a UE reports only the DC component.</w:t>
      </w:r>
      <w:bookmarkEnd w:id="5"/>
    </w:p>
    <w:p w14:paraId="23E6A3EC" w14:textId="74A5A501" w:rsidR="00830441" w:rsidRDefault="007F6112" w:rsidP="002D329B">
      <w:pPr>
        <w:pStyle w:val="ListParagraph"/>
        <w:ind w:left="1440"/>
        <w:jc w:val="both"/>
        <w:rPr>
          <w:rFonts w:eastAsia="Times New Roman"/>
        </w:rPr>
      </w:pPr>
      <w:r>
        <w:rPr>
          <w:rFonts w:eastAsia="Times New Roman"/>
        </w:rPr>
        <w:t xml:space="preserve">Two </w:t>
      </w:r>
      <w:r w:rsidR="006F3F25">
        <w:rPr>
          <w:rFonts w:eastAsia="Times New Roman"/>
        </w:rPr>
        <w:t xml:space="preserve">very similar </w:t>
      </w:r>
      <w:r>
        <w:rPr>
          <w:rFonts w:eastAsia="Times New Roman"/>
        </w:rPr>
        <w:t>variants are proposed:</w:t>
      </w:r>
      <w:bookmarkEnd w:id="6"/>
    </w:p>
    <w:p w14:paraId="7B04B32C" w14:textId="59F526D1" w:rsidR="009B1425" w:rsidRPr="009B1425" w:rsidRDefault="007F6112" w:rsidP="007F6112">
      <w:pPr>
        <w:pStyle w:val="ListParagraph"/>
        <w:numPr>
          <w:ilvl w:val="2"/>
          <w:numId w:val="32"/>
        </w:numPr>
        <w:jc w:val="both"/>
        <w:rPr>
          <w:rFonts w:eastAsia="Times New Roman"/>
        </w:rPr>
      </w:pPr>
      <w:bookmarkStart w:id="7" w:name="_Ref61290560"/>
      <m:oMath>
        <m:r>
          <w:rPr>
            <w:rFonts w:ascii="Cambria Math" w:hAnsi="Cambria Math"/>
          </w:rPr>
          <m:t>1≤</m:t>
        </m:r>
        <m:sSub>
          <m:sSubPr>
            <m:ctrlPr>
              <w:rPr>
                <w:rFonts w:ascii="Cambria Math" w:hAnsi="Cambria Math"/>
                <w:i/>
                <w:iCs/>
              </w:rPr>
            </m:ctrlPr>
          </m:sSubPr>
          <m:e>
            <m:r>
              <w:rPr>
                <w:rFonts w:ascii="Cambria Math" w:eastAsia="Times New Roman" w:hAnsi="Cambria Math"/>
              </w:rPr>
              <m:t>M</m:t>
            </m:r>
          </m:e>
          <m:sub>
            <m:r>
              <w:rPr>
                <w:rFonts w:ascii="Cambria Math" w:eastAsia="Times New Roman" w:hAnsi="Cambria Math"/>
              </w:rPr>
              <m:t>ν</m:t>
            </m:r>
          </m:sub>
        </m:sSub>
        <m:r>
          <w:rPr>
            <w:rFonts w:ascii="Cambria Math" w:eastAsia="Times New Roman" w:hAnsi="Cambria Math"/>
          </w:rPr>
          <m:t>≤</m:t>
        </m:r>
        <m:sSub>
          <m:sSubPr>
            <m:ctrlPr>
              <w:rPr>
                <w:rFonts w:ascii="Cambria Math" w:hAnsi="Cambria Math"/>
                <w:i/>
                <w:iCs/>
              </w:rPr>
            </m:ctrlPr>
          </m:sSubPr>
          <m:e>
            <m:r>
              <w:rPr>
                <w:rFonts w:ascii="Cambria Math" w:eastAsia="Times New Roman" w:hAnsi="Cambria Math"/>
              </w:rPr>
              <m:t>N</m:t>
            </m:r>
          </m:e>
          <m:sub>
            <m:r>
              <w:rPr>
                <w:rFonts w:ascii="Cambria Math" w:eastAsia="Times New Roman" w:hAnsi="Cambria Math"/>
              </w:rPr>
              <m:t>3</m:t>
            </m:r>
          </m:sub>
        </m:sSub>
      </m:oMath>
      <w:r w:rsidR="007622EC">
        <w:rPr>
          <w:rFonts w:eastAsia="Times New Roman"/>
          <w:iCs/>
        </w:rPr>
        <w:t xml:space="preserve"> (Alt 3.0)</w:t>
      </w:r>
      <w:r>
        <w:rPr>
          <w:rFonts w:eastAsia="Times New Roman"/>
          <w:iCs/>
        </w:rPr>
        <w:t xml:space="preserve">, </w:t>
      </w:r>
      <w:r w:rsidR="00F70D9E">
        <w:rPr>
          <w:rFonts w:eastAsia="Times New Roman"/>
          <w:iCs/>
        </w:rPr>
        <w:t xml:space="preserve">where </w:t>
      </w:r>
      <m:oMath>
        <m:sSub>
          <m:sSubPr>
            <m:ctrlPr>
              <w:rPr>
                <w:rFonts w:ascii="Cambria Math" w:eastAsia="Times New Roman" w:hAnsi="Cambria Math"/>
                <w:i/>
                <w:iCs/>
              </w:rPr>
            </m:ctrlPr>
          </m:sSubPr>
          <m:e>
            <m:r>
              <w:rPr>
                <w:rFonts w:ascii="Cambria Math" w:eastAsia="Times New Roman" w:hAnsi="Cambria Math"/>
              </w:rPr>
              <m:t>M</m:t>
            </m:r>
          </m:e>
          <m:sub>
            <m:r>
              <w:rPr>
                <w:rFonts w:ascii="Cambria Math" w:eastAsia="Times New Roman" w:hAnsi="Cambria Math"/>
              </w:rPr>
              <m:t>ν</m:t>
            </m:r>
          </m:sub>
        </m:sSub>
      </m:oMath>
      <w:r w:rsidR="00F70D9E">
        <w:rPr>
          <w:rFonts w:eastAsia="Times New Roman"/>
          <w:iCs/>
        </w:rPr>
        <w:t xml:space="preserve"> is the number of FD components</w:t>
      </w:r>
      <w:r w:rsidR="006E6738">
        <w:rPr>
          <w:rFonts w:eastAsia="Times New Roman"/>
          <w:iCs/>
        </w:rPr>
        <w:t xml:space="preserve"> configured or indicated by the network</w:t>
      </w:r>
      <w:r w:rsidR="00F70D9E">
        <w:rPr>
          <w:rFonts w:eastAsia="Times New Roman"/>
          <w:iCs/>
        </w:rPr>
        <w:t>.</w:t>
      </w:r>
      <w:bookmarkEnd w:id="7"/>
    </w:p>
    <w:p w14:paraId="7C13A31C" w14:textId="2CBA1D59" w:rsidR="000D43FE" w:rsidRPr="000D43FE" w:rsidRDefault="006E6738" w:rsidP="009B1425">
      <w:pPr>
        <w:pStyle w:val="ListParagraph"/>
        <w:ind w:left="2160"/>
        <w:jc w:val="both"/>
        <w:rPr>
          <w:rFonts w:eastAsia="Times New Roman"/>
        </w:rPr>
      </w:pPr>
      <w:r>
        <w:rPr>
          <w:rFonts w:eastAsia="Times New Roman"/>
          <w:iCs/>
        </w:rPr>
        <w:t xml:space="preserve">In this formulation, if the selection of the FD components is done by the UE, these are presumably selected in the complete set of </w:t>
      </w:r>
      <m:oMath>
        <m:sSub>
          <m:sSubPr>
            <m:ctrlPr>
              <w:rPr>
                <w:rFonts w:ascii="Cambria Math" w:eastAsia="Times New Roman" w:hAnsi="Cambria Math"/>
                <w:i/>
                <w:iCs/>
              </w:rPr>
            </m:ctrlPr>
          </m:sSubPr>
          <m:e>
            <m:r>
              <w:rPr>
                <w:rFonts w:ascii="Cambria Math" w:eastAsia="Times New Roman" w:hAnsi="Cambria Math"/>
              </w:rPr>
              <m:t>N</m:t>
            </m:r>
          </m:e>
          <m:sub>
            <m:r>
              <w:rPr>
                <w:rFonts w:ascii="Cambria Math" w:eastAsia="Times New Roman" w:hAnsi="Cambria Math"/>
              </w:rPr>
              <m:t>3</m:t>
            </m:r>
          </m:sub>
        </m:sSub>
      </m:oMath>
      <w:r>
        <w:rPr>
          <w:rFonts w:eastAsia="Times New Roman"/>
          <w:iCs/>
        </w:rPr>
        <w:t xml:space="preserve"> components, </w:t>
      </w:r>
      <w:r w:rsidR="00391BC5">
        <w:rPr>
          <w:rFonts w:eastAsia="Times New Roman"/>
          <w:iCs/>
        </w:rPr>
        <w:t xml:space="preserve">in a similar mechanism as in Rel-16 eType II for </w:t>
      </w:r>
      <m:oMath>
        <m:sSub>
          <m:sSubPr>
            <m:ctrlPr>
              <w:rPr>
                <w:rFonts w:ascii="Cambria Math" w:eastAsia="Times New Roman" w:hAnsi="Cambria Math"/>
                <w:i/>
                <w:iCs/>
              </w:rPr>
            </m:ctrlPr>
          </m:sSubPr>
          <m:e>
            <m:r>
              <w:rPr>
                <w:rFonts w:ascii="Cambria Math" w:eastAsia="Times New Roman" w:hAnsi="Cambria Math"/>
              </w:rPr>
              <m:t>N</m:t>
            </m:r>
          </m:e>
          <m:sub>
            <m:r>
              <w:rPr>
                <w:rFonts w:ascii="Cambria Math" w:eastAsia="Times New Roman" w:hAnsi="Cambria Math"/>
              </w:rPr>
              <m:t>3</m:t>
            </m:r>
          </m:sub>
        </m:sSub>
        <m:r>
          <w:rPr>
            <w:rFonts w:ascii="Cambria Math" w:eastAsia="Times New Roman" w:hAnsi="Cambria Math"/>
          </w:rPr>
          <m:t>≤19</m:t>
        </m:r>
      </m:oMath>
      <w:r w:rsidR="00391BC5">
        <w:rPr>
          <w:rFonts w:eastAsia="Times New Roman"/>
          <w:iCs/>
        </w:rPr>
        <w:t>.</w:t>
      </w:r>
      <w:r>
        <w:rPr>
          <w:rFonts w:eastAsia="Times New Roman"/>
          <w:iCs/>
        </w:rPr>
        <w:t xml:space="preserve"> </w:t>
      </w:r>
      <w:r w:rsidR="00391BC5">
        <w:rPr>
          <w:rFonts w:eastAsia="Times New Roman"/>
          <w:iCs/>
        </w:rPr>
        <w:t>In this case, only one port may be needed per spatial beam, as the UE would calculate all the FD components.</w:t>
      </w:r>
      <w:r w:rsidR="006E5244">
        <w:rPr>
          <w:rFonts w:eastAsia="Times New Roman"/>
          <w:iCs/>
        </w:rPr>
        <w:t xml:space="preserve"> The advantage of FD precoding, in this case, is the ability of the network to “align” the delay profile of different beams to focus, statistically, the energy of different beams in a smaller number of delays. </w:t>
      </w:r>
      <w:r w:rsidR="000D43FE">
        <w:rPr>
          <w:rFonts w:eastAsia="Times New Roman"/>
          <w:iCs/>
        </w:rPr>
        <w:t>However</w:t>
      </w:r>
      <w:r w:rsidR="00391BC5">
        <w:rPr>
          <w:rFonts w:eastAsia="Times New Roman"/>
          <w:iCs/>
        </w:rPr>
        <w:t xml:space="preserve">, complexity and reporting overhead to indicate the selected </w:t>
      </w:r>
      <m:oMath>
        <m:sSub>
          <m:sSubPr>
            <m:ctrlPr>
              <w:rPr>
                <w:rFonts w:ascii="Cambria Math" w:eastAsia="Times New Roman" w:hAnsi="Cambria Math"/>
                <w:i/>
                <w:iCs/>
              </w:rPr>
            </m:ctrlPr>
          </m:sSubPr>
          <m:e>
            <m:r>
              <w:rPr>
                <w:rFonts w:ascii="Cambria Math" w:eastAsia="Times New Roman" w:hAnsi="Cambria Math"/>
              </w:rPr>
              <m:t>M</m:t>
            </m:r>
          </m:e>
          <m:sub>
            <m:r>
              <w:rPr>
                <w:rFonts w:ascii="Cambria Math" w:eastAsia="Times New Roman" w:hAnsi="Cambria Math"/>
              </w:rPr>
              <m:t>ν</m:t>
            </m:r>
          </m:sub>
        </m:sSub>
      </m:oMath>
      <w:r w:rsidR="00391BC5">
        <w:rPr>
          <w:rFonts w:eastAsia="Times New Roman"/>
          <w:iCs/>
        </w:rPr>
        <w:t xml:space="preserve"> components would be comparable to those of Rel-16.</w:t>
      </w:r>
    </w:p>
    <w:p w14:paraId="4F2F72AE" w14:textId="479BF86B" w:rsidR="006E6738" w:rsidRPr="006E6738" w:rsidRDefault="00391BC5" w:rsidP="000D43FE">
      <w:pPr>
        <w:pStyle w:val="ListParagraph"/>
        <w:ind w:left="2160"/>
        <w:jc w:val="both"/>
        <w:rPr>
          <w:rFonts w:eastAsia="Times New Roman"/>
        </w:rPr>
      </w:pPr>
      <w:r>
        <w:rPr>
          <w:rFonts w:eastAsia="Times New Roman"/>
          <w:iCs/>
        </w:rPr>
        <w:t xml:space="preserve">Alternatively, the </w:t>
      </w:r>
      <m:oMath>
        <m:sSub>
          <m:sSubPr>
            <m:ctrlPr>
              <w:rPr>
                <w:rFonts w:ascii="Cambria Math" w:eastAsia="Times New Roman" w:hAnsi="Cambria Math"/>
                <w:i/>
                <w:iCs/>
              </w:rPr>
            </m:ctrlPr>
          </m:sSubPr>
          <m:e>
            <m:r>
              <w:rPr>
                <w:rFonts w:ascii="Cambria Math" w:eastAsia="Times New Roman" w:hAnsi="Cambria Math"/>
              </w:rPr>
              <m:t>M</m:t>
            </m:r>
          </m:e>
          <m:sub>
            <m:r>
              <w:rPr>
                <w:rFonts w:ascii="Cambria Math" w:eastAsia="Times New Roman" w:hAnsi="Cambria Math"/>
              </w:rPr>
              <m:t>ν</m:t>
            </m:r>
          </m:sub>
        </m:sSub>
      </m:oMath>
      <w:r>
        <w:rPr>
          <w:rFonts w:eastAsia="Times New Roman"/>
          <w:iCs/>
        </w:rPr>
        <w:t xml:space="preserve"> FD components may be determined at the gNB, for example corresponding to a window of size </w:t>
      </w:r>
      <m:oMath>
        <m:sSub>
          <m:sSubPr>
            <m:ctrlPr>
              <w:rPr>
                <w:rFonts w:ascii="Cambria Math" w:eastAsia="Times New Roman" w:hAnsi="Cambria Math"/>
                <w:i/>
                <w:iCs/>
              </w:rPr>
            </m:ctrlPr>
          </m:sSubPr>
          <m:e>
            <m:r>
              <w:rPr>
                <w:rFonts w:ascii="Cambria Math" w:eastAsia="Times New Roman" w:hAnsi="Cambria Math"/>
              </w:rPr>
              <m:t>M</m:t>
            </m:r>
          </m:e>
          <m:sub>
            <m:r>
              <w:rPr>
                <w:rFonts w:ascii="Cambria Math" w:eastAsia="Times New Roman" w:hAnsi="Cambria Math"/>
              </w:rPr>
              <m:t>ν</m:t>
            </m:r>
          </m:sub>
        </m:sSub>
      </m:oMath>
      <w:r>
        <w:rPr>
          <w:rFonts w:eastAsia="Times New Roman"/>
          <w:iCs/>
        </w:rPr>
        <w:t xml:space="preserve"> and initial point 0. In this case, </w:t>
      </w:r>
      <w:r w:rsidR="00440421">
        <w:rPr>
          <w:rFonts w:eastAsia="Times New Roman"/>
          <w:iCs/>
        </w:rPr>
        <w:t xml:space="preserve">multiple ports may be used for FD precoding of a spatial beam and for each such port </w:t>
      </w:r>
      <w:r>
        <w:rPr>
          <w:rFonts w:eastAsia="Times New Roman"/>
          <w:iCs/>
        </w:rPr>
        <w:t xml:space="preserve">a UE </w:t>
      </w:r>
      <w:r w:rsidR="006E5244">
        <w:rPr>
          <w:rFonts w:eastAsia="Times New Roman"/>
          <w:iCs/>
        </w:rPr>
        <w:t xml:space="preserve">would calculate only the FD components in the window and </w:t>
      </w:r>
      <w:r w:rsidR="009B1425">
        <w:rPr>
          <w:rFonts w:eastAsia="Times New Roman"/>
          <w:iCs/>
        </w:rPr>
        <w:t>return</w:t>
      </w:r>
      <w:r w:rsidR="00440421">
        <w:rPr>
          <w:rFonts w:eastAsia="Times New Roman"/>
          <w:iCs/>
        </w:rPr>
        <w:t>ing</w:t>
      </w:r>
      <w:r w:rsidR="009B1425">
        <w:rPr>
          <w:rFonts w:eastAsia="Times New Roman"/>
          <w:iCs/>
        </w:rPr>
        <w:t xml:space="preserve"> a selection indication</w:t>
      </w:r>
      <w:r w:rsidR="00440421">
        <w:rPr>
          <w:rFonts w:eastAsia="Times New Roman"/>
          <w:iCs/>
        </w:rPr>
        <w:t xml:space="preserve"> is not needed</w:t>
      </w:r>
      <w:r w:rsidR="009B1425">
        <w:rPr>
          <w:rFonts w:eastAsia="Times New Roman"/>
          <w:iCs/>
        </w:rPr>
        <w:t>.</w:t>
      </w:r>
    </w:p>
    <w:p w14:paraId="4CC3CFE5" w14:textId="214CEF55" w:rsidR="007F6112" w:rsidRDefault="00497DD0" w:rsidP="007F6112">
      <w:pPr>
        <w:pStyle w:val="ListParagraph"/>
        <w:numPr>
          <w:ilvl w:val="2"/>
          <w:numId w:val="32"/>
        </w:numPr>
        <w:jc w:val="both"/>
        <w:rPr>
          <w:rFonts w:eastAsia="Times New Roman"/>
        </w:rPr>
      </w:pPr>
      <m:oMath>
        <m:sSub>
          <m:sSubPr>
            <m:ctrlPr>
              <w:rPr>
                <w:rFonts w:ascii="Cambria Math" w:eastAsia="Times New Roman" w:hAnsi="Cambria Math"/>
                <w:i/>
                <w:iCs/>
              </w:rPr>
            </m:ctrlPr>
          </m:sSubPr>
          <m:e>
            <m:r>
              <w:rPr>
                <w:rFonts w:ascii="Cambria Math" w:eastAsia="Times New Roman" w:hAnsi="Cambria Math"/>
              </w:rPr>
              <m:t>M</m:t>
            </m:r>
          </m:e>
          <m:sub>
            <m:r>
              <w:rPr>
                <w:rFonts w:ascii="Cambria Math" w:eastAsia="Times New Roman" w:hAnsi="Cambria Math"/>
              </w:rPr>
              <m:t>v</m:t>
            </m:r>
          </m:sub>
        </m:sSub>
        <m:r>
          <w:rPr>
            <w:rFonts w:ascii="Cambria Math" w:eastAsia="Times New Roman" w:hAnsi="Cambria Math"/>
            <w:lang w:val="en-US"/>
          </w:rPr>
          <m:t>≤</m:t>
        </m:r>
        <m:r>
          <w:rPr>
            <w:rFonts w:ascii="Cambria Math" w:eastAsia="Times New Roman" w:hAnsi="Cambria Math"/>
          </w:rPr>
          <m:t>N</m:t>
        </m:r>
        <m:r>
          <w:rPr>
            <w:rFonts w:ascii="Cambria Math" w:eastAsia="Times New Roman" w:hAnsi="Cambria Math"/>
            <w:lang w:val="en-US"/>
          </w:rPr>
          <m:t>, 1≤N</m:t>
        </m:r>
        <m:sSub>
          <m:sSubPr>
            <m:ctrlPr>
              <w:rPr>
                <w:rFonts w:ascii="Cambria Math" w:eastAsia="Times New Roman" w:hAnsi="Cambria Math"/>
                <w:i/>
                <w:iCs/>
              </w:rPr>
            </m:ctrlPr>
          </m:sSubPr>
          <m:e>
            <m:r>
              <w:rPr>
                <w:rFonts w:ascii="Cambria Math" w:eastAsia="Times New Roman" w:hAnsi="Cambria Math"/>
              </w:rPr>
              <m:t> </m:t>
            </m:r>
            <m:r>
              <w:rPr>
                <w:rFonts w:ascii="Cambria Math" w:eastAsia="Times New Roman" w:hAnsi="Cambria Math"/>
                <w:lang w:val="en-US"/>
              </w:rPr>
              <m:t>≤</m:t>
            </m:r>
            <m:r>
              <w:rPr>
                <w:rFonts w:ascii="Cambria Math" w:eastAsia="Times New Roman" w:hAnsi="Cambria Math"/>
              </w:rPr>
              <m:t>N</m:t>
            </m:r>
          </m:e>
          <m:sub>
            <m:r>
              <w:rPr>
                <w:rFonts w:ascii="Cambria Math" w:eastAsia="Times New Roman" w:hAnsi="Cambria Math"/>
                <w:lang w:val="en-US"/>
              </w:rPr>
              <m:t>3</m:t>
            </m:r>
          </m:sub>
        </m:sSub>
      </m:oMath>
      <w:r w:rsidR="007622EC">
        <w:rPr>
          <w:rFonts w:eastAsia="Times New Roman"/>
          <w:iCs/>
        </w:rPr>
        <w:t xml:space="preserve"> (Alt 3.1 and 5)</w:t>
      </w:r>
      <w:r w:rsidR="006E6738">
        <w:rPr>
          <w:rFonts w:eastAsia="Times New Roman"/>
        </w:rPr>
        <w:t xml:space="preserve">, </w:t>
      </w:r>
      <w:r w:rsidR="009B1425">
        <w:rPr>
          <w:rFonts w:eastAsia="Times New Roman"/>
        </w:rPr>
        <w:t xml:space="preserve">where </w:t>
      </w:r>
      <m:oMath>
        <m:r>
          <w:rPr>
            <w:rFonts w:ascii="Cambria Math" w:eastAsia="Times New Roman" w:hAnsi="Cambria Math"/>
          </w:rPr>
          <m:t>N</m:t>
        </m:r>
      </m:oMath>
      <w:r w:rsidR="00440421">
        <w:rPr>
          <w:rFonts w:eastAsia="Times New Roman"/>
        </w:rPr>
        <w:t xml:space="preserve"> is the size of window of FD components configured or indicated by the network and </w:t>
      </w:r>
      <m:oMath>
        <m:sSub>
          <m:sSubPr>
            <m:ctrlPr>
              <w:rPr>
                <w:rFonts w:ascii="Cambria Math" w:eastAsia="Times New Roman" w:hAnsi="Cambria Math"/>
                <w:i/>
              </w:rPr>
            </m:ctrlPr>
          </m:sSubPr>
          <m:e>
            <m:r>
              <w:rPr>
                <w:rFonts w:ascii="Cambria Math" w:eastAsia="Times New Roman" w:hAnsi="Cambria Math"/>
              </w:rPr>
              <m:t>M</m:t>
            </m:r>
          </m:e>
          <m:sub>
            <m:r>
              <w:rPr>
                <w:rFonts w:ascii="Cambria Math" w:eastAsia="Times New Roman" w:hAnsi="Cambria Math"/>
              </w:rPr>
              <m:t>ν</m:t>
            </m:r>
          </m:sub>
        </m:sSub>
      </m:oMath>
      <w:r w:rsidR="00440421">
        <w:rPr>
          <w:rFonts w:eastAsia="Times New Roman"/>
        </w:rPr>
        <w:t xml:space="preserve"> is the number of FD components selected by a UE.</w:t>
      </w:r>
    </w:p>
    <w:p w14:paraId="55313399" w14:textId="777D34E9" w:rsidR="00440421" w:rsidRDefault="005D7667" w:rsidP="00440421">
      <w:pPr>
        <w:pStyle w:val="ListParagraph"/>
        <w:ind w:left="2160"/>
        <w:jc w:val="both"/>
        <w:rPr>
          <w:rFonts w:eastAsia="Times New Roman"/>
        </w:rPr>
      </w:pPr>
      <w:r>
        <w:rPr>
          <w:rFonts w:eastAsia="Times New Roman"/>
        </w:rPr>
        <w:t>T</w:t>
      </w:r>
      <w:r w:rsidR="00440421">
        <w:rPr>
          <w:rFonts w:eastAsia="Times New Roman"/>
        </w:rPr>
        <w:t>his formulation</w:t>
      </w:r>
      <w:r>
        <w:rPr>
          <w:rFonts w:eastAsia="Times New Roman"/>
        </w:rPr>
        <w:t xml:space="preserve"> describes</w:t>
      </w:r>
      <w:r w:rsidRPr="005D7667">
        <w:rPr>
          <w:rFonts w:eastAsia="Times New Roman"/>
          <w:iCs/>
        </w:rPr>
        <w:t xml:space="preserve"> a more general configuration </w:t>
      </w:r>
      <w:r>
        <w:rPr>
          <w:rFonts w:eastAsia="Times New Roman"/>
          <w:iCs/>
        </w:rPr>
        <w:t xml:space="preserve">of </w:t>
      </w:r>
      <w:r w:rsidRPr="005D7667">
        <w:rPr>
          <w:rFonts w:eastAsia="Times New Roman"/>
          <w:iCs/>
        </w:rPr>
        <w:t>window + selection in restricted set, as opposed to configuration/selection in full set</w:t>
      </w:r>
      <w:r w:rsidR="00440421">
        <w:rPr>
          <w:rFonts w:eastAsia="Times New Roman"/>
        </w:rPr>
        <w:t>,</w:t>
      </w:r>
      <w:r>
        <w:rPr>
          <w:rFonts w:eastAsia="Times New Roman"/>
        </w:rPr>
        <w:t xml:space="preserve"> whereby</w:t>
      </w:r>
      <w:r w:rsidR="00440421">
        <w:rPr>
          <w:rFonts w:eastAsia="Times New Roman"/>
        </w:rPr>
        <w:t xml:space="preserve"> the selection may be done in part by the network, by determining a reduced size window of FD components and in part by a UE by further selecting a subset within this window, in a similar mechanism as in Rel-16 e Type II for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3</m:t>
            </m:r>
          </m:sub>
        </m:sSub>
        <m:r>
          <w:rPr>
            <w:rFonts w:ascii="Cambria Math" w:eastAsia="Times New Roman" w:hAnsi="Cambria Math"/>
          </w:rPr>
          <m:t>&gt;19</m:t>
        </m:r>
      </m:oMath>
      <w:r w:rsidR="007A6848">
        <w:rPr>
          <w:rFonts w:eastAsia="Times New Roman"/>
        </w:rPr>
        <w:t>.</w:t>
      </w:r>
    </w:p>
    <w:p w14:paraId="5CC5C0AD" w14:textId="57A37257" w:rsidR="00B430AC" w:rsidRPr="00BD0E3B" w:rsidRDefault="005D7667" w:rsidP="00BD0E3B">
      <w:pPr>
        <w:pStyle w:val="ListParagraph"/>
        <w:ind w:left="2160"/>
        <w:jc w:val="both"/>
        <w:rPr>
          <w:rFonts w:eastAsia="Times New Roman"/>
        </w:rPr>
      </w:pPr>
      <w:r>
        <w:rPr>
          <w:rFonts w:eastAsia="Times New Roman"/>
        </w:rPr>
        <w:t>Th</w:t>
      </w:r>
      <w:r w:rsidR="003C140B">
        <w:rPr>
          <w:rFonts w:eastAsia="Times New Roman"/>
        </w:rPr>
        <w:t>e second formulation comprises the first</w:t>
      </w:r>
      <w:r>
        <w:rPr>
          <w:rFonts w:eastAsia="Times New Roman"/>
        </w:rPr>
        <w:t xml:space="preserve">, in a special case of </w:t>
      </w:r>
      <m:oMath>
        <m:sSub>
          <m:sSubPr>
            <m:ctrlPr>
              <w:rPr>
                <w:rFonts w:ascii="Cambria Math" w:eastAsia="Times New Roman" w:hAnsi="Cambria Math"/>
                <w:i/>
              </w:rPr>
            </m:ctrlPr>
          </m:sSubPr>
          <m:e>
            <m:r>
              <w:rPr>
                <w:rFonts w:ascii="Cambria Math" w:eastAsia="Times New Roman" w:hAnsi="Cambria Math"/>
              </w:rPr>
              <m:t>M</m:t>
            </m:r>
          </m:e>
          <m:sub>
            <m:r>
              <w:rPr>
                <w:rFonts w:ascii="Cambria Math" w:eastAsia="Times New Roman" w:hAnsi="Cambria Math"/>
              </w:rPr>
              <m:t>ν</m:t>
            </m:r>
          </m:sub>
        </m:sSub>
        <m:r>
          <w:rPr>
            <w:rFonts w:ascii="Cambria Math" w:eastAsia="Times New Roman" w:hAnsi="Cambria Math"/>
          </w:rPr>
          <m:t>=N</m:t>
        </m:r>
      </m:oMath>
      <w:r>
        <w:rPr>
          <w:rFonts w:eastAsia="Times New Roman"/>
        </w:rPr>
        <w:t xml:space="preserve">, which is reasonable for small values of </w:t>
      </w:r>
      <m:oMath>
        <m:r>
          <w:rPr>
            <w:rFonts w:ascii="Cambria Math" w:eastAsia="Times New Roman" w:hAnsi="Cambria Math"/>
          </w:rPr>
          <m:t>N</m:t>
        </m:r>
      </m:oMath>
      <w:r w:rsidR="00D74866">
        <w:rPr>
          <w:rFonts w:eastAsia="Times New Roman"/>
        </w:rPr>
        <w:t xml:space="preserve">, or for </w:t>
      </w:r>
      <m:oMath>
        <m:r>
          <w:rPr>
            <w:rFonts w:ascii="Cambria Math" w:eastAsia="Times New Roman" w:hAnsi="Cambria Math"/>
          </w:rPr>
          <m:t>N=</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3</m:t>
            </m:r>
          </m:sub>
        </m:sSub>
      </m:oMath>
      <w:r>
        <w:rPr>
          <w:rFonts w:eastAsia="Times New Roman"/>
        </w:rPr>
        <w:t xml:space="preserve">. Setting a value of </w:t>
      </w:r>
      <m:oMath>
        <m:sSub>
          <m:sSubPr>
            <m:ctrlPr>
              <w:rPr>
                <w:rFonts w:ascii="Cambria Math" w:eastAsia="Times New Roman" w:hAnsi="Cambria Math"/>
                <w:i/>
              </w:rPr>
            </m:ctrlPr>
          </m:sSubPr>
          <m:e>
            <m:r>
              <w:rPr>
                <w:rFonts w:ascii="Cambria Math" w:eastAsia="Times New Roman" w:hAnsi="Cambria Math"/>
              </w:rPr>
              <m:t>M</m:t>
            </m:r>
          </m:e>
          <m:sub>
            <m:r>
              <w:rPr>
                <w:rFonts w:ascii="Cambria Math" w:eastAsia="Times New Roman" w:hAnsi="Cambria Math"/>
              </w:rPr>
              <m:t>ν</m:t>
            </m:r>
          </m:sub>
        </m:sSub>
      </m:oMath>
      <w:r w:rsidR="003C140B">
        <w:rPr>
          <w:rFonts w:eastAsia="Times New Roman"/>
        </w:rPr>
        <w:t xml:space="preserve"> smaller than </w:t>
      </w:r>
      <m:oMath>
        <m:r>
          <w:rPr>
            <w:rFonts w:ascii="Cambria Math" w:eastAsia="Times New Roman" w:hAnsi="Cambria Math"/>
          </w:rPr>
          <m:t>N</m:t>
        </m:r>
      </m:oMath>
      <w:r w:rsidR="003C140B">
        <w:rPr>
          <w:rFonts w:eastAsia="Times New Roman"/>
        </w:rPr>
        <w:t xml:space="preserve"> has the advantage of reducing the size of the bitmap needed to indicate the selected nonzero coefficients and/or allowing</w:t>
      </w:r>
      <w:r w:rsidR="00AA73EE">
        <w:rPr>
          <w:rFonts w:eastAsia="Times New Roman"/>
        </w:rPr>
        <w:t xml:space="preserve"> for</w:t>
      </w:r>
      <w:r w:rsidR="003C140B">
        <w:rPr>
          <w:rFonts w:eastAsia="Times New Roman"/>
        </w:rPr>
        <w:t xml:space="preserve"> larger values of </w:t>
      </w:r>
      <m:oMath>
        <m:r>
          <w:rPr>
            <w:rFonts w:ascii="Cambria Math" w:eastAsia="Times New Roman" w:hAnsi="Cambria Math"/>
          </w:rPr>
          <m:t>N</m:t>
        </m:r>
      </m:oMath>
      <w:r w:rsidR="00AA73EE">
        <w:rPr>
          <w:rFonts w:eastAsia="Times New Roman"/>
        </w:rPr>
        <w:t>,</w:t>
      </w:r>
      <w:r w:rsidR="003C140B">
        <w:rPr>
          <w:rFonts w:eastAsia="Times New Roman"/>
        </w:rPr>
        <w:t xml:space="preserve"> which </w:t>
      </w:r>
      <w:r w:rsidR="00AA73EE">
        <w:rPr>
          <w:rFonts w:eastAsia="Times New Roman"/>
        </w:rPr>
        <w:t>reduces</w:t>
      </w:r>
      <w:r w:rsidR="003C140B">
        <w:rPr>
          <w:rFonts w:eastAsia="Times New Roman"/>
        </w:rPr>
        <w:t xml:space="preserve"> the number of FD precoding vectors needed for each spatial beam, thereby reducing the CSI-RS overhead further.</w:t>
      </w:r>
    </w:p>
    <w:p w14:paraId="4270B3F9" w14:textId="3380B583" w:rsidR="00B430AC" w:rsidRDefault="00497DD0" w:rsidP="00DD616C">
      <w:pPr>
        <w:pStyle w:val="ListParagraph"/>
        <w:numPr>
          <w:ilvl w:val="1"/>
          <w:numId w:val="32"/>
        </w:numPr>
        <w:jc w:val="both"/>
        <w:rPr>
          <w:rFonts w:eastAsia="Times New Roman"/>
        </w:rPr>
      </w:pPr>
      <m:oMath>
        <m:sSub>
          <m:sSubPr>
            <m:ctrlPr>
              <w:rPr>
                <w:rFonts w:ascii="Cambria Math" w:eastAsia="Times New Roman" w:hAnsi="Cambria Math"/>
                <w:i/>
                <w:iCs/>
              </w:rPr>
            </m:ctrlPr>
          </m:sSubPr>
          <m:e>
            <m:r>
              <m:rPr>
                <m:sty m:val="bi"/>
              </m:rPr>
              <w:rPr>
                <w:rFonts w:ascii="Cambria Math" w:eastAsia="Times New Roman" w:hAnsi="Cambria Math"/>
              </w:rPr>
              <m:t>W</m:t>
            </m:r>
          </m:e>
          <m:sub>
            <m:r>
              <w:rPr>
                <w:rFonts w:ascii="Cambria Math" w:eastAsia="Times New Roman" w:hAnsi="Cambria Math"/>
              </w:rPr>
              <m:t>f</m:t>
            </m:r>
          </m:sub>
        </m:sSub>
      </m:oMath>
      <w:r w:rsidR="00B430AC" w:rsidRPr="00B430AC">
        <w:rPr>
          <w:rFonts w:eastAsia="Times New Roman"/>
        </w:rPr>
        <w:t xml:space="preserve"> is a</w:t>
      </w:r>
      <w:r w:rsidR="00B430AC">
        <w:rPr>
          <w:rFonts w:eastAsia="Times New Roman"/>
        </w:rPr>
        <w:t xml:space="preserve"> further</w:t>
      </w:r>
      <w:r w:rsidR="00B430AC" w:rsidRPr="00B430AC">
        <w:rPr>
          <w:rFonts w:eastAsia="Times New Roman"/>
        </w:rPr>
        <w:t xml:space="preserve"> selection matrix</w:t>
      </w:r>
      <w:r w:rsidR="00B430AC">
        <w:rPr>
          <w:rFonts w:eastAsia="Times New Roman"/>
        </w:rPr>
        <w:t xml:space="preserve">, selecting the same </w:t>
      </w:r>
      <m:oMath>
        <m:r>
          <w:rPr>
            <w:rFonts w:ascii="Cambria Math" w:eastAsia="Times New Roman" w:hAnsi="Cambria Math"/>
          </w:rPr>
          <m:t>M</m:t>
        </m:r>
      </m:oMath>
    </w:p>
    <w:p w14:paraId="282CBA4E" w14:textId="0444AD38" w:rsidR="00B430AC" w:rsidRDefault="00B430AC" w:rsidP="00B430AC">
      <w:pPr>
        <w:pStyle w:val="ListParagraph"/>
        <w:numPr>
          <w:ilvl w:val="2"/>
          <w:numId w:val="32"/>
        </w:numPr>
        <w:jc w:val="both"/>
        <w:rPr>
          <w:rFonts w:eastAsia="Times New Roman"/>
        </w:rPr>
      </w:pPr>
      <w:r>
        <w:rPr>
          <w:rFonts w:eastAsia="Times New Roman"/>
        </w:rPr>
        <w:t>SD-FD bases within each port (Alt 3.2)</w:t>
      </w:r>
      <w:r w:rsidR="00EE038D">
        <w:rPr>
          <w:rFonts w:eastAsia="Times New Roman"/>
        </w:rPr>
        <w:t xml:space="preserve">. In this case,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3</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w:rPr>
                <w:rFonts w:ascii="Cambria Math" w:eastAsia="Times New Roman" w:hAnsi="Cambria Math"/>
              </w:rPr>
              <m:t>f</m:t>
            </m:r>
          </m:sub>
        </m:sSub>
        <m:r>
          <w:rPr>
            <w:rFonts w:ascii="Cambria Math" w:eastAsia="Times New Roman" w:hAnsi="Cambria Math"/>
          </w:rPr>
          <m:t>≥1</m:t>
        </m:r>
      </m:oMath>
      <w:r w:rsidR="00EE038D">
        <w:rPr>
          <w:rFonts w:eastAsia="Times New Roman"/>
        </w:rPr>
        <w:t xml:space="preserve"> is the number of SD-FD bases mapped in each CSI-RS port.</w:t>
      </w:r>
    </w:p>
    <w:p w14:paraId="15E13CD7" w14:textId="71103558" w:rsidR="00DD07BF" w:rsidRDefault="00B430AC" w:rsidP="00DD07BF">
      <w:pPr>
        <w:pStyle w:val="ListParagraph"/>
        <w:numPr>
          <w:ilvl w:val="2"/>
          <w:numId w:val="32"/>
        </w:numPr>
        <w:jc w:val="both"/>
        <w:rPr>
          <w:rFonts w:eastAsia="Times New Roman"/>
        </w:rPr>
      </w:pPr>
      <w:r>
        <w:rPr>
          <w:rFonts w:eastAsia="Times New Roman"/>
        </w:rPr>
        <w:t>Ports within each port group (Alt 4)</w:t>
      </w:r>
      <w:r w:rsidR="00EE038D">
        <w:rPr>
          <w:rFonts w:eastAsia="Times New Roman"/>
        </w:rPr>
        <w:t xml:space="preserve">. In this case,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5</m:t>
            </m:r>
          </m:sub>
        </m:sSub>
        <m:r>
          <w:rPr>
            <w:rFonts w:ascii="Cambria Math" w:eastAsia="Times New Roman" w:hAnsi="Cambria Math"/>
          </w:rPr>
          <m:t>≥1</m:t>
        </m:r>
      </m:oMath>
      <w:r w:rsidR="00EE038D">
        <w:rPr>
          <w:rFonts w:eastAsia="Times New Roman"/>
        </w:rPr>
        <w:t xml:space="preserve"> is the number of port</w:t>
      </w:r>
      <w:r w:rsidR="006701C5">
        <w:rPr>
          <w:rFonts w:eastAsia="Times New Roman"/>
        </w:rPr>
        <w:t xml:space="preserve">s in each of the port </w:t>
      </w:r>
      <w:r w:rsidR="00EE038D">
        <w:rPr>
          <w:rFonts w:eastAsia="Times New Roman"/>
        </w:rPr>
        <w:t>group.</w:t>
      </w:r>
    </w:p>
    <w:p w14:paraId="207A5D0B" w14:textId="1B27EC61" w:rsidR="00DD07BF" w:rsidRDefault="006C1C50" w:rsidP="00DD07BF">
      <w:pPr>
        <w:pStyle w:val="ListParagraph"/>
        <w:ind w:left="1440"/>
        <w:jc w:val="both"/>
        <w:rPr>
          <w:rFonts w:eastAsia="Times New Roman"/>
        </w:rPr>
      </w:pPr>
      <w:r>
        <w:rPr>
          <w:rFonts w:eastAsia="Times New Roman"/>
        </w:rPr>
        <w:t>In terms of FD</w:t>
      </w:r>
      <w:r w:rsidR="00DD07BF" w:rsidRPr="00DD07BF">
        <w:rPr>
          <w:rFonts w:eastAsia="Times New Roman"/>
        </w:rPr>
        <w:t xml:space="preserve"> </w:t>
      </w:r>
      <w:r>
        <w:rPr>
          <w:rFonts w:eastAsia="Times New Roman"/>
        </w:rPr>
        <w:t>representation</w:t>
      </w:r>
      <w:r w:rsidR="00DD07BF" w:rsidRPr="00DD07BF">
        <w:rPr>
          <w:rFonts w:eastAsia="Times New Roman"/>
        </w:rPr>
        <w:t xml:space="preserve"> of the PMI</w:t>
      </w:r>
      <w:r>
        <w:rPr>
          <w:rFonts w:eastAsia="Times New Roman"/>
        </w:rPr>
        <w:t>, Alt 3.2</w:t>
      </w:r>
      <w:r w:rsidR="00DB7825">
        <w:rPr>
          <w:rFonts w:eastAsia="Times New Roman"/>
        </w:rPr>
        <w:t xml:space="preserve"> and 4 assume WB reporting only, with implementation specific calculation of the WB coefficients</w:t>
      </w:r>
      <w:r w:rsidR="002D329B">
        <w:rPr>
          <w:rFonts w:eastAsia="Times New Roman"/>
        </w:rPr>
        <w:t>.</w:t>
      </w:r>
    </w:p>
    <w:p w14:paraId="65A41064" w14:textId="4C3ACFA9" w:rsidR="002D329B" w:rsidRPr="00DD07BF" w:rsidRDefault="00ED48ED" w:rsidP="00DD07BF">
      <w:pPr>
        <w:pStyle w:val="ListParagraph"/>
        <w:ind w:left="1440"/>
        <w:jc w:val="both"/>
        <w:rPr>
          <w:rFonts w:eastAsia="Times New Roman"/>
        </w:rPr>
      </w:pPr>
      <w:r>
        <w:rPr>
          <w:rFonts w:eastAsia="Times New Roman"/>
        </w:rPr>
        <w:t xml:space="preserve">In both cases, </w:t>
      </w:r>
      <w:r w:rsidR="009D091C">
        <w:rPr>
          <w:rFonts w:eastAsia="Times New Roman"/>
        </w:rPr>
        <w:t xml:space="preserve">each </w:t>
      </w:r>
      <w:r w:rsidR="00EE038D">
        <w:rPr>
          <w:rFonts w:eastAsia="Times New Roman"/>
        </w:rPr>
        <w:t xml:space="preserve">of the </w:t>
      </w:r>
      <m:oMath>
        <m:r>
          <w:rPr>
            <w:rFonts w:ascii="Cambria Math" w:eastAsia="Times New Roman" w:hAnsi="Cambria Math"/>
          </w:rPr>
          <m:t>M</m:t>
        </m:r>
      </m:oMath>
      <w:r w:rsidR="00EE038D">
        <w:rPr>
          <w:rFonts w:eastAsia="Times New Roman"/>
        </w:rPr>
        <w:t xml:space="preserve"> </w:t>
      </w:r>
      <w:r w:rsidR="009D091C">
        <w:rPr>
          <w:rFonts w:eastAsia="Times New Roman"/>
        </w:rPr>
        <w:t>column</w:t>
      </w:r>
      <w:r w:rsidR="00EE038D">
        <w:rPr>
          <w:rFonts w:eastAsia="Times New Roman"/>
        </w:rPr>
        <w:t>s</w:t>
      </w:r>
      <w:r w:rsidR="009D091C">
        <w:rPr>
          <w:rFonts w:eastAsia="Times New Roman"/>
        </w:rPr>
        <w:t xml:space="preserve"> of </w:t>
      </w:r>
      <m:oMath>
        <m:sSub>
          <m:sSubPr>
            <m:ctrlPr>
              <w:rPr>
                <w:rFonts w:ascii="Cambria Math" w:eastAsia="Times New Roman" w:hAnsi="Cambria Math"/>
                <w:i/>
              </w:rPr>
            </m:ctrlPr>
          </m:sSubPr>
          <m:e>
            <m:r>
              <m:rPr>
                <m:sty m:val="bi"/>
              </m:rPr>
              <w:rPr>
                <w:rFonts w:ascii="Cambria Math" w:eastAsia="Times New Roman" w:hAnsi="Cambria Math"/>
              </w:rPr>
              <m:t>W</m:t>
            </m:r>
          </m:e>
          <m:sub>
            <m:r>
              <w:rPr>
                <w:rFonts w:ascii="Cambria Math" w:eastAsia="Times New Roman" w:hAnsi="Cambria Math"/>
              </w:rPr>
              <m:t>f</m:t>
            </m:r>
          </m:sub>
        </m:sSub>
      </m:oMath>
      <w:r w:rsidR="009D091C">
        <w:rPr>
          <w:rFonts w:eastAsia="Times New Roman"/>
        </w:rPr>
        <w:t xml:space="preserve"> contains a single ‘1’. W</w:t>
      </w:r>
      <w:r>
        <w:rPr>
          <w:rFonts w:eastAsia="Times New Roman"/>
        </w:rPr>
        <w:t xml:space="preserve">e observe that </w:t>
      </w:r>
      <w:r w:rsidR="009D091C">
        <w:rPr>
          <w:rFonts w:eastAsia="Times New Roman"/>
        </w:rPr>
        <w:t xml:space="preserve">this selection matrix can be combined with the port/port group selection matrix </w:t>
      </w:r>
      <m:oMath>
        <m:sSub>
          <m:sSubPr>
            <m:ctrlPr>
              <w:rPr>
                <w:rFonts w:ascii="Cambria Math" w:eastAsia="Times New Roman" w:hAnsi="Cambria Math"/>
                <w:i/>
              </w:rPr>
            </m:ctrlPr>
          </m:sSubPr>
          <m:e>
            <m:r>
              <m:rPr>
                <m:sty m:val="bi"/>
              </m:rPr>
              <w:rPr>
                <w:rFonts w:ascii="Cambria Math" w:eastAsia="Times New Roman" w:hAnsi="Cambria Math"/>
              </w:rPr>
              <m:t>W</m:t>
            </m:r>
          </m:e>
          <m:sub>
            <m:r>
              <w:rPr>
                <w:rFonts w:ascii="Cambria Math" w:eastAsia="Times New Roman" w:hAnsi="Cambria Math"/>
              </w:rPr>
              <m:t>1</m:t>
            </m:r>
          </m:sub>
        </m:sSub>
      </m:oMath>
      <w:r w:rsidR="009D091C">
        <w:rPr>
          <w:rFonts w:eastAsia="Times New Roman"/>
        </w:rPr>
        <w:t xml:space="preserve">, to form a single SD-FD selection matrix (Alt 3.2) or a port selection matrix (Alt 4) with a specific Kronecker structure, as illustrated in </w:t>
      </w:r>
      <w:r w:rsidR="006B2AE5">
        <w:rPr>
          <w:rFonts w:eastAsia="Times New Roman"/>
        </w:rPr>
        <w:fldChar w:fldCharType="begin"/>
      </w:r>
      <w:r w:rsidR="006B2AE5">
        <w:rPr>
          <w:rFonts w:eastAsia="Times New Roman"/>
        </w:rPr>
        <w:instrText xml:space="preserve"> REF _Ref61308050 \h </w:instrText>
      </w:r>
      <w:r w:rsidR="006B2AE5">
        <w:rPr>
          <w:rFonts w:eastAsia="Times New Roman"/>
        </w:rPr>
      </w:r>
      <w:r w:rsidR="006B2AE5">
        <w:rPr>
          <w:rFonts w:eastAsia="Times New Roman"/>
        </w:rPr>
        <w:fldChar w:fldCharType="separate"/>
      </w:r>
      <w:r w:rsidR="00307C05">
        <w:t xml:space="preserve">Figure </w:t>
      </w:r>
      <w:r w:rsidR="00307C05">
        <w:rPr>
          <w:noProof/>
        </w:rPr>
        <w:t>1</w:t>
      </w:r>
      <w:r w:rsidR="006B2AE5">
        <w:rPr>
          <w:rFonts w:eastAsia="Times New Roman"/>
        </w:rPr>
        <w:fldChar w:fldCharType="end"/>
      </w:r>
      <w:r w:rsidR="006B2AE5">
        <w:rPr>
          <w:rFonts w:eastAsia="Times New Roman"/>
        </w:rPr>
        <w:t>.</w:t>
      </w:r>
    </w:p>
    <w:p w14:paraId="797B8249" w14:textId="0E1DD831" w:rsidR="00753E07" w:rsidRDefault="00753E07" w:rsidP="00B4717D">
      <w:pPr>
        <w:jc w:val="both"/>
        <w:rPr>
          <w:rFonts w:eastAsia="Times New Roman"/>
        </w:rPr>
      </w:pPr>
    </w:p>
    <w:p w14:paraId="7B6162CD" w14:textId="1CB564DA" w:rsidR="0014320E" w:rsidRPr="0014320E" w:rsidRDefault="0014320E" w:rsidP="0014320E">
      <w:pPr>
        <w:spacing w:after="0"/>
        <w:jc w:val="both"/>
        <w:rPr>
          <w:rFonts w:eastAsia="Times New Roman"/>
          <w:b/>
          <w:bCs/>
        </w:rPr>
      </w:pPr>
      <w:r w:rsidRPr="0014320E">
        <w:rPr>
          <w:rFonts w:eastAsia="Times New Roman"/>
          <w:b/>
          <w:bCs/>
        </w:rPr>
        <w:t>Observation</w:t>
      </w:r>
      <w:r w:rsidR="00F05E92">
        <w:rPr>
          <w:rFonts w:eastAsia="Times New Roman"/>
          <w:b/>
          <w:bCs/>
        </w:rPr>
        <w:t xml:space="preserve"> 2</w:t>
      </w:r>
      <w:r w:rsidRPr="0014320E">
        <w:rPr>
          <w:rFonts w:eastAsia="Times New Roman"/>
          <w:b/>
          <w:bCs/>
        </w:rPr>
        <w:t xml:space="preserve">. There are three different proposals for the role of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Pr="0014320E">
        <w:rPr>
          <w:rFonts w:eastAsia="Times New Roman"/>
          <w:b/>
          <w:bCs/>
        </w:rPr>
        <w:t>:</w:t>
      </w:r>
    </w:p>
    <w:p w14:paraId="29FB7B1C" w14:textId="228019D9" w:rsidR="0014320E" w:rsidRPr="0014320E" w:rsidRDefault="00497DD0" w:rsidP="0014320E">
      <w:pPr>
        <w:pStyle w:val="ListParagraph"/>
        <w:numPr>
          <w:ilvl w:val="0"/>
          <w:numId w:val="36"/>
        </w:numPr>
        <w:jc w:val="both"/>
        <w:rPr>
          <w:rFonts w:eastAsia="Times New Roman"/>
          <w:b/>
          <w:bCs/>
        </w:rPr>
      </w:pP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0014320E" w:rsidRPr="0014320E">
        <w:rPr>
          <w:rFonts w:eastAsia="Times New Roman"/>
          <w:b/>
          <w:bCs/>
        </w:rPr>
        <w:t xml:space="preserve"> is not needed</w:t>
      </w:r>
      <w:r w:rsidR="00A80085">
        <w:rPr>
          <w:rFonts w:eastAsia="Times New Roman"/>
          <w:b/>
          <w:bCs/>
        </w:rPr>
        <w:t xml:space="preserve"> as a UE reports only wideband combination coefficients and the wideband calculation is not specified</w:t>
      </w:r>
    </w:p>
    <w:p w14:paraId="69BC76EE" w14:textId="265CED82" w:rsidR="0014320E" w:rsidRPr="0014320E" w:rsidRDefault="00497DD0" w:rsidP="0014320E">
      <w:pPr>
        <w:pStyle w:val="ListParagraph"/>
        <w:numPr>
          <w:ilvl w:val="0"/>
          <w:numId w:val="36"/>
        </w:numPr>
        <w:jc w:val="both"/>
        <w:rPr>
          <w:rFonts w:eastAsia="Times New Roman"/>
          <w:b/>
          <w:bCs/>
        </w:rPr>
      </w:pP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0014320E" w:rsidRPr="0014320E">
        <w:rPr>
          <w:rFonts w:eastAsia="Times New Roman"/>
          <w:b/>
          <w:bCs/>
        </w:rPr>
        <w:t xml:space="preserve"> is a DFT-based compression matrix</w:t>
      </w:r>
    </w:p>
    <w:p w14:paraId="36E82C02" w14:textId="6236362D" w:rsidR="0014320E" w:rsidRPr="0014320E" w:rsidRDefault="00497DD0" w:rsidP="0014320E">
      <w:pPr>
        <w:pStyle w:val="ListParagraph"/>
        <w:numPr>
          <w:ilvl w:val="0"/>
          <w:numId w:val="36"/>
        </w:numPr>
        <w:jc w:val="both"/>
        <w:rPr>
          <w:rFonts w:eastAsia="Times New Roman"/>
        </w:rPr>
      </w:pPr>
      <m:oMath>
        <m:sSub>
          <m:sSubPr>
            <m:ctrlPr>
              <w:rPr>
                <w:rFonts w:ascii="Cambria Math" w:eastAsia="Times New Roman" w:hAnsi="Cambria Math"/>
                <w:b/>
                <w:bCs/>
                <w:i/>
                <w:iCs/>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0014320E" w:rsidRPr="0014320E">
        <w:rPr>
          <w:rFonts w:eastAsia="Times New Roman"/>
          <w:b/>
          <w:bCs/>
        </w:rPr>
        <w:t xml:space="preserve"> is a further selection matrix</w:t>
      </w:r>
    </w:p>
    <w:p w14:paraId="474A2D41" w14:textId="77777777" w:rsidR="0014320E" w:rsidRDefault="0014320E" w:rsidP="0014320E">
      <w:pPr>
        <w:jc w:val="both"/>
        <w:rPr>
          <w:rFonts w:eastAsia="Times New Roman"/>
          <w:b/>
          <w:bCs/>
        </w:rPr>
      </w:pPr>
    </w:p>
    <w:p w14:paraId="35D49394" w14:textId="455B5862" w:rsidR="0014320E" w:rsidRDefault="0014320E" w:rsidP="0014320E">
      <w:pPr>
        <w:jc w:val="both"/>
        <w:rPr>
          <w:rFonts w:eastAsia="Times New Roman"/>
          <w:b/>
          <w:bCs/>
        </w:rPr>
      </w:pPr>
      <w:r>
        <w:rPr>
          <w:rFonts w:eastAsia="Times New Roman"/>
          <w:b/>
          <w:bCs/>
        </w:rPr>
        <w:lastRenderedPageBreak/>
        <w:t>Observation</w:t>
      </w:r>
      <w:r w:rsidR="00545584">
        <w:rPr>
          <w:rFonts w:eastAsia="Times New Roman"/>
          <w:b/>
          <w:bCs/>
        </w:rPr>
        <w:t xml:space="preserve"> 3</w:t>
      </w:r>
      <w:r>
        <w:rPr>
          <w:rFonts w:eastAsia="Times New Roman"/>
          <w:b/>
          <w:bCs/>
        </w:rPr>
        <w:t xml:space="preserve">.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Pr="0014320E">
        <w:rPr>
          <w:rFonts w:eastAsia="Times New Roman"/>
          <w:b/>
          <w:bCs/>
        </w:rPr>
        <w:t xml:space="preserve"> </w:t>
      </w:r>
      <w:r>
        <w:rPr>
          <w:rFonts w:eastAsia="Times New Roman"/>
          <w:b/>
          <w:bCs/>
        </w:rPr>
        <w:t>as</w:t>
      </w:r>
      <w:r w:rsidRPr="0014320E">
        <w:rPr>
          <w:rFonts w:eastAsia="Times New Roman"/>
          <w:b/>
          <w:bCs/>
        </w:rPr>
        <w:t xml:space="preserve"> a DFT-based compression matrix</w:t>
      </w:r>
      <w:r>
        <w:rPr>
          <w:rFonts w:eastAsia="Times New Roman"/>
          <w:b/>
          <w:bCs/>
        </w:rPr>
        <w:t xml:space="preserve"> has the benefit</w:t>
      </w:r>
      <w:r w:rsidRPr="0014320E">
        <w:rPr>
          <w:rFonts w:eastAsia="Times New Roman"/>
          <w:b/>
          <w:bCs/>
        </w:rPr>
        <w:t xml:space="preserve">s of </w:t>
      </w:r>
      <w:r w:rsidR="008265F3" w:rsidRPr="0014320E">
        <w:rPr>
          <w:rFonts w:eastAsia="Times New Roman"/>
          <w:b/>
          <w:bCs/>
        </w:rPr>
        <w:t xml:space="preserve"> increas</w:t>
      </w:r>
      <w:r w:rsidR="008265F3">
        <w:rPr>
          <w:rFonts w:eastAsia="Times New Roman"/>
          <w:b/>
          <w:bCs/>
        </w:rPr>
        <w:t>ing</w:t>
      </w:r>
      <w:r w:rsidR="008265F3" w:rsidRPr="0014320E">
        <w:rPr>
          <w:rFonts w:eastAsia="Times New Roman"/>
          <w:b/>
          <w:bCs/>
        </w:rPr>
        <w:t xml:space="preserve"> the PMI accuracy if the delays cannot be perfectly </w:t>
      </w:r>
      <w:r w:rsidR="00D54A7E">
        <w:rPr>
          <w:rFonts w:eastAsia="Times New Roman"/>
          <w:b/>
          <w:bCs/>
        </w:rPr>
        <w:t>determined because of the lack of full reciprocity</w:t>
      </w:r>
      <w:r w:rsidR="008265F3">
        <w:rPr>
          <w:rFonts w:eastAsia="Times New Roman"/>
          <w:b/>
          <w:bCs/>
        </w:rPr>
        <w:t xml:space="preserve"> and/or</w:t>
      </w:r>
      <w:r w:rsidR="008265F3" w:rsidRPr="0014320E">
        <w:rPr>
          <w:rFonts w:eastAsia="Times New Roman"/>
          <w:b/>
          <w:bCs/>
        </w:rPr>
        <w:t xml:space="preserve"> </w:t>
      </w:r>
      <w:r w:rsidRPr="0014320E">
        <w:rPr>
          <w:rFonts w:eastAsia="Times New Roman"/>
          <w:b/>
          <w:bCs/>
        </w:rPr>
        <w:t>reducing the CSI-RS port occupancy by letting a UE calculate some FD components to free up some CSI-RS ports</w:t>
      </w:r>
      <w:r>
        <w:rPr>
          <w:rFonts w:eastAsia="Times New Roman"/>
          <w:b/>
          <w:bCs/>
        </w:rPr>
        <w:t>.</w:t>
      </w:r>
    </w:p>
    <w:p w14:paraId="4E6840D5" w14:textId="14BD7967" w:rsidR="00527755" w:rsidRDefault="00527755" w:rsidP="0014320E">
      <w:pPr>
        <w:jc w:val="both"/>
        <w:rPr>
          <w:rFonts w:eastAsia="Times New Roman"/>
          <w:b/>
          <w:bCs/>
        </w:rPr>
      </w:pPr>
      <w:r>
        <w:rPr>
          <w:rFonts w:eastAsia="Times New Roman"/>
          <w:b/>
          <w:bCs/>
        </w:rPr>
        <w:t>Observation</w:t>
      </w:r>
      <w:r w:rsidR="00545584">
        <w:rPr>
          <w:rFonts w:eastAsia="Times New Roman"/>
          <w:b/>
          <w:bCs/>
        </w:rPr>
        <w:t xml:space="preserve"> 4</w:t>
      </w:r>
      <w:r>
        <w:rPr>
          <w:rFonts w:eastAsia="Times New Roman"/>
          <w:b/>
          <w:bCs/>
        </w:rPr>
        <w:t xml:space="preserve">. Two similar formulations are proposed for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Pr="0014320E">
        <w:rPr>
          <w:rFonts w:eastAsia="Times New Roman"/>
          <w:b/>
          <w:bCs/>
        </w:rPr>
        <w:t xml:space="preserve"> </w:t>
      </w:r>
      <w:r>
        <w:rPr>
          <w:rFonts w:eastAsia="Times New Roman"/>
          <w:b/>
          <w:bCs/>
        </w:rPr>
        <w:t>as</w:t>
      </w:r>
      <w:r w:rsidRPr="0014320E">
        <w:rPr>
          <w:rFonts w:eastAsia="Times New Roman"/>
          <w:b/>
          <w:bCs/>
        </w:rPr>
        <w:t xml:space="preserve"> a DFT-based compression matrix</w:t>
      </w:r>
      <w:r>
        <w:rPr>
          <w:rFonts w:eastAsia="Times New Roman"/>
          <w:b/>
          <w:bCs/>
        </w:rPr>
        <w:t xml:space="preserve">. In Alt 5 and 3.1 </w:t>
      </w:r>
      <w:r w:rsidRPr="00527755">
        <w:rPr>
          <w:rFonts w:eastAsia="Times New Roman"/>
          <w:b/>
          <w:bCs/>
          <w:lang w:val="en-US"/>
        </w:rPr>
        <w:t>two parameters</w:t>
      </w:r>
      <w:r>
        <w:rPr>
          <w:rFonts w:eastAsia="Times New Roman"/>
          <w:b/>
          <w:bCs/>
          <w:lang w:val="en-US"/>
        </w:rPr>
        <w:t xml:space="preserve"> are used,</w:t>
      </w:r>
      <w:r w:rsidRPr="00527755">
        <w:rPr>
          <w:rFonts w:eastAsia="Times New Roman"/>
          <w:b/>
          <w:bCs/>
          <w:lang w:val="en-US"/>
        </w:rPr>
        <w:t xml:space="preserve"> </w:t>
      </w:r>
      <m:oMath>
        <m:r>
          <m:rPr>
            <m:sty m:val="bi"/>
          </m:rPr>
          <w:rPr>
            <w:rFonts w:ascii="Cambria Math" w:eastAsia="Times New Roman" w:hAnsi="Cambria Math"/>
            <w:lang w:val="en-US"/>
          </w:rPr>
          <m:t>N,</m:t>
        </m:r>
        <m:sSub>
          <m:sSubPr>
            <m:ctrlPr>
              <w:rPr>
                <w:rFonts w:ascii="Cambria Math" w:eastAsia="Times New Roman" w:hAnsi="Cambria Math"/>
                <w:b/>
                <w:bCs/>
                <w:i/>
                <w:iCs/>
              </w:rPr>
            </m:ctrlPr>
          </m:sSubPr>
          <m:e>
            <m:r>
              <m:rPr>
                <m:sty m:val="bi"/>
              </m:rPr>
              <w:rPr>
                <w:rFonts w:ascii="Cambria Math" w:eastAsia="Times New Roman" w:hAnsi="Cambria Math"/>
              </w:rPr>
              <m:t>M</m:t>
            </m:r>
          </m:e>
          <m:sub>
            <m:r>
              <m:rPr>
                <m:sty m:val="bi"/>
              </m:rPr>
              <w:rPr>
                <w:rFonts w:ascii="Cambria Math" w:eastAsia="Times New Roman" w:hAnsi="Cambria Math"/>
              </w:rPr>
              <m:t>v</m:t>
            </m:r>
          </m:sub>
        </m:sSub>
      </m:oMath>
      <w:r w:rsidRPr="00527755">
        <w:rPr>
          <w:rFonts w:eastAsia="Times New Roman"/>
          <w:b/>
          <w:bCs/>
          <w:iCs/>
        </w:rPr>
        <w:t xml:space="preserve">, instead of one, </w:t>
      </w:r>
      <m:oMath>
        <m:sSub>
          <m:sSubPr>
            <m:ctrlPr>
              <w:rPr>
                <w:rFonts w:ascii="Cambria Math" w:eastAsia="Times New Roman" w:hAnsi="Cambria Math"/>
                <w:b/>
                <w:bCs/>
                <w:i/>
                <w:iCs/>
              </w:rPr>
            </m:ctrlPr>
          </m:sSubPr>
          <m:e>
            <m:r>
              <m:rPr>
                <m:sty m:val="bi"/>
              </m:rPr>
              <w:rPr>
                <w:rFonts w:ascii="Cambria Math" w:eastAsia="Times New Roman" w:hAnsi="Cambria Math"/>
              </w:rPr>
              <m:t>M</m:t>
            </m:r>
          </m:e>
          <m:sub>
            <m:r>
              <m:rPr>
                <m:sty m:val="bi"/>
              </m:rPr>
              <w:rPr>
                <w:rFonts w:ascii="Cambria Math" w:eastAsia="Times New Roman" w:hAnsi="Cambria Math"/>
              </w:rPr>
              <m:t>v</m:t>
            </m:r>
          </m:sub>
        </m:sSub>
      </m:oMath>
      <w:r w:rsidRPr="00527755">
        <w:rPr>
          <w:rFonts w:eastAsia="Times New Roman"/>
          <w:b/>
          <w:bCs/>
          <w:iCs/>
        </w:rPr>
        <w:t xml:space="preserve">, describing a more general configuration window + selection in restricted set, as opposed to </w:t>
      </w:r>
      <w:r w:rsidR="008436D7">
        <w:rPr>
          <w:rFonts w:eastAsia="Times New Roman"/>
          <w:b/>
          <w:bCs/>
          <w:iCs/>
        </w:rPr>
        <w:t xml:space="preserve">a </w:t>
      </w:r>
      <w:r w:rsidRPr="00527755">
        <w:rPr>
          <w:rFonts w:eastAsia="Times New Roman"/>
          <w:b/>
          <w:bCs/>
          <w:iCs/>
        </w:rPr>
        <w:t xml:space="preserve">configuration/selection in </w:t>
      </w:r>
      <w:r>
        <w:rPr>
          <w:rFonts w:eastAsia="Times New Roman"/>
          <w:b/>
          <w:bCs/>
          <w:iCs/>
        </w:rPr>
        <w:t xml:space="preserve">the </w:t>
      </w:r>
      <w:r w:rsidRPr="00527755">
        <w:rPr>
          <w:rFonts w:eastAsia="Times New Roman"/>
          <w:b/>
          <w:bCs/>
          <w:iCs/>
        </w:rPr>
        <w:t>full set</w:t>
      </w:r>
      <w:r>
        <w:rPr>
          <w:rFonts w:eastAsia="Times New Roman"/>
          <w:b/>
          <w:bCs/>
          <w:iCs/>
        </w:rPr>
        <w:t xml:space="preserve"> of FD components</w:t>
      </w:r>
      <w:r w:rsidR="00B5040D">
        <w:rPr>
          <w:rFonts w:eastAsia="Times New Roman"/>
          <w:b/>
          <w:bCs/>
          <w:iCs/>
        </w:rPr>
        <w:t xml:space="preserve"> (Alt 3.0)</w:t>
      </w:r>
      <w:r w:rsidRPr="00527755">
        <w:rPr>
          <w:rFonts w:eastAsia="Times New Roman"/>
          <w:b/>
          <w:bCs/>
          <w:iCs/>
        </w:rPr>
        <w:t>.</w:t>
      </w:r>
    </w:p>
    <w:p w14:paraId="54C9452C" w14:textId="1369FF6B" w:rsidR="0014320E" w:rsidRPr="00851DF3" w:rsidRDefault="0014320E" w:rsidP="0014320E">
      <w:pPr>
        <w:jc w:val="both"/>
        <w:rPr>
          <w:rFonts w:eastAsia="Times New Roman"/>
          <w:b/>
          <w:bCs/>
        </w:rPr>
      </w:pPr>
      <w:r>
        <w:rPr>
          <w:rFonts w:eastAsia="Times New Roman"/>
          <w:b/>
          <w:bCs/>
        </w:rPr>
        <w:t>Observation</w:t>
      </w:r>
      <w:r w:rsidR="00545584">
        <w:rPr>
          <w:rFonts w:eastAsia="Times New Roman"/>
          <w:b/>
          <w:bCs/>
        </w:rPr>
        <w:t xml:space="preserve"> 5</w:t>
      </w:r>
      <w:r>
        <w:rPr>
          <w:rFonts w:eastAsia="Times New Roman"/>
          <w:b/>
          <w:bCs/>
        </w:rPr>
        <w:t xml:space="preserve">. </w:t>
      </w:r>
      <m:oMath>
        <m:sSub>
          <m:sSubPr>
            <m:ctrlPr>
              <w:rPr>
                <w:rFonts w:ascii="Cambria Math" w:eastAsia="Times New Roman" w:hAnsi="Cambria Math"/>
                <w:b/>
                <w:bCs/>
                <w:i/>
                <w:iCs/>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Pr="0014320E">
        <w:rPr>
          <w:rFonts w:eastAsia="Times New Roman"/>
          <w:b/>
          <w:bCs/>
        </w:rPr>
        <w:t xml:space="preserve"> </w:t>
      </w:r>
      <w:r>
        <w:rPr>
          <w:rFonts w:eastAsia="Times New Roman"/>
          <w:b/>
          <w:bCs/>
        </w:rPr>
        <w:t>as</w:t>
      </w:r>
      <w:r w:rsidRPr="0014320E">
        <w:rPr>
          <w:rFonts w:eastAsia="Times New Roman"/>
          <w:b/>
          <w:bCs/>
        </w:rPr>
        <w:t xml:space="preserve"> a further selection matrix</w:t>
      </w:r>
      <w:r>
        <w:rPr>
          <w:rFonts w:eastAsia="Times New Roman"/>
          <w:b/>
          <w:bCs/>
        </w:rPr>
        <w:t xml:space="preserve"> can be combined </w:t>
      </w:r>
      <w:r w:rsidRPr="0014320E">
        <w:rPr>
          <w:rFonts w:eastAsia="Times New Roman"/>
          <w:b/>
          <w:bCs/>
        </w:rPr>
        <w:t xml:space="preserve">with the port/port group selection matrix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1</m:t>
            </m:r>
          </m:sub>
        </m:sSub>
      </m:oMath>
      <w:r w:rsidRPr="0014320E">
        <w:rPr>
          <w:rFonts w:eastAsia="Times New Roman"/>
          <w:b/>
          <w:bCs/>
        </w:rPr>
        <w:t>, to form a single SD-FD selection matrix (Alt 3.2) or a port selection matrix (Alt 4) with a specific Kronecker structure</w:t>
      </w:r>
      <w:r>
        <w:rPr>
          <w:rFonts w:eastAsia="Times New Roman"/>
          <w:b/>
          <w:bCs/>
        </w:rPr>
        <w:t>.</w:t>
      </w:r>
    </w:p>
    <w:p w14:paraId="25C42E5F" w14:textId="77777777" w:rsidR="00EE126B" w:rsidRDefault="00EE126B" w:rsidP="0014320E">
      <w:pPr>
        <w:jc w:val="both"/>
        <w:rPr>
          <w:rFonts w:eastAsia="Times New Roman"/>
        </w:rPr>
      </w:pPr>
    </w:p>
    <w:p w14:paraId="526987F7" w14:textId="77777777" w:rsidR="0014320E" w:rsidRPr="0014320E" w:rsidRDefault="0014320E" w:rsidP="0014320E">
      <w:pPr>
        <w:jc w:val="both"/>
        <w:rPr>
          <w:rFonts w:eastAsia="Times New Roman"/>
        </w:rPr>
      </w:pPr>
    </w:p>
    <w:p w14:paraId="792A60B5" w14:textId="77777777" w:rsidR="006503C6" w:rsidRDefault="006503C6" w:rsidP="006503C6">
      <w:pPr>
        <w:keepNext/>
        <w:jc w:val="center"/>
      </w:pPr>
      <w:r>
        <w:rPr>
          <w:rFonts w:eastAsia="Times New Roman"/>
          <w:noProof/>
        </w:rPr>
        <w:drawing>
          <wp:inline distT="0" distB="0" distL="0" distR="0" wp14:anchorId="48194671" wp14:editId="4F4A661F">
            <wp:extent cx="5921839" cy="3779231"/>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Wf_selection_matrix.emf"/>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21839" cy="3779231"/>
                    </a:xfrm>
                    <a:prstGeom prst="rect">
                      <a:avLst/>
                    </a:prstGeom>
                  </pic:spPr>
                </pic:pic>
              </a:graphicData>
            </a:graphic>
          </wp:inline>
        </w:drawing>
      </w:r>
    </w:p>
    <w:p w14:paraId="1A181B23" w14:textId="46533701" w:rsidR="006503C6" w:rsidRDefault="006503C6" w:rsidP="006503C6">
      <w:pPr>
        <w:pStyle w:val="Caption"/>
        <w:jc w:val="center"/>
        <w:rPr>
          <w:rFonts w:eastAsia="Times New Roman"/>
        </w:rPr>
      </w:pPr>
      <w:bookmarkStart w:id="8" w:name="_Ref61308050"/>
      <w:r>
        <w:t xml:space="preserve">Figure </w:t>
      </w:r>
      <w:r>
        <w:fldChar w:fldCharType="begin"/>
      </w:r>
      <w:r>
        <w:instrText xml:space="preserve"> SEQ Figure \* ARABIC </w:instrText>
      </w:r>
      <w:r>
        <w:fldChar w:fldCharType="separate"/>
      </w:r>
      <w:r w:rsidR="00F920C2">
        <w:rPr>
          <w:noProof/>
        </w:rPr>
        <w:t>1</w:t>
      </w:r>
      <w:r>
        <w:fldChar w:fldCharType="end"/>
      </w:r>
      <w:bookmarkEnd w:id="8"/>
      <w:r>
        <w:t xml:space="preserve">. In Alt 3.2 and 4 the two selection matrices,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1</m:t>
            </m:r>
          </m:sub>
        </m:sSub>
      </m:oMath>
      <w:r>
        <w:t xml:space="preserve"> and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f</m:t>
            </m:r>
          </m:sub>
        </m:sSub>
      </m:oMath>
      <w:r>
        <w:t xml:space="preserve">, can be combined in one. The parameter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3</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f</m:t>
            </m:r>
          </m:sub>
        </m:sSub>
        <m:r>
          <m:rPr>
            <m:sty m:val="bi"/>
          </m:rPr>
          <w:rPr>
            <w:rFonts w:ascii="Cambria Math" w:hAnsi="Cambria Math"/>
          </w:rPr>
          <m:t>≥1</m:t>
        </m:r>
      </m:oMath>
      <w:r w:rsidR="005476C8">
        <w:t xml:space="preserve"> is the number of SD-FD bases per port. The parameter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5</m:t>
            </m:r>
          </m:sub>
        </m:sSub>
        <m:r>
          <m:rPr>
            <m:sty m:val="bi"/>
          </m:rPr>
          <w:rPr>
            <w:rFonts w:ascii="Cambria Math" w:hAnsi="Cambria Math"/>
          </w:rPr>
          <m:t>≥1</m:t>
        </m:r>
      </m:oMath>
      <w:r w:rsidR="005476C8">
        <w:t xml:space="preserve"> is the number of ports per port group, such that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CSI-RS</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group</m:t>
            </m:r>
          </m:sub>
        </m:sSub>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5</m:t>
            </m:r>
          </m:sub>
        </m:sSub>
      </m:oMath>
      <w:r w:rsidR="005476C8">
        <w:t>.</w:t>
      </w:r>
    </w:p>
    <w:p w14:paraId="2E122CB7" w14:textId="262D60C8" w:rsidR="00124D50" w:rsidRDefault="00124D50" w:rsidP="00830441">
      <w:pPr>
        <w:jc w:val="both"/>
        <w:rPr>
          <w:rFonts w:eastAsia="Times New Roman"/>
        </w:rPr>
      </w:pPr>
    </w:p>
    <w:p w14:paraId="35E6925B" w14:textId="651249FC" w:rsidR="002D0303" w:rsidRDefault="00B66050" w:rsidP="00830441">
      <w:pPr>
        <w:jc w:val="both"/>
        <w:rPr>
          <w:rFonts w:eastAsia="Times New Roman"/>
        </w:rPr>
      </w:pPr>
      <w:r>
        <w:rPr>
          <w:rFonts w:eastAsia="Times New Roman"/>
        </w:rPr>
        <w:fldChar w:fldCharType="begin"/>
      </w:r>
      <w:r>
        <w:rPr>
          <w:rFonts w:eastAsia="Times New Roman"/>
        </w:rPr>
        <w:instrText xml:space="preserve"> REF _Ref61396050 \h </w:instrText>
      </w:r>
      <w:r>
        <w:rPr>
          <w:rFonts w:eastAsia="Times New Roman"/>
        </w:rPr>
      </w:r>
      <w:r>
        <w:rPr>
          <w:rFonts w:eastAsia="Times New Roman"/>
        </w:rPr>
        <w:fldChar w:fldCharType="separate"/>
      </w:r>
      <w:r w:rsidR="00307C05">
        <w:t xml:space="preserve">Figure </w:t>
      </w:r>
      <w:r w:rsidR="00307C05">
        <w:rPr>
          <w:noProof/>
        </w:rPr>
        <w:t>2</w:t>
      </w:r>
      <w:r>
        <w:rPr>
          <w:rFonts w:eastAsia="Times New Roman"/>
        </w:rPr>
        <w:fldChar w:fldCharType="end"/>
      </w:r>
      <w:r>
        <w:rPr>
          <w:rFonts w:eastAsia="Times New Roman"/>
        </w:rPr>
        <w:t xml:space="preserve"> i</w:t>
      </w:r>
      <w:r w:rsidR="00026B84">
        <w:rPr>
          <w:rFonts w:eastAsia="Times New Roman"/>
        </w:rPr>
        <w:t xml:space="preserve">llustrates an example of how the mechanism of configuring additional FD component calculation at the UE can be implemented in practice, according to the description in 1)b.ii. In the example we consider </w:t>
      </w:r>
      <m:oMath>
        <m:r>
          <w:rPr>
            <w:rFonts w:ascii="Cambria Math" w:eastAsia="Times New Roman" w:hAnsi="Cambria Math"/>
          </w:rPr>
          <m:t>R=1</m:t>
        </m:r>
      </m:oMath>
      <w:r w:rsidR="00026B84">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3</m:t>
            </m:r>
          </m:sub>
        </m:sSub>
        <m:r>
          <w:rPr>
            <w:rFonts w:ascii="Cambria Math" w:eastAsia="Times New Roman" w:hAnsi="Cambria Math"/>
          </w:rPr>
          <m:t>=13</m:t>
        </m:r>
      </m:oMath>
      <w:r w:rsidR="00026B84">
        <w:rPr>
          <w:rFonts w:eastAsia="Times New Roman"/>
        </w:rPr>
        <w:t xml:space="preserve">, a configured window of FD components of size </w:t>
      </w:r>
      <m:oMath>
        <m:r>
          <w:rPr>
            <w:rFonts w:ascii="Cambria Math" w:eastAsia="Times New Roman" w:hAnsi="Cambria Math"/>
          </w:rPr>
          <m:t>N=2</m:t>
        </m:r>
      </m:oMath>
      <w:r w:rsidR="00026B84">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M</m:t>
            </m:r>
          </m:e>
          <m:sub>
            <m:r>
              <w:rPr>
                <w:rFonts w:ascii="Cambria Math" w:eastAsia="Times New Roman" w:hAnsi="Cambria Math"/>
              </w:rPr>
              <m:t>ν</m:t>
            </m:r>
          </m:sub>
        </m:sSub>
        <m:r>
          <w:rPr>
            <w:rFonts w:ascii="Cambria Math" w:eastAsia="Times New Roman" w:hAnsi="Cambria Math"/>
          </w:rPr>
          <m:t>=N=2</m:t>
        </m:r>
      </m:oMath>
      <w:r w:rsidR="00026B84">
        <w:rPr>
          <w:rFonts w:eastAsia="Times New Roman"/>
        </w:rPr>
        <w:t>. We illustrate the case of three SD-FD bases associated to the same spatial beam and three different FD components. The first axis shows the PDP for the considered beam, obtained from UL channel estimate at the gNB</w:t>
      </w:r>
      <w:r w:rsidR="00081ACE">
        <w:rPr>
          <w:rFonts w:eastAsia="Times New Roman"/>
        </w:rPr>
        <w:t xml:space="preserve">. Note that the PDP may be calculated in an oversampled delay domain. In this case, the oversampling factor is 2, hence the </w:t>
      </w:r>
      <m:oMath>
        <m:r>
          <w:rPr>
            <w:rFonts w:ascii="Cambria Math" w:eastAsia="Times New Roman" w:hAnsi="Cambria Math"/>
          </w:rPr>
          <m:t>N</m:t>
        </m:r>
      </m:oMath>
      <w:r w:rsidR="00081ACE">
        <w:rPr>
          <w:rFonts w:eastAsia="Times New Roman"/>
        </w:rPr>
        <w:t xml:space="preserve">-size window covers 4 delays in this oversampled domain. The gNB implementation chooses an optimal position of three windows of size 4, for example by maximising the PDP energy inside the windows and avoiding any window overlap. The </w:t>
      </w:r>
      <w:r w:rsidR="00C62D45">
        <w:rPr>
          <w:rFonts w:eastAsia="Times New Roman"/>
        </w:rPr>
        <w:t xml:space="preserve">initial delay of each window determines the corresponding FD precoding vector for each of the three SD-FD bases. The bottom 3 axes illustrate the shifted position of the window of FD components at the UE side: for each SD-FD basis a UE is configured to calculate the first 2 FD components only. </w:t>
      </w:r>
      <w:r w:rsidR="00483C11">
        <w:rPr>
          <w:rFonts w:eastAsia="Times New Roman"/>
        </w:rPr>
        <w:t xml:space="preserve">Note that, in this case, there is no need for the UE to signal </w:t>
      </w:r>
      <m:oMath>
        <m:sSub>
          <m:sSubPr>
            <m:ctrlPr>
              <w:rPr>
                <w:rFonts w:ascii="Cambria Math" w:eastAsia="Times New Roman" w:hAnsi="Cambria Math"/>
                <w:i/>
              </w:rPr>
            </m:ctrlPr>
          </m:sSubPr>
          <m:e>
            <m:r>
              <m:rPr>
                <m:sty m:val="bi"/>
              </m:rPr>
              <w:rPr>
                <w:rFonts w:ascii="Cambria Math" w:eastAsia="Times New Roman" w:hAnsi="Cambria Math"/>
              </w:rPr>
              <m:t>W</m:t>
            </m:r>
          </m:e>
          <m:sub>
            <m:r>
              <w:rPr>
                <w:rFonts w:ascii="Cambria Math" w:eastAsia="Times New Roman" w:hAnsi="Cambria Math"/>
              </w:rPr>
              <m:t>f</m:t>
            </m:r>
          </m:sub>
        </m:sSub>
      </m:oMath>
      <w:r w:rsidR="00483C11">
        <w:rPr>
          <w:rFonts w:eastAsia="Times New Roman"/>
        </w:rPr>
        <w:t xml:space="preserve">, as </w:t>
      </w:r>
      <m:oMath>
        <m:sSub>
          <m:sSubPr>
            <m:ctrlPr>
              <w:rPr>
                <w:rFonts w:ascii="Cambria Math" w:eastAsia="Times New Roman" w:hAnsi="Cambria Math"/>
                <w:i/>
              </w:rPr>
            </m:ctrlPr>
          </m:sSubPr>
          <m:e>
            <m:r>
              <w:rPr>
                <w:rFonts w:ascii="Cambria Math" w:eastAsia="Times New Roman" w:hAnsi="Cambria Math"/>
              </w:rPr>
              <m:t>M</m:t>
            </m:r>
          </m:e>
          <m:sub>
            <m:r>
              <w:rPr>
                <w:rFonts w:ascii="Cambria Math" w:eastAsia="Times New Roman" w:hAnsi="Cambria Math"/>
              </w:rPr>
              <m:t>ν</m:t>
            </m:r>
          </m:sub>
        </m:sSub>
        <m:r>
          <w:rPr>
            <w:rFonts w:ascii="Cambria Math" w:eastAsia="Times New Roman" w:hAnsi="Cambria Math"/>
          </w:rPr>
          <m:t>=N</m:t>
        </m:r>
      </m:oMath>
      <w:r w:rsidR="00483C11">
        <w:rPr>
          <w:rFonts w:eastAsia="Times New Roman"/>
        </w:rPr>
        <w:t xml:space="preserve">. The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3</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M</m:t>
            </m:r>
          </m:e>
          <m:sub>
            <m:r>
              <w:rPr>
                <w:rFonts w:ascii="Cambria Math" w:eastAsia="Times New Roman" w:hAnsi="Cambria Math"/>
              </w:rPr>
              <m:t>ν</m:t>
            </m:r>
          </m:sub>
        </m:sSub>
      </m:oMath>
      <w:r w:rsidR="00483C11">
        <w:rPr>
          <w:rFonts w:eastAsia="Times New Roman"/>
        </w:rPr>
        <w:t xml:space="preserve"> DFT-based matrix is configured by the network, whilst a UE selects and reports the nonzero coefficients out of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1</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M</m:t>
            </m:r>
          </m:e>
          <m:sub>
            <m:r>
              <w:rPr>
                <w:rFonts w:ascii="Cambria Math" w:eastAsia="Times New Roman" w:hAnsi="Cambria Math"/>
              </w:rPr>
              <m:t>ν</m:t>
            </m:r>
          </m:sub>
        </m:sSub>
      </m:oMath>
      <w:r w:rsidR="00483C11">
        <w:rPr>
          <w:rFonts w:eastAsia="Times New Roman"/>
        </w:rPr>
        <w:t xml:space="preserve"> candidate coefficients, where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1</m:t>
            </m:r>
          </m:sub>
        </m:sSub>
      </m:oMath>
      <w:r w:rsidR="00483C11">
        <w:rPr>
          <w:rFonts w:eastAsia="Times New Roman"/>
        </w:rPr>
        <w:t xml:space="preserve"> is the number of selected SD-FD bases, or directly out of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SD-FD</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M</m:t>
            </m:r>
          </m:e>
          <m:sub>
            <m:r>
              <w:rPr>
                <w:rFonts w:ascii="Cambria Math" w:eastAsia="Times New Roman" w:hAnsi="Cambria Math"/>
              </w:rPr>
              <m:t>ν</m:t>
            </m:r>
          </m:sub>
        </m:sSub>
      </m:oMath>
      <w:r w:rsidR="00483C11">
        <w:rPr>
          <w:rFonts w:eastAsia="Times New Roman"/>
        </w:rPr>
        <w:t xml:space="preserve"> coefficients. Note that we consider a single layer reporting. In case of multiple layers, the bitmap size is multiplied by the reported rank </w:t>
      </w:r>
      <m:oMath>
        <m:r>
          <w:rPr>
            <w:rFonts w:ascii="Cambria Math" w:eastAsia="Times New Roman" w:hAnsi="Cambria Math"/>
          </w:rPr>
          <m:t>ν</m:t>
        </m:r>
      </m:oMath>
      <w:r w:rsidR="00483C11">
        <w:rPr>
          <w:rFonts w:eastAsia="Times New Roman"/>
        </w:rPr>
        <w:t>.</w:t>
      </w:r>
    </w:p>
    <w:p w14:paraId="6E31E59A" w14:textId="07F2D95F" w:rsidR="00C0007D" w:rsidRPr="000E032A" w:rsidRDefault="00C0007D" w:rsidP="00830441">
      <w:pPr>
        <w:jc w:val="both"/>
        <w:rPr>
          <w:rFonts w:eastAsia="Times New Roman"/>
          <w:b/>
          <w:bCs/>
        </w:rPr>
      </w:pPr>
      <w:r w:rsidRPr="000E032A">
        <w:rPr>
          <w:rFonts w:eastAsia="Times New Roman"/>
          <w:b/>
          <w:bCs/>
        </w:rPr>
        <w:lastRenderedPageBreak/>
        <w:t>Observation</w:t>
      </w:r>
      <w:r w:rsidR="00A65D2F">
        <w:rPr>
          <w:rFonts w:eastAsia="Times New Roman"/>
          <w:b/>
          <w:bCs/>
        </w:rPr>
        <w:t xml:space="preserve"> 6</w:t>
      </w:r>
      <w:r w:rsidRPr="000E032A">
        <w:rPr>
          <w:rFonts w:eastAsia="Times New Roman"/>
          <w:b/>
          <w:bCs/>
        </w:rPr>
        <w:t xml:space="preserve">. </w:t>
      </w:r>
      <w:r w:rsidR="000E032A" w:rsidRPr="000E032A">
        <w:rPr>
          <w:rFonts w:eastAsia="Times New Roman"/>
          <w:b/>
          <w:bCs/>
        </w:rPr>
        <w:t xml:space="preserve">An important </w:t>
      </w:r>
      <w:r w:rsidR="00987FAE">
        <w:rPr>
          <w:rFonts w:eastAsia="Times New Roman"/>
          <w:b/>
          <w:bCs/>
        </w:rPr>
        <w:t xml:space="preserve">implementational </w:t>
      </w:r>
      <w:r w:rsidR="000E032A" w:rsidRPr="000E032A">
        <w:rPr>
          <w:rFonts w:eastAsia="Times New Roman"/>
          <w:b/>
          <w:bCs/>
        </w:rPr>
        <w:t xml:space="preserve">aspect of the network configuration of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000E032A" w:rsidRPr="000E032A">
        <w:rPr>
          <w:rFonts w:eastAsia="Times New Roman"/>
          <w:b/>
          <w:bCs/>
        </w:rPr>
        <w:t xml:space="preserve"> as a DFT-based compression matrix</w:t>
      </w:r>
      <w:r w:rsidR="00987FAE">
        <w:rPr>
          <w:rFonts w:eastAsia="Times New Roman"/>
          <w:b/>
          <w:bCs/>
        </w:rPr>
        <w:t xml:space="preserve"> is the optimisation of the choice of windows of FD components. The corresponding FD precoding weights are determined by the initial points of these windows.</w:t>
      </w:r>
    </w:p>
    <w:p w14:paraId="043DDBDE" w14:textId="77777777" w:rsidR="000E032A" w:rsidRDefault="000E032A" w:rsidP="00830441">
      <w:pPr>
        <w:jc w:val="both"/>
        <w:rPr>
          <w:rFonts w:eastAsia="Times New Roman"/>
        </w:rPr>
      </w:pPr>
    </w:p>
    <w:p w14:paraId="60E6509D" w14:textId="77777777" w:rsidR="00CB4B98" w:rsidRDefault="00CB4B98" w:rsidP="00CB4B98">
      <w:pPr>
        <w:keepNext/>
        <w:jc w:val="center"/>
      </w:pPr>
      <w:r>
        <w:rPr>
          <w:rFonts w:eastAsia="Times New Roman"/>
          <w:noProof/>
        </w:rPr>
        <w:drawing>
          <wp:inline distT="0" distB="0" distL="0" distR="0" wp14:anchorId="3E9DF8BE" wp14:editId="2CF8C2A5">
            <wp:extent cx="6120765" cy="30949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f.emf"/>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0765" cy="3094990"/>
                    </a:xfrm>
                    <a:prstGeom prst="rect">
                      <a:avLst/>
                    </a:prstGeom>
                  </pic:spPr>
                </pic:pic>
              </a:graphicData>
            </a:graphic>
          </wp:inline>
        </w:drawing>
      </w:r>
    </w:p>
    <w:p w14:paraId="3AB9EA5B" w14:textId="197D61CB" w:rsidR="00026B84" w:rsidRDefault="00CB4B98" w:rsidP="00CB4B98">
      <w:pPr>
        <w:pStyle w:val="Caption"/>
        <w:jc w:val="center"/>
        <w:rPr>
          <w:rFonts w:eastAsia="Times New Roman"/>
        </w:rPr>
      </w:pPr>
      <w:bookmarkStart w:id="9" w:name="_Ref61396050"/>
      <w:r>
        <w:t xml:space="preserve">Figure </w:t>
      </w:r>
      <w:r>
        <w:fldChar w:fldCharType="begin"/>
      </w:r>
      <w:r>
        <w:instrText xml:space="preserve"> SEQ Figure \* ARABIC </w:instrText>
      </w:r>
      <w:r>
        <w:fldChar w:fldCharType="separate"/>
      </w:r>
      <w:r w:rsidR="00F920C2">
        <w:rPr>
          <w:noProof/>
        </w:rPr>
        <w:t>2</w:t>
      </w:r>
      <w:r>
        <w:fldChar w:fldCharType="end"/>
      </w:r>
      <w:bookmarkEnd w:id="9"/>
      <w:r>
        <w:t xml:space="preserve">. </w:t>
      </w:r>
      <w:r w:rsidR="002668C2">
        <w:t xml:space="preserve">Illustration of a window of size </w:t>
      </w:r>
      <m:oMath>
        <m:r>
          <m:rPr>
            <m:sty m:val="bi"/>
          </m:rPr>
          <w:rPr>
            <w:rFonts w:ascii="Cambria Math" w:hAnsi="Cambria Math"/>
          </w:rPr>
          <m:t>N=2</m:t>
        </m:r>
      </m:oMath>
      <w:r w:rsidR="002668C2">
        <w:t xml:space="preserve"> FD components configured by the network such that a UE calculates the first 2 FD components for each SD-FD basis.</w:t>
      </w:r>
    </w:p>
    <w:p w14:paraId="5B4DF702" w14:textId="13FD5126" w:rsidR="00CB4B98" w:rsidRDefault="00CB4B98" w:rsidP="00830441">
      <w:pPr>
        <w:jc w:val="both"/>
        <w:rPr>
          <w:rFonts w:eastAsia="Times New Roman"/>
        </w:rPr>
      </w:pPr>
    </w:p>
    <w:p w14:paraId="51CC21F3" w14:textId="4158C5F2" w:rsidR="00851DF3" w:rsidRDefault="00851DF3" w:rsidP="00851DF3">
      <w:pPr>
        <w:spacing w:after="0"/>
        <w:jc w:val="both"/>
        <w:rPr>
          <w:rFonts w:eastAsia="Times New Roman"/>
          <w:b/>
          <w:bCs/>
        </w:rPr>
      </w:pPr>
      <w:r>
        <w:rPr>
          <w:rFonts w:eastAsia="Times New Roman"/>
          <w:b/>
          <w:bCs/>
        </w:rPr>
        <w:t>Proposal</w:t>
      </w:r>
      <w:r w:rsidR="00C31AD1">
        <w:rPr>
          <w:rFonts w:eastAsia="Times New Roman"/>
          <w:b/>
          <w:bCs/>
        </w:rPr>
        <w:t xml:space="preserve"> 1</w:t>
      </w:r>
      <w:r>
        <w:rPr>
          <w:rFonts w:eastAsia="Times New Roman"/>
          <w:b/>
          <w:bCs/>
        </w:rPr>
        <w:t xml:space="preserve">. Support the codebook structure </w:t>
      </w:r>
      <m:oMath>
        <m:r>
          <m:rPr>
            <m:sty m:val="bi"/>
          </m:rPr>
          <w:rPr>
            <w:rFonts w:ascii="Cambria Math" w:eastAsia="Times New Roman" w:hAnsi="Cambria Math"/>
          </w:rPr>
          <m:t>W=</m:t>
        </m:r>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1</m:t>
            </m:r>
          </m:sub>
        </m:sSub>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2</m:t>
            </m:r>
          </m:sub>
        </m:sSub>
        <m:sSubSup>
          <m:sSubSupPr>
            <m:ctrlPr>
              <w:rPr>
                <w:rFonts w:ascii="Cambria Math" w:eastAsia="Times New Roman" w:hAnsi="Cambria Math"/>
                <w:b/>
                <w:bCs/>
                <w:i/>
              </w:rPr>
            </m:ctrlPr>
          </m:sSubSupPr>
          <m:e>
            <m:r>
              <m:rPr>
                <m:sty m:val="bi"/>
              </m:rPr>
              <w:rPr>
                <w:rFonts w:ascii="Cambria Math" w:eastAsia="Times New Roman" w:hAnsi="Cambria Math"/>
              </w:rPr>
              <m:t>W</m:t>
            </m:r>
          </m:e>
          <m:sub>
            <m:r>
              <m:rPr>
                <m:sty m:val="bi"/>
              </m:rPr>
              <w:rPr>
                <w:rFonts w:ascii="Cambria Math" w:eastAsia="Times New Roman" w:hAnsi="Cambria Math"/>
              </w:rPr>
              <m:t>f</m:t>
            </m:r>
          </m:sub>
          <m:sup>
            <m:r>
              <m:rPr>
                <m:sty m:val="bi"/>
              </m:rPr>
              <w:rPr>
                <w:rFonts w:ascii="Cambria Math" w:eastAsia="Times New Roman" w:hAnsi="Cambria Math"/>
              </w:rPr>
              <m:t>H</m:t>
            </m:r>
          </m:sup>
        </m:sSubSup>
      </m:oMath>
      <w:r>
        <w:rPr>
          <w:rFonts w:eastAsia="Times New Roman"/>
          <w:b/>
          <w:bCs/>
        </w:rPr>
        <w:t xml:space="preserve">, where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Pr>
          <w:rFonts w:eastAsia="Times New Roman"/>
          <w:b/>
          <w:bCs/>
        </w:rPr>
        <w:t xml:space="preserve"> is a </w:t>
      </w:r>
      <m:oMath>
        <m:sSub>
          <m:sSubPr>
            <m:ctrlPr>
              <w:rPr>
                <w:rFonts w:ascii="Cambria Math" w:eastAsia="Times New Roman" w:hAnsi="Cambria Math"/>
                <w:b/>
                <w:bCs/>
                <w:i/>
              </w:rPr>
            </m:ctrlPr>
          </m:sSubPr>
          <m:e>
            <m:r>
              <m:rPr>
                <m:sty m:val="bi"/>
              </m:rPr>
              <w:rPr>
                <w:rFonts w:ascii="Cambria Math" w:eastAsia="Times New Roman" w:hAnsi="Cambria Math"/>
              </w:rPr>
              <m:t>N</m:t>
            </m:r>
          </m:e>
          <m:sub>
            <m:r>
              <m:rPr>
                <m:sty m:val="bi"/>
              </m:rPr>
              <w:rPr>
                <w:rFonts w:ascii="Cambria Math" w:eastAsia="Times New Roman" w:hAnsi="Cambria Math"/>
              </w:rPr>
              <m:t>3</m:t>
            </m:r>
          </m:sub>
        </m:sSub>
        <m:r>
          <m:rPr>
            <m:sty m:val="bi"/>
          </m:rPr>
          <w:rPr>
            <w:rFonts w:ascii="Cambria Math" w:eastAsia="Times New Roman" w:hAnsi="Cambria Math"/>
          </w:rPr>
          <m:t>×</m:t>
        </m:r>
        <m:sSub>
          <m:sSubPr>
            <m:ctrlPr>
              <w:rPr>
                <w:rFonts w:ascii="Cambria Math" w:eastAsia="Times New Roman" w:hAnsi="Cambria Math"/>
                <w:b/>
                <w:bCs/>
                <w:i/>
              </w:rPr>
            </m:ctrlPr>
          </m:sSubPr>
          <m:e>
            <m:r>
              <m:rPr>
                <m:sty m:val="bi"/>
              </m:rPr>
              <w:rPr>
                <w:rFonts w:ascii="Cambria Math" w:eastAsia="Times New Roman" w:hAnsi="Cambria Math"/>
              </w:rPr>
              <m:t>M</m:t>
            </m:r>
          </m:e>
          <m:sub>
            <m:r>
              <m:rPr>
                <m:sty m:val="bi"/>
              </m:rPr>
              <w:rPr>
                <w:rFonts w:ascii="Cambria Math" w:eastAsia="Times New Roman" w:hAnsi="Cambria Math"/>
              </w:rPr>
              <m:t>ν</m:t>
            </m:r>
          </m:sub>
        </m:sSub>
      </m:oMath>
      <w:r>
        <w:rPr>
          <w:rFonts w:eastAsia="Times New Roman"/>
          <w:b/>
          <w:bCs/>
        </w:rPr>
        <w:t xml:space="preserve"> DFT-based compression matrix</w:t>
      </w:r>
      <w:r w:rsidR="002E64C9">
        <w:rPr>
          <w:rFonts w:eastAsia="Times New Roman"/>
          <w:b/>
          <w:bCs/>
        </w:rPr>
        <w:t xml:space="preserve"> (Alt 5, 3.0, 3.1)</w:t>
      </w:r>
      <w:r w:rsidR="00C466D8">
        <w:rPr>
          <w:rFonts w:eastAsia="Times New Roman"/>
          <w:b/>
          <w:bCs/>
        </w:rPr>
        <w:t xml:space="preserve"> and</w:t>
      </w:r>
      <w:r>
        <w:rPr>
          <w:rFonts w:eastAsia="Times New Roman"/>
          <w:b/>
          <w:bCs/>
        </w:rPr>
        <w:t xml:space="preserve"> the </w:t>
      </w:r>
      <m:oMath>
        <m:sSub>
          <m:sSubPr>
            <m:ctrlPr>
              <w:rPr>
                <w:rFonts w:ascii="Cambria Math" w:eastAsia="Times New Roman" w:hAnsi="Cambria Math"/>
                <w:b/>
                <w:bCs/>
                <w:i/>
              </w:rPr>
            </m:ctrlPr>
          </m:sSubPr>
          <m:e>
            <m:r>
              <m:rPr>
                <m:sty m:val="bi"/>
              </m:rPr>
              <w:rPr>
                <w:rFonts w:ascii="Cambria Math" w:eastAsia="Times New Roman" w:hAnsi="Cambria Math"/>
              </w:rPr>
              <m:t>M</m:t>
            </m:r>
          </m:e>
          <m:sub>
            <m:r>
              <m:rPr>
                <m:sty m:val="bi"/>
              </m:rPr>
              <w:rPr>
                <w:rFonts w:ascii="Cambria Math" w:eastAsia="Times New Roman" w:hAnsi="Cambria Math"/>
              </w:rPr>
              <m:t>ν</m:t>
            </m:r>
          </m:sub>
        </m:sSub>
      </m:oMath>
      <w:r>
        <w:rPr>
          <w:rFonts w:eastAsia="Times New Roman"/>
          <w:b/>
          <w:bCs/>
        </w:rPr>
        <w:t xml:space="preserve"> components</w:t>
      </w:r>
      <w:r w:rsidR="00C466D8">
        <w:rPr>
          <w:rFonts w:eastAsia="Times New Roman"/>
          <w:b/>
          <w:bCs/>
        </w:rPr>
        <w:t xml:space="preserve"> are network</w:t>
      </w:r>
      <w:r>
        <w:rPr>
          <w:rFonts w:eastAsia="Times New Roman"/>
          <w:b/>
          <w:bCs/>
        </w:rPr>
        <w:t xml:space="preserve"> configured or selected and reported within a configured window of size </w:t>
      </w:r>
      <m:oMath>
        <m:r>
          <m:rPr>
            <m:sty m:val="bi"/>
          </m:rPr>
          <w:rPr>
            <w:rFonts w:ascii="Cambria Math" w:eastAsia="Times New Roman" w:hAnsi="Cambria Math"/>
          </w:rPr>
          <m:t>N</m:t>
        </m:r>
      </m:oMath>
    </w:p>
    <w:p w14:paraId="1F3F3821" w14:textId="77777777" w:rsidR="00851DF3" w:rsidRDefault="00851DF3" w:rsidP="00851DF3">
      <w:pPr>
        <w:pStyle w:val="ListParagraph"/>
        <w:numPr>
          <w:ilvl w:val="0"/>
          <w:numId w:val="38"/>
        </w:numPr>
        <w:jc w:val="both"/>
        <w:rPr>
          <w:rFonts w:eastAsia="Times New Roman"/>
          <w:b/>
          <w:bCs/>
        </w:rPr>
      </w:pPr>
      <w:r>
        <w:rPr>
          <w:rFonts w:eastAsia="Times New Roman"/>
          <w:b/>
          <w:bCs/>
        </w:rPr>
        <w:t xml:space="preserve">FFS: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Pr>
          <w:rFonts w:eastAsia="Times New Roman"/>
          <w:b/>
          <w:bCs/>
        </w:rPr>
        <w:t xml:space="preserve"> configured or selected and reported by a UE</w:t>
      </w:r>
    </w:p>
    <w:p w14:paraId="5758FD17" w14:textId="77777777" w:rsidR="00851DF3" w:rsidRDefault="00851DF3" w:rsidP="00851DF3">
      <w:pPr>
        <w:pStyle w:val="ListParagraph"/>
        <w:numPr>
          <w:ilvl w:val="0"/>
          <w:numId w:val="38"/>
        </w:numPr>
        <w:jc w:val="both"/>
        <w:rPr>
          <w:rFonts w:eastAsia="Times New Roman"/>
          <w:b/>
          <w:bCs/>
        </w:rPr>
      </w:pPr>
      <w:r>
        <w:rPr>
          <w:rFonts w:eastAsia="Times New Roman"/>
          <w:b/>
          <w:bCs/>
        </w:rPr>
        <w:t xml:space="preserve">FFS: values of </w:t>
      </w:r>
      <m:oMath>
        <m:sSub>
          <m:sSubPr>
            <m:ctrlPr>
              <w:rPr>
                <w:rFonts w:ascii="Cambria Math" w:eastAsia="Times New Roman" w:hAnsi="Cambria Math"/>
                <w:b/>
                <w:bCs/>
                <w:i/>
              </w:rPr>
            </m:ctrlPr>
          </m:sSubPr>
          <m:e>
            <m:r>
              <m:rPr>
                <m:sty m:val="bi"/>
              </m:rPr>
              <w:rPr>
                <w:rFonts w:ascii="Cambria Math" w:eastAsia="Times New Roman" w:hAnsi="Cambria Math"/>
              </w:rPr>
              <m:t>M</m:t>
            </m:r>
          </m:e>
          <m:sub>
            <m:r>
              <m:rPr>
                <m:sty m:val="bi"/>
              </m:rPr>
              <w:rPr>
                <w:rFonts w:ascii="Cambria Math" w:eastAsia="Times New Roman" w:hAnsi="Cambria Math"/>
              </w:rPr>
              <m:t>ν</m:t>
            </m:r>
          </m:sub>
        </m:sSub>
      </m:oMath>
      <w:r>
        <w:rPr>
          <w:rFonts w:eastAsia="Times New Roman"/>
          <w:b/>
          <w:bCs/>
        </w:rPr>
        <w:t xml:space="preserve"> and </w:t>
      </w:r>
      <m:oMath>
        <m:r>
          <m:rPr>
            <m:sty m:val="bi"/>
          </m:rPr>
          <w:rPr>
            <w:rFonts w:ascii="Cambria Math" w:eastAsia="Times New Roman" w:hAnsi="Cambria Math"/>
          </w:rPr>
          <m:t>N</m:t>
        </m:r>
      </m:oMath>
    </w:p>
    <w:p w14:paraId="0BF2308D" w14:textId="77777777" w:rsidR="00851DF3" w:rsidRDefault="00497DD0" w:rsidP="00851DF3">
      <w:pPr>
        <w:pStyle w:val="ListParagraph"/>
        <w:numPr>
          <w:ilvl w:val="1"/>
          <w:numId w:val="38"/>
        </w:numPr>
        <w:jc w:val="both"/>
        <w:rPr>
          <w:rFonts w:eastAsia="Times New Roman"/>
          <w:b/>
          <w:bCs/>
        </w:rPr>
      </w:pPr>
      <m:oMath>
        <m:sSub>
          <m:sSubPr>
            <m:ctrlPr>
              <w:rPr>
                <w:rFonts w:ascii="Cambria Math" w:eastAsia="Times New Roman" w:hAnsi="Cambria Math"/>
                <w:b/>
                <w:bCs/>
                <w:i/>
              </w:rPr>
            </m:ctrlPr>
          </m:sSubPr>
          <m:e>
            <m:r>
              <m:rPr>
                <m:sty m:val="bi"/>
              </m:rPr>
              <w:rPr>
                <w:rFonts w:ascii="Cambria Math" w:eastAsia="Times New Roman" w:hAnsi="Cambria Math"/>
              </w:rPr>
              <m:t>M</m:t>
            </m:r>
          </m:e>
          <m:sub>
            <m:r>
              <m:rPr>
                <m:sty m:val="bi"/>
              </m:rPr>
              <w:rPr>
                <w:rFonts w:ascii="Cambria Math" w:eastAsia="Times New Roman" w:hAnsi="Cambria Math"/>
              </w:rPr>
              <m:t>ν</m:t>
            </m:r>
          </m:sub>
        </m:sSub>
        <m:r>
          <m:rPr>
            <m:sty m:val="bi"/>
          </m:rPr>
          <w:rPr>
            <w:rFonts w:ascii="Cambria Math" w:eastAsia="Times New Roman" w:hAnsi="Cambria Math"/>
          </w:rPr>
          <m:t>=N=1</m:t>
        </m:r>
      </m:oMath>
      <w:r w:rsidR="00851DF3">
        <w:rPr>
          <w:rFonts w:eastAsia="Times New Roman"/>
          <w:b/>
          <w:bCs/>
        </w:rPr>
        <w:t xml:space="preserve">, </w:t>
      </w:r>
      <w:r w:rsidR="00851DF3" w:rsidRPr="00EE126B">
        <w:rPr>
          <w:rFonts w:eastAsia="Times New Roman"/>
          <w:b/>
          <w:bCs/>
          <w:i/>
          <w:iCs/>
        </w:rPr>
        <w:t>i.e.</w:t>
      </w:r>
      <w:r w:rsidR="00851DF3">
        <w:rPr>
          <w:rFonts w:eastAsia="Times New Roman"/>
          <w:b/>
          <w:bCs/>
        </w:rPr>
        <w:t>, WB reporting</w:t>
      </w:r>
    </w:p>
    <w:p w14:paraId="653D58DA" w14:textId="77777777" w:rsidR="00851DF3" w:rsidRPr="0047150C" w:rsidRDefault="00851DF3" w:rsidP="00851DF3">
      <w:pPr>
        <w:pStyle w:val="ListParagraph"/>
        <w:numPr>
          <w:ilvl w:val="1"/>
          <w:numId w:val="38"/>
        </w:numPr>
        <w:jc w:val="both"/>
        <w:rPr>
          <w:rFonts w:eastAsia="Times New Roman"/>
          <w:b/>
          <w:bCs/>
        </w:rPr>
      </w:pPr>
      <m:oMath>
        <m:r>
          <m:rPr>
            <m:sty m:val="bi"/>
          </m:rPr>
          <w:rPr>
            <w:rFonts w:ascii="Cambria Math" w:eastAsia="Times New Roman" w:hAnsi="Cambria Math"/>
          </w:rPr>
          <m:t>…</m:t>
        </m:r>
      </m:oMath>
    </w:p>
    <w:p w14:paraId="781ED486" w14:textId="77777777" w:rsidR="00851DF3" w:rsidRDefault="00851DF3" w:rsidP="00830441">
      <w:pPr>
        <w:jc w:val="both"/>
        <w:rPr>
          <w:rFonts w:eastAsia="Times New Roman"/>
        </w:rPr>
      </w:pPr>
    </w:p>
    <w:p w14:paraId="59B4A571" w14:textId="5FE124CF" w:rsidR="00124D50" w:rsidRDefault="00124D50" w:rsidP="00830441">
      <w:pPr>
        <w:jc w:val="both"/>
        <w:rPr>
          <w:rFonts w:eastAsia="Times New Roman"/>
        </w:rPr>
      </w:pPr>
      <w:r>
        <w:rPr>
          <w:rFonts w:eastAsia="Times New Roman"/>
        </w:rPr>
        <w:t>The second difference between the alternative codebook structures is given by</w:t>
      </w:r>
    </w:p>
    <w:p w14:paraId="24CA8F7F" w14:textId="3FD822BB" w:rsidR="00830441" w:rsidRDefault="00124D50" w:rsidP="00830441">
      <w:pPr>
        <w:pStyle w:val="ListParagraph"/>
        <w:numPr>
          <w:ilvl w:val="0"/>
          <w:numId w:val="32"/>
        </w:numPr>
        <w:jc w:val="both"/>
        <w:rPr>
          <w:rFonts w:eastAsia="Times New Roman"/>
        </w:rPr>
      </w:pPr>
      <w:r>
        <w:rPr>
          <w:rFonts w:eastAsia="Times New Roman"/>
        </w:rPr>
        <w:t>One- or many-to-one mapping of SD-FD bases to CSI-RS ports. I</w:t>
      </w:r>
      <w:r w:rsidR="00830441" w:rsidRPr="00124D50">
        <w:rPr>
          <w:rFonts w:eastAsia="Times New Roman"/>
        </w:rPr>
        <w:t xml:space="preserve">n general, we can describe </w:t>
      </w:r>
      <m:oMath>
        <m:sSub>
          <m:sSubPr>
            <m:ctrlPr>
              <w:rPr>
                <w:rFonts w:ascii="Cambria Math" w:eastAsia="Times New Roman" w:hAnsi="Cambria Math"/>
                <w:b/>
                <w:bCs/>
                <w:i/>
                <w:iCs/>
              </w:rPr>
            </m:ctrlPr>
          </m:sSubPr>
          <m:e>
            <m:r>
              <m:rPr>
                <m:sty m:val="bi"/>
              </m:rPr>
              <w:rPr>
                <w:rFonts w:ascii="Cambria Math" w:eastAsia="Times New Roman" w:hAnsi="Cambria Math"/>
              </w:rPr>
              <m:t>W</m:t>
            </m:r>
          </m:e>
          <m:sub>
            <m:r>
              <w:rPr>
                <w:rFonts w:ascii="Cambria Math" w:eastAsia="Times New Roman" w:hAnsi="Cambria Math"/>
              </w:rPr>
              <m:t>1</m:t>
            </m:r>
          </m:sub>
        </m:sSub>
        <m:r>
          <w:rPr>
            <w:rFonts w:ascii="Cambria Math" w:eastAsia="Times New Roman" w:hAnsi="Cambria Math"/>
          </w:rPr>
          <m:t>∈</m:t>
        </m:r>
        <m:sSup>
          <m:sSupPr>
            <m:ctrlPr>
              <w:rPr>
                <w:rFonts w:ascii="Cambria Math" w:eastAsia="Times New Roman" w:hAnsi="Cambria Math"/>
                <w:i/>
                <w:iCs/>
              </w:rPr>
            </m:ctrlPr>
          </m:sSupPr>
          <m:e>
            <m:r>
              <m:rPr>
                <m:scr m:val="double-struck"/>
              </m:rPr>
              <w:rPr>
                <w:rFonts w:ascii="Cambria Math" w:eastAsia="Times New Roman" w:hAnsi="Cambria Math"/>
              </w:rPr>
              <m:t>N</m:t>
            </m:r>
          </m:e>
          <m:sup>
            <m:r>
              <w:rPr>
                <w:rFonts w:ascii="Cambria Math" w:eastAsia="Times New Roman" w:hAnsi="Cambria Math"/>
              </w:rPr>
              <m:t xml:space="preserve"> P</m:t>
            </m:r>
            <m:r>
              <m:rPr>
                <m:sty m:val="p"/>
              </m:rP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K</m:t>
                </m:r>
              </m:e>
              <m:sub>
                <m:r>
                  <w:rPr>
                    <w:rFonts w:ascii="Cambria Math" w:eastAsia="Times New Roman" w:hAnsi="Cambria Math"/>
                  </w:rPr>
                  <m:t>1</m:t>
                </m:r>
              </m:sub>
            </m:sSub>
          </m:sup>
        </m:sSup>
      </m:oMath>
      <w:r w:rsidR="00830441" w:rsidRPr="00124D50">
        <w:rPr>
          <w:rFonts w:eastAsia="Times New Roman"/>
          <w:i/>
          <w:iCs/>
        </w:rPr>
        <w:t>(</w:t>
      </w:r>
      <m:oMath>
        <m:sSub>
          <m:sSubPr>
            <m:ctrlPr>
              <w:rPr>
                <w:rFonts w:ascii="Cambria Math" w:eastAsia="Times New Roman" w:hAnsi="Cambria Math"/>
                <w:i/>
                <w:iCs/>
              </w:rPr>
            </m:ctrlPr>
          </m:sSubPr>
          <m:e>
            <m:r>
              <w:rPr>
                <w:rFonts w:ascii="Cambria Math" w:eastAsia="Times New Roman" w:hAnsi="Cambria Math"/>
              </w:rPr>
              <m:t>K</m:t>
            </m:r>
          </m:e>
          <m:sub>
            <m:r>
              <w:rPr>
                <w:rFonts w:ascii="Cambria Math" w:eastAsia="Times New Roman" w:hAnsi="Cambria Math"/>
              </w:rPr>
              <m:t>1</m:t>
            </m:r>
          </m:sub>
        </m:sSub>
        <m:r>
          <w:rPr>
            <w:rFonts w:ascii="Cambria Math" w:eastAsia="Times New Roman" w:hAnsi="Cambria Math"/>
          </w:rPr>
          <m:t>≤ P</m:t>
        </m:r>
      </m:oMath>
      <w:r w:rsidR="00830441" w:rsidRPr="00124D50">
        <w:rPr>
          <w:rFonts w:eastAsia="Times New Roman"/>
          <w:i/>
          <w:iCs/>
        </w:rPr>
        <w:t>)</w:t>
      </w:r>
      <w:r w:rsidR="00830441" w:rsidRPr="00124D50">
        <w:rPr>
          <w:rFonts w:eastAsia="Times New Roman"/>
        </w:rPr>
        <w:t xml:space="preserve"> as a free selection matrix selecting</w:t>
      </w:r>
    </w:p>
    <w:p w14:paraId="339BED50" w14:textId="682C9531" w:rsidR="00124D50" w:rsidRDefault="00830441" w:rsidP="00124D50">
      <w:pPr>
        <w:pStyle w:val="ListParagraph"/>
        <w:numPr>
          <w:ilvl w:val="1"/>
          <w:numId w:val="32"/>
        </w:numPr>
        <w:jc w:val="both"/>
        <w:rPr>
          <w:rFonts w:eastAsia="Times New Roman"/>
        </w:rPr>
      </w:pPr>
      <w:bookmarkStart w:id="10" w:name="_Ref61308631"/>
      <w:r w:rsidRPr="00124D50">
        <w:rPr>
          <w:rFonts w:eastAsia="Times New Roman"/>
        </w:rPr>
        <w:t>Ports (</w:t>
      </w:r>
      <m:oMath>
        <m:r>
          <w:rPr>
            <w:rFonts w:ascii="Cambria Math" w:eastAsia="Times New Roman" w:hAnsi="Cambria Math"/>
          </w:rPr>
          <m:t>P=</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oMath>
      <w:r w:rsidRPr="00124D50">
        <w:rPr>
          <w:rFonts w:eastAsia="Times New Roman"/>
        </w:rPr>
        <w:t>)</w:t>
      </w:r>
      <w:r w:rsidR="00663E03">
        <w:rPr>
          <w:rFonts w:eastAsia="Times New Roman"/>
        </w:rPr>
        <w:t xml:space="preserve"> (Alt 1, 3.0, 3.1)</w:t>
      </w:r>
      <w:bookmarkEnd w:id="10"/>
    </w:p>
    <w:p w14:paraId="2C3C7ED4" w14:textId="2CAD5A2F" w:rsidR="00663E03" w:rsidRDefault="00663E03" w:rsidP="00124D50">
      <w:pPr>
        <w:pStyle w:val="ListParagraph"/>
        <w:numPr>
          <w:ilvl w:val="1"/>
          <w:numId w:val="32"/>
        </w:numPr>
        <w:jc w:val="both"/>
        <w:rPr>
          <w:rFonts w:eastAsia="Times New Roman"/>
        </w:rPr>
      </w:pPr>
      <w:bookmarkStart w:id="11" w:name="_Ref61308707"/>
      <w:r w:rsidRPr="00124D50">
        <w:rPr>
          <w:rFonts w:eastAsia="Times New Roman"/>
        </w:rPr>
        <w:t>SD-FD bases (</w:t>
      </w:r>
      <m:oMath>
        <m:r>
          <w:rPr>
            <w:rFonts w:ascii="Cambria Math" w:eastAsia="Times New Roman" w:hAnsi="Cambria Math"/>
          </w:rPr>
          <m:t>P=</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SD-FD</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w:rPr>
                <w:rFonts w:ascii="Cambria Math" w:eastAsia="Times New Roman" w:hAnsi="Cambria Math"/>
              </w:rPr>
              <m:t>f</m:t>
            </m:r>
          </m:sub>
        </m:sSub>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O</m:t>
            </m:r>
          </m:e>
          <m:sub>
            <m:r>
              <w:rPr>
                <w:rFonts w:ascii="Cambria Math" w:eastAsia="Times New Roman" w:hAnsi="Cambria Math"/>
              </w:rPr>
              <m:t>f</m:t>
            </m:r>
          </m:sub>
        </m:sSub>
        <m:r>
          <w:rPr>
            <w:rFonts w:ascii="Cambria Math" w:eastAsia="Times New Roman" w:hAnsi="Cambria Math"/>
          </w:rPr>
          <m:t>≥1</m:t>
        </m:r>
      </m:oMath>
      <w:r>
        <w:rPr>
          <w:rFonts w:eastAsia="Times New Roman"/>
        </w:rPr>
        <w:t>) (Alt 2, 3.2, 5)</w:t>
      </w:r>
      <w:bookmarkEnd w:id="11"/>
    </w:p>
    <w:p w14:paraId="1658F818" w14:textId="62910B65" w:rsidR="00124D50" w:rsidRDefault="00830441" w:rsidP="00663E03">
      <w:pPr>
        <w:pStyle w:val="ListParagraph"/>
        <w:numPr>
          <w:ilvl w:val="1"/>
          <w:numId w:val="32"/>
        </w:numPr>
        <w:jc w:val="both"/>
        <w:rPr>
          <w:rFonts w:eastAsia="Times New Roman"/>
        </w:rPr>
      </w:pPr>
      <w:bookmarkStart w:id="12" w:name="_Ref61308634"/>
      <w:r w:rsidRPr="00124D50">
        <w:rPr>
          <w:rFonts w:eastAsia="Times New Roman"/>
        </w:rPr>
        <w:t>Port groups (</w:t>
      </w:r>
      <m:oMath>
        <m:r>
          <w:rPr>
            <w:rFonts w:ascii="Cambria Math" w:eastAsia="Times New Roman" w:hAnsi="Cambria Math"/>
          </w:rPr>
          <m:t>P=</m:t>
        </m:r>
        <m:sSub>
          <m:sSubPr>
            <m:ctrlPr>
              <w:rPr>
                <w:rFonts w:ascii="Cambria Math" w:eastAsia="Times New Roman" w:hAnsi="Cambria Math"/>
                <w:i/>
              </w:rPr>
            </m:ctrlPr>
          </m:sSubPr>
          <m:e>
            <m:r>
              <w:rPr>
                <w:rFonts w:ascii="Cambria Math" w:eastAsia="Times New Roman" w:hAnsi="Cambria Math"/>
              </w:rPr>
              <m:t>P</m:t>
            </m:r>
          </m:e>
          <m:sub>
            <m:r>
              <m:rPr>
                <m:sty m:val="p"/>
              </m:rPr>
              <w:rPr>
                <w:rFonts w:ascii="Cambria Math" w:eastAsia="Times New Roman" w:hAnsi="Cambria Math"/>
              </w:rPr>
              <m:t>group</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5</m:t>
            </m:r>
          </m:sub>
        </m:sSub>
        <m:r>
          <w:rPr>
            <w:rFonts w:ascii="Cambria Math" w:eastAsia="Times New Roman" w:hAnsi="Cambria Math"/>
          </w:rPr>
          <m:t>,</m:t>
        </m:r>
      </m:oMath>
      <w:r w:rsidR="006701C5" w:rsidRPr="00124D50">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5</m:t>
            </m:r>
          </m:sub>
        </m:sSub>
        <m:r>
          <w:rPr>
            <w:rFonts w:ascii="Cambria Math" w:eastAsia="Times New Roman" w:hAnsi="Cambria Math"/>
          </w:rPr>
          <m:t>≥1</m:t>
        </m:r>
      </m:oMath>
      <w:r w:rsidRPr="00124D50">
        <w:rPr>
          <w:rFonts w:eastAsia="Times New Roman"/>
        </w:rPr>
        <w:t>)</w:t>
      </w:r>
      <w:r w:rsidR="00663E03">
        <w:rPr>
          <w:rFonts w:eastAsia="Times New Roman"/>
        </w:rPr>
        <w:t xml:space="preserve"> (Alt 4)</w:t>
      </w:r>
      <w:bookmarkEnd w:id="12"/>
    </w:p>
    <w:p w14:paraId="73836CE9" w14:textId="216F5F18" w:rsidR="00663E03" w:rsidRDefault="00663E03" w:rsidP="00663E03">
      <w:pPr>
        <w:ind w:left="708"/>
        <w:jc w:val="both"/>
        <w:rPr>
          <w:rFonts w:eastAsia="Times New Roman"/>
        </w:rPr>
      </w:pPr>
      <w:r>
        <w:rPr>
          <w:rFonts w:eastAsia="Times New Roman"/>
        </w:rPr>
        <w:t xml:space="preserve">Note that </w:t>
      </w:r>
      <w:r>
        <w:rPr>
          <w:rFonts w:eastAsia="Times New Roman"/>
        </w:rPr>
        <w:fldChar w:fldCharType="begin"/>
      </w:r>
      <w:r>
        <w:rPr>
          <w:rFonts w:eastAsia="Times New Roman"/>
        </w:rPr>
        <w:instrText xml:space="preserve"> REF _Ref61308631 \r \h </w:instrText>
      </w:r>
      <w:r>
        <w:rPr>
          <w:rFonts w:eastAsia="Times New Roman"/>
        </w:rPr>
      </w:r>
      <w:r>
        <w:rPr>
          <w:rFonts w:eastAsia="Times New Roman"/>
        </w:rPr>
        <w:fldChar w:fldCharType="separate"/>
      </w:r>
      <w:r w:rsidR="00307C05">
        <w:rPr>
          <w:rFonts w:eastAsia="Times New Roman"/>
        </w:rPr>
        <w:t>a</w:t>
      </w:r>
      <w:r>
        <w:rPr>
          <w:rFonts w:eastAsia="Times New Roman"/>
        </w:rPr>
        <w:fldChar w:fldCharType="end"/>
      </w:r>
      <w:r>
        <w:rPr>
          <w:rFonts w:eastAsia="Times New Roman"/>
        </w:rPr>
        <w:t xml:space="preserve"> and </w:t>
      </w:r>
      <w:r>
        <w:rPr>
          <w:rFonts w:eastAsia="Times New Roman"/>
        </w:rPr>
        <w:fldChar w:fldCharType="begin"/>
      </w:r>
      <w:r>
        <w:rPr>
          <w:rFonts w:eastAsia="Times New Roman"/>
        </w:rPr>
        <w:instrText xml:space="preserve"> REF _Ref61308634 \r \h </w:instrText>
      </w:r>
      <w:r>
        <w:rPr>
          <w:rFonts w:eastAsia="Times New Roman"/>
        </w:rPr>
      </w:r>
      <w:r>
        <w:rPr>
          <w:rFonts w:eastAsia="Times New Roman"/>
        </w:rPr>
        <w:fldChar w:fldCharType="separate"/>
      </w:r>
      <w:r w:rsidR="00307C05">
        <w:rPr>
          <w:rFonts w:eastAsia="Times New Roman"/>
        </w:rPr>
        <w:t>c</w:t>
      </w:r>
      <w:r>
        <w:rPr>
          <w:rFonts w:eastAsia="Times New Roman"/>
        </w:rPr>
        <w:fldChar w:fldCharType="end"/>
      </w:r>
      <w:r>
        <w:rPr>
          <w:rFonts w:eastAsia="Times New Roman"/>
        </w:rPr>
        <w:t xml:space="preserve"> assume that a single SD-FD basis is mapped in a CSI-RS port, whereas </w:t>
      </w:r>
      <w:r>
        <w:rPr>
          <w:rFonts w:eastAsia="Times New Roman"/>
        </w:rPr>
        <w:fldChar w:fldCharType="begin"/>
      </w:r>
      <w:r>
        <w:rPr>
          <w:rFonts w:eastAsia="Times New Roman"/>
        </w:rPr>
        <w:instrText xml:space="preserve"> REF _Ref61308707 \r \h </w:instrText>
      </w:r>
      <w:r>
        <w:rPr>
          <w:rFonts w:eastAsia="Times New Roman"/>
        </w:rPr>
      </w:r>
      <w:r>
        <w:rPr>
          <w:rFonts w:eastAsia="Times New Roman"/>
        </w:rPr>
        <w:fldChar w:fldCharType="separate"/>
      </w:r>
      <w:r w:rsidR="00307C05">
        <w:rPr>
          <w:rFonts w:eastAsia="Times New Roman"/>
        </w:rPr>
        <w:t>b</w:t>
      </w:r>
      <w:r>
        <w:rPr>
          <w:rFonts w:eastAsia="Times New Roman"/>
        </w:rPr>
        <w:fldChar w:fldCharType="end"/>
      </w:r>
      <w:r>
        <w:rPr>
          <w:rFonts w:eastAsia="Times New Roman"/>
        </w:rPr>
        <w:t xml:space="preserve"> assumes that </w:t>
      </w:r>
      <m:oMath>
        <m:sSub>
          <m:sSubPr>
            <m:ctrlPr>
              <w:rPr>
                <w:rFonts w:ascii="Cambria Math" w:eastAsia="Times New Roman" w:hAnsi="Cambria Math"/>
                <w:i/>
              </w:rPr>
            </m:ctrlPr>
          </m:sSubPr>
          <m:e>
            <m:r>
              <w:rPr>
                <w:rFonts w:ascii="Cambria Math" w:eastAsia="Times New Roman" w:hAnsi="Cambria Math"/>
              </w:rPr>
              <m:t>O</m:t>
            </m:r>
          </m:e>
          <m:sub>
            <m:r>
              <w:rPr>
                <w:rFonts w:ascii="Cambria Math" w:eastAsia="Times New Roman" w:hAnsi="Cambria Math"/>
              </w:rPr>
              <m:t>f</m:t>
            </m:r>
          </m:sub>
        </m:sSub>
        <m:r>
          <w:rPr>
            <w:rFonts w:ascii="Cambria Math" w:eastAsia="Times New Roman" w:hAnsi="Cambria Math"/>
          </w:rPr>
          <m:t>≥1</m:t>
        </m:r>
      </m:oMath>
      <w:r>
        <w:rPr>
          <w:rFonts w:eastAsia="Times New Roman"/>
        </w:rPr>
        <w:t xml:space="preserve"> SD-FD bases are mapped in each port.</w:t>
      </w:r>
    </w:p>
    <w:p w14:paraId="74194C07" w14:textId="0E475946" w:rsidR="0000492A" w:rsidRPr="00355A98" w:rsidRDefault="0000492A" w:rsidP="0000492A">
      <w:pPr>
        <w:spacing w:after="0"/>
        <w:jc w:val="both"/>
        <w:rPr>
          <w:rFonts w:eastAsia="Times New Roman"/>
          <w:b/>
          <w:bCs/>
        </w:rPr>
      </w:pPr>
      <w:r w:rsidRPr="00355A98">
        <w:rPr>
          <w:rFonts w:eastAsia="Times New Roman"/>
          <w:b/>
          <w:bCs/>
        </w:rPr>
        <w:t>Observation</w:t>
      </w:r>
      <w:r w:rsidR="00F65BC5">
        <w:rPr>
          <w:rFonts w:eastAsia="Times New Roman"/>
          <w:b/>
          <w:bCs/>
        </w:rPr>
        <w:t xml:space="preserve"> 7</w:t>
      </w:r>
      <w:r w:rsidRPr="00355A98">
        <w:rPr>
          <w:rFonts w:eastAsia="Times New Roman"/>
          <w:b/>
          <w:bCs/>
        </w:rPr>
        <w:t xml:space="preserve">. In all proposals but Alt 0,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1</m:t>
            </m:r>
          </m:sub>
        </m:sSub>
      </m:oMath>
      <w:r w:rsidRPr="00355A98">
        <w:rPr>
          <w:rFonts w:eastAsia="Times New Roman"/>
          <w:b/>
          <w:bCs/>
        </w:rPr>
        <w:t xml:space="preserve"> is a free selection matrix selecting ports/SD-FD bases/port groups. There are two different proposals regarding the mapping of SD-FD bases to ports</w:t>
      </w:r>
      <w:r w:rsidR="00457B76">
        <w:rPr>
          <w:rFonts w:eastAsia="Times New Roman"/>
          <w:b/>
          <w:bCs/>
        </w:rPr>
        <w:t xml:space="preserve"> to reduce the CSI-RS overhead</w:t>
      </w:r>
    </w:p>
    <w:p w14:paraId="01C83346" w14:textId="2F18AD54" w:rsidR="0000492A" w:rsidRPr="00355A98" w:rsidRDefault="0000492A" w:rsidP="0000492A">
      <w:pPr>
        <w:pStyle w:val="ListParagraph"/>
        <w:numPr>
          <w:ilvl w:val="0"/>
          <w:numId w:val="37"/>
        </w:numPr>
        <w:jc w:val="both"/>
        <w:rPr>
          <w:rFonts w:eastAsia="Times New Roman"/>
          <w:b/>
          <w:bCs/>
        </w:rPr>
      </w:pPr>
      <w:r w:rsidRPr="00355A98">
        <w:rPr>
          <w:rFonts w:eastAsia="Times New Roman"/>
          <w:b/>
          <w:bCs/>
        </w:rPr>
        <w:t>One-to-one mapping</w:t>
      </w:r>
    </w:p>
    <w:p w14:paraId="60BE326D" w14:textId="077B6575" w:rsidR="0000492A" w:rsidRPr="00355A98" w:rsidRDefault="0000492A" w:rsidP="0000492A">
      <w:pPr>
        <w:pStyle w:val="ListParagraph"/>
        <w:numPr>
          <w:ilvl w:val="0"/>
          <w:numId w:val="37"/>
        </w:numPr>
        <w:jc w:val="both"/>
        <w:rPr>
          <w:rFonts w:eastAsia="Times New Roman"/>
          <w:b/>
          <w:bCs/>
        </w:rPr>
      </w:pPr>
      <w:r w:rsidRPr="00355A98">
        <w:rPr>
          <w:rFonts w:eastAsia="Times New Roman"/>
          <w:b/>
          <w:bCs/>
        </w:rPr>
        <w:t>Many-to-one mapping</w:t>
      </w:r>
    </w:p>
    <w:p w14:paraId="17B74CE9" w14:textId="77777777" w:rsidR="0000492A" w:rsidRDefault="0000492A" w:rsidP="00F37468">
      <w:pPr>
        <w:jc w:val="both"/>
        <w:rPr>
          <w:rFonts w:eastAsia="Times New Roman"/>
        </w:rPr>
      </w:pPr>
    </w:p>
    <w:p w14:paraId="4AD43FAA" w14:textId="193AA39B" w:rsidR="00F37468" w:rsidRDefault="00F37468" w:rsidP="00F37468">
      <w:pPr>
        <w:jc w:val="both"/>
        <w:rPr>
          <w:rFonts w:eastAsia="Times New Roman"/>
        </w:rPr>
      </w:pPr>
      <w:r>
        <w:rPr>
          <w:rFonts w:eastAsia="Times New Roman"/>
        </w:rPr>
        <w:t xml:space="preserve">Regarding this second aspect of whether to convey </w:t>
      </w:r>
      <w:r w:rsidR="000035D2">
        <w:rPr>
          <w:rFonts w:eastAsia="Times New Roman"/>
        </w:rPr>
        <w:t xml:space="preserve">a single or </w:t>
      </w:r>
      <w:r>
        <w:rPr>
          <w:rFonts w:eastAsia="Times New Roman"/>
        </w:rPr>
        <w:t>multiple SD-FD bases in a CSI-RS port</w:t>
      </w:r>
      <w:r w:rsidR="000035D2">
        <w:rPr>
          <w:rFonts w:eastAsia="Times New Roman"/>
        </w:rPr>
        <w:t xml:space="preserve">, the main motivation </w:t>
      </w:r>
      <w:r w:rsidR="007A583A">
        <w:rPr>
          <w:rFonts w:eastAsia="Times New Roman"/>
        </w:rPr>
        <w:t xml:space="preserve">for proposing many-to-one mapping is to reduce the CSI-RS overhead when scheduling multiple UEs simultaneously for CSI reports with a large number of </w:t>
      </w:r>
      <w:r w:rsidR="00EC1678">
        <w:rPr>
          <w:rFonts w:eastAsia="Times New Roman"/>
        </w:rPr>
        <w:t xml:space="preserve">UE-specific </w:t>
      </w:r>
      <w:r w:rsidR="007A583A">
        <w:rPr>
          <w:rFonts w:eastAsia="Times New Roman"/>
        </w:rPr>
        <w:t>CSI-RS ports, say 32.</w:t>
      </w:r>
      <w:r w:rsidR="008A30DB">
        <w:rPr>
          <w:rFonts w:eastAsia="Times New Roman"/>
        </w:rPr>
        <w:t xml:space="preserve"> In practice, </w:t>
      </w:r>
      <w:r w:rsidR="00820E88">
        <w:rPr>
          <w:rFonts w:eastAsia="Times New Roman"/>
        </w:rPr>
        <w:t xml:space="preserve">a </w:t>
      </w:r>
      <w:r w:rsidR="00355A98">
        <w:rPr>
          <w:rFonts w:eastAsia="Times New Roman"/>
        </w:rPr>
        <w:t>possible</w:t>
      </w:r>
      <w:r w:rsidR="00820E88">
        <w:rPr>
          <w:rFonts w:eastAsia="Times New Roman"/>
        </w:rPr>
        <w:t xml:space="preserve"> target is for </w:t>
      </w:r>
      <w:r w:rsidR="008A30DB" w:rsidRPr="008A30DB">
        <w:rPr>
          <w:rFonts w:eastAsia="Times New Roman"/>
        </w:rPr>
        <w:t>Rel</w:t>
      </w:r>
      <w:r w:rsidR="008A30DB">
        <w:rPr>
          <w:rFonts w:eastAsia="Times New Roman"/>
        </w:rPr>
        <w:t>-</w:t>
      </w:r>
      <w:r w:rsidR="008A30DB" w:rsidRPr="008A30DB">
        <w:rPr>
          <w:rFonts w:eastAsia="Times New Roman"/>
        </w:rPr>
        <w:t>17 CSI-RS occupancy</w:t>
      </w:r>
      <w:r w:rsidR="00820E88">
        <w:rPr>
          <w:rFonts w:eastAsia="Times New Roman"/>
        </w:rPr>
        <w:t>,</w:t>
      </w:r>
      <w:r w:rsidR="008A30DB" w:rsidRPr="008A30DB">
        <w:rPr>
          <w:rFonts w:eastAsia="Times New Roman"/>
        </w:rPr>
        <w:t xml:space="preserve"> in terms of average occupied REs per slot needed to configure reports from </w:t>
      </w:r>
      <w:r w:rsidR="00820E88">
        <w:rPr>
          <w:rFonts w:eastAsia="Times New Roman"/>
        </w:rPr>
        <w:t>a set number of</w:t>
      </w:r>
      <w:r w:rsidR="008A30DB" w:rsidRPr="008A30DB">
        <w:rPr>
          <w:rFonts w:eastAsia="Times New Roman"/>
        </w:rPr>
        <w:t xml:space="preserve"> UEs</w:t>
      </w:r>
      <w:r w:rsidR="00820E88">
        <w:rPr>
          <w:rFonts w:eastAsia="Times New Roman"/>
        </w:rPr>
        <w:t>,</w:t>
      </w:r>
      <w:r w:rsidR="008A30DB" w:rsidRPr="008A30DB">
        <w:rPr>
          <w:rFonts w:eastAsia="Times New Roman"/>
        </w:rPr>
        <w:t xml:space="preserve"> </w:t>
      </w:r>
      <w:r w:rsidR="00820E88">
        <w:rPr>
          <w:rFonts w:eastAsia="Times New Roman"/>
        </w:rPr>
        <w:t>to</w:t>
      </w:r>
      <w:r w:rsidR="008A30DB" w:rsidRPr="008A30DB">
        <w:rPr>
          <w:rFonts w:eastAsia="Times New Roman"/>
        </w:rPr>
        <w:t xml:space="preserve"> be </w:t>
      </w:r>
      <w:r w:rsidR="008A30DB" w:rsidRPr="008A30DB">
        <w:rPr>
          <w:rFonts w:eastAsia="Times New Roman"/>
        </w:rPr>
        <w:lastRenderedPageBreak/>
        <w:t xml:space="preserve">comparable to </w:t>
      </w:r>
      <w:r w:rsidR="00820E88">
        <w:rPr>
          <w:rFonts w:eastAsia="Times New Roman"/>
        </w:rPr>
        <w:t>the CSI-RS occupancy</w:t>
      </w:r>
      <w:r w:rsidR="008A30DB" w:rsidRPr="008A30DB">
        <w:rPr>
          <w:rFonts w:eastAsia="Times New Roman"/>
        </w:rPr>
        <w:t xml:space="preserve"> of Rel</w:t>
      </w:r>
      <w:r w:rsidR="00820E88">
        <w:rPr>
          <w:rFonts w:eastAsia="Times New Roman"/>
        </w:rPr>
        <w:t>-</w:t>
      </w:r>
      <w:r w:rsidR="008A30DB" w:rsidRPr="008A30DB">
        <w:rPr>
          <w:rFonts w:eastAsia="Times New Roman"/>
        </w:rPr>
        <w:t>16</w:t>
      </w:r>
      <w:r w:rsidR="00820E88">
        <w:rPr>
          <w:rFonts w:eastAsia="Times New Roman"/>
        </w:rPr>
        <w:t xml:space="preserve"> eType II codebooks.</w:t>
      </w:r>
      <w:r w:rsidR="00EC1678">
        <w:rPr>
          <w:rFonts w:eastAsia="Times New Roman"/>
        </w:rPr>
        <w:t xml:space="preserve"> However, </w:t>
      </w:r>
      <w:r w:rsidR="00EC1678">
        <w:t>without reduction in CSI-RS overhead, the RS overhead of Rel-17 PS would be much larger than that of Rel-16. In fact, in Rel-16 ports are typically shared between UEs but with FD precoding this is very complicated</w:t>
      </w:r>
      <w:r w:rsidR="00355A98">
        <w:t>.</w:t>
      </w:r>
    </w:p>
    <w:p w14:paraId="411E1D51" w14:textId="41B9D8AD" w:rsidR="00EC1678" w:rsidRDefault="00A24601" w:rsidP="00F37468">
      <w:pPr>
        <w:jc w:val="both"/>
        <w:rPr>
          <w:rFonts w:eastAsia="Times New Roman"/>
        </w:rPr>
      </w:pPr>
      <w:r>
        <w:rPr>
          <w:rFonts w:eastAsia="Times New Roman"/>
        </w:rPr>
        <w:t xml:space="preserve">A </w:t>
      </w:r>
      <w:r w:rsidR="00EC1678">
        <w:rPr>
          <w:rFonts w:eastAsia="Times New Roman"/>
        </w:rPr>
        <w:t xml:space="preserve">reduction in CSI-RS port density </w:t>
      </w:r>
      <w:r>
        <w:rPr>
          <w:rFonts w:eastAsia="Times New Roman"/>
        </w:rPr>
        <w:t>resulting</w:t>
      </w:r>
      <w:r w:rsidR="00EC1678">
        <w:rPr>
          <w:rFonts w:eastAsia="Times New Roman"/>
        </w:rPr>
        <w:t xml:space="preserve"> from reducing CSI-RS overhead</w:t>
      </w:r>
      <w:r>
        <w:rPr>
          <w:rFonts w:eastAsia="Times New Roman"/>
        </w:rPr>
        <w:t xml:space="preserve"> </w:t>
      </w:r>
      <w:r w:rsidR="00CB6FB7">
        <w:rPr>
          <w:rFonts w:eastAsia="Times New Roman"/>
        </w:rPr>
        <w:t xml:space="preserve">may </w:t>
      </w:r>
      <w:r>
        <w:rPr>
          <w:rFonts w:eastAsia="Times New Roman"/>
        </w:rPr>
        <w:t>lower the accuracy of the DL channel estimation. However, this negative impact</w:t>
      </w:r>
      <w:r w:rsidR="00EC1678">
        <w:rPr>
          <w:rFonts w:eastAsia="Times New Roman"/>
        </w:rPr>
        <w:t xml:space="preserve"> is mitigated by the fact that, by exploiting FDD reciprocity, a UE may only need to calculate a WB channel measure for each SD-FD basis. Hence, </w:t>
      </w:r>
      <w:r w:rsidR="00EC1678">
        <w:t>the frequency resolution needed for</w:t>
      </w:r>
      <w:r w:rsidR="00D920ED">
        <w:t xml:space="preserve"> the RS</w:t>
      </w:r>
      <w:r w:rsidR="00EC1678">
        <w:t xml:space="preserve"> </w:t>
      </w:r>
      <w:r w:rsidR="00D920ED">
        <w:t xml:space="preserve">of </w:t>
      </w:r>
      <w:r w:rsidR="00EC1678">
        <w:t xml:space="preserve">these SD-FD bases is much lower than for a spatially beamformed-only port like in Rel-16 PS. </w:t>
      </w:r>
    </w:p>
    <w:p w14:paraId="00A1215A" w14:textId="6C1FB968" w:rsidR="00355A98" w:rsidRPr="00355A98" w:rsidRDefault="00355A98" w:rsidP="00F37468">
      <w:pPr>
        <w:jc w:val="both"/>
        <w:rPr>
          <w:rFonts w:eastAsia="Times New Roman"/>
          <w:b/>
          <w:bCs/>
        </w:rPr>
      </w:pPr>
      <w:r w:rsidRPr="00355A98">
        <w:rPr>
          <w:rFonts w:eastAsia="Times New Roman"/>
          <w:b/>
          <w:bCs/>
        </w:rPr>
        <w:t>Observation</w:t>
      </w:r>
      <w:r w:rsidR="00240738">
        <w:rPr>
          <w:rFonts w:eastAsia="Times New Roman"/>
          <w:b/>
          <w:bCs/>
        </w:rPr>
        <w:t xml:space="preserve"> 8</w:t>
      </w:r>
      <w:r w:rsidRPr="00355A98">
        <w:rPr>
          <w:rFonts w:eastAsia="Times New Roman"/>
          <w:b/>
          <w:bCs/>
        </w:rPr>
        <w:t xml:space="preserve">. Reduction in CSI-RS overhead is critical when scheduling multiple UEs simultaneously for CSI reports with a large number of UE-specific CSI-RS ports, say 32. </w:t>
      </w:r>
      <w:r w:rsidRPr="00355A98">
        <w:rPr>
          <w:b/>
          <w:bCs/>
        </w:rPr>
        <w:t>Without this reduction, the RS overhead of Rel-17 PS would be much larger than that of Rel-16.</w:t>
      </w:r>
    </w:p>
    <w:p w14:paraId="09A6510E" w14:textId="06D05031" w:rsidR="002F1359" w:rsidRDefault="002F1359" w:rsidP="00F37468">
      <w:pPr>
        <w:jc w:val="both"/>
        <w:rPr>
          <w:rFonts w:eastAsia="Times New Roman"/>
        </w:rPr>
      </w:pPr>
      <w:r>
        <w:rPr>
          <w:rFonts w:eastAsia="Times New Roman"/>
        </w:rPr>
        <w:t xml:space="preserve">The following </w:t>
      </w:r>
      <w:r w:rsidR="00EC1678">
        <w:rPr>
          <w:rFonts w:eastAsia="Times New Roman"/>
        </w:rPr>
        <w:t>mechanisms</w:t>
      </w:r>
      <w:r>
        <w:rPr>
          <w:rFonts w:eastAsia="Times New Roman"/>
        </w:rPr>
        <w:t xml:space="preserve"> w</w:t>
      </w:r>
      <w:r w:rsidR="00EC1678">
        <w:rPr>
          <w:rFonts w:eastAsia="Times New Roman"/>
        </w:rPr>
        <w:t>ere proposed for studying</w:t>
      </w:r>
      <w:r>
        <w:rPr>
          <w:rFonts w:eastAsia="Times New Roman"/>
        </w:rPr>
        <w:t xml:space="preserve"> in RAN1#104-e</w:t>
      </w:r>
      <w:r w:rsidR="008A30DB">
        <w:rPr>
          <w:rFonts w:eastAsia="Times New Roman"/>
        </w:rPr>
        <w:t>.</w:t>
      </w:r>
    </w:p>
    <w:p w14:paraId="5B04374A" w14:textId="4E0FAA9E" w:rsidR="002F1359" w:rsidRPr="0022298F" w:rsidRDefault="002F1359" w:rsidP="002F1359">
      <w:pPr>
        <w:rPr>
          <w:rFonts w:asciiTheme="minorHAnsi" w:hAnsiTheme="minorHAnsi" w:cstheme="minorHAnsi"/>
          <w:i/>
          <w:iCs/>
        </w:rPr>
      </w:pPr>
      <w:r w:rsidRPr="0022298F">
        <w:rPr>
          <w:rFonts w:asciiTheme="minorHAnsi" w:hAnsiTheme="minorHAnsi" w:cstheme="minorHAnsi"/>
          <w:b/>
          <w:bCs/>
          <w:i/>
          <w:iCs/>
          <w:color w:val="000000" w:themeColor="text1"/>
          <w:kern w:val="24"/>
        </w:rPr>
        <w:t>Proposal</w:t>
      </w:r>
    </w:p>
    <w:p w14:paraId="5D8C3157" w14:textId="77777777" w:rsidR="002F1359" w:rsidRPr="0022298F" w:rsidRDefault="002F1359" w:rsidP="002F1359">
      <w:pPr>
        <w:spacing w:after="0"/>
        <w:jc w:val="both"/>
        <w:rPr>
          <w:rFonts w:asciiTheme="minorHAnsi" w:eastAsia="Times New Roman" w:hAnsiTheme="minorHAnsi" w:cstheme="minorHAnsi"/>
          <w:i/>
          <w:iCs/>
          <w:lang w:val="en-US"/>
        </w:rPr>
      </w:pPr>
      <w:r w:rsidRPr="0022298F">
        <w:rPr>
          <w:rFonts w:asciiTheme="minorHAnsi" w:eastAsia="Times New Roman" w:hAnsiTheme="minorHAnsi" w:cstheme="minorHAnsi"/>
          <w:i/>
          <w:iCs/>
          <w:lang w:val="en-US"/>
        </w:rPr>
        <w:t xml:space="preserve">Investigate the need for conveying more SD-FD bases than CSI-RS ports, and if the need is justified,  evaluate following mechanisms, by taking into account the trade-off among UE complexity, performance and reporting overhead by port selection codebook enhancements </w:t>
      </w:r>
    </w:p>
    <w:p w14:paraId="664DC2F3" w14:textId="77777777" w:rsidR="002F1359" w:rsidRPr="0022298F" w:rsidRDefault="002F1359" w:rsidP="002F1359">
      <w:pPr>
        <w:numPr>
          <w:ilvl w:val="0"/>
          <w:numId w:val="35"/>
        </w:numPr>
        <w:spacing w:after="0"/>
        <w:jc w:val="both"/>
        <w:rPr>
          <w:rFonts w:asciiTheme="minorHAnsi" w:eastAsia="Times New Roman" w:hAnsiTheme="minorHAnsi" w:cstheme="minorHAnsi"/>
          <w:i/>
          <w:iCs/>
          <w:lang w:val="en-US"/>
        </w:rPr>
      </w:pPr>
      <w:r w:rsidRPr="0022298F">
        <w:rPr>
          <w:rFonts w:asciiTheme="minorHAnsi" w:eastAsia="Times New Roman" w:hAnsiTheme="minorHAnsi" w:cstheme="minorHAnsi"/>
          <w:i/>
          <w:iCs/>
          <w:lang w:val="en-US"/>
        </w:rPr>
        <w:t xml:space="preserve">Note considering one-to-one mapping between SD-FD/SD basis and CSI-RS port, 32 CSI-RS ports,  and CSI-RS density 0.5, as a starting point </w:t>
      </w:r>
    </w:p>
    <w:p w14:paraId="503CD724" w14:textId="77777777" w:rsidR="002F1359" w:rsidRPr="0022298F" w:rsidRDefault="002F1359" w:rsidP="002F1359">
      <w:pPr>
        <w:numPr>
          <w:ilvl w:val="0"/>
          <w:numId w:val="35"/>
        </w:numPr>
        <w:spacing w:after="0"/>
        <w:jc w:val="both"/>
        <w:rPr>
          <w:rFonts w:asciiTheme="minorHAnsi" w:eastAsia="Times New Roman" w:hAnsiTheme="minorHAnsi" w:cstheme="minorHAnsi"/>
          <w:i/>
          <w:iCs/>
          <w:lang w:val="en-US"/>
        </w:rPr>
      </w:pPr>
      <w:r w:rsidRPr="0022298F">
        <w:rPr>
          <w:rFonts w:asciiTheme="minorHAnsi" w:eastAsia="Times New Roman" w:hAnsiTheme="minorHAnsi" w:cstheme="minorHAnsi"/>
          <w:i/>
          <w:iCs/>
          <w:lang w:val="en-US"/>
        </w:rPr>
        <w:t>The mechanism of conveying SD-FD beamforming bases using CSI-RS ports, e.g.</w:t>
      </w:r>
    </w:p>
    <w:p w14:paraId="49166B60" w14:textId="0AFB3CE3" w:rsidR="002F1359" w:rsidRPr="0022298F" w:rsidRDefault="002F1359" w:rsidP="002F1359">
      <w:pPr>
        <w:numPr>
          <w:ilvl w:val="1"/>
          <w:numId w:val="35"/>
        </w:numPr>
        <w:spacing w:after="0"/>
        <w:jc w:val="both"/>
        <w:rPr>
          <w:rFonts w:asciiTheme="minorHAnsi" w:eastAsia="Times New Roman" w:hAnsiTheme="minorHAnsi" w:cstheme="minorHAnsi"/>
          <w:i/>
          <w:iCs/>
          <w:lang w:val="en-US"/>
        </w:rPr>
      </w:pPr>
      <w:r w:rsidRPr="0022298F">
        <w:rPr>
          <w:rFonts w:asciiTheme="minorHAnsi" w:eastAsia="Times New Roman" w:hAnsiTheme="minorHAnsi" w:cstheme="minorHAnsi"/>
          <w:i/>
          <w:iCs/>
          <w:lang w:val="en-US"/>
        </w:rPr>
        <w:t xml:space="preserve">FDM: mapping  </w:t>
      </w:r>
      <m:oMath>
        <m:sSub>
          <m:sSubPr>
            <m:ctrlPr>
              <w:rPr>
                <w:rFonts w:ascii="Cambria Math" w:eastAsia="Times New Roman" w:hAnsi="Cambria Math" w:cstheme="minorHAnsi"/>
                <w:i/>
                <w:iCs/>
                <w:lang w:val="zh-CN"/>
              </w:rPr>
            </m:ctrlPr>
          </m:sSubPr>
          <m:e>
            <m:r>
              <w:rPr>
                <w:rFonts w:ascii="Cambria Math" w:eastAsia="Times New Roman" w:hAnsi="Cambria Math" w:cstheme="minorHAnsi"/>
                <w:lang w:val="en-US"/>
              </w:rPr>
              <m:t>O</m:t>
            </m:r>
          </m:e>
          <m:sub>
            <m:r>
              <w:rPr>
                <w:rFonts w:ascii="Cambria Math" w:eastAsia="Times New Roman" w:hAnsi="Cambria Math" w:cstheme="minorHAnsi"/>
                <w:lang w:val="en-US"/>
              </w:rPr>
              <m:t>f</m:t>
            </m:r>
          </m:sub>
        </m:sSub>
        <m:r>
          <w:rPr>
            <w:rFonts w:ascii="Cambria Math" w:eastAsia="Times New Roman" w:hAnsi="Cambria Math" w:cstheme="minorHAnsi"/>
            <w:lang w:val="en-US"/>
          </w:rPr>
          <m:t>≥1</m:t>
        </m:r>
      </m:oMath>
      <w:r w:rsidRPr="0022298F">
        <w:rPr>
          <w:rFonts w:asciiTheme="minorHAnsi" w:eastAsia="Times New Roman" w:hAnsiTheme="minorHAnsi" w:cstheme="minorHAnsi"/>
          <w:i/>
          <w:iCs/>
          <w:lang w:val="en-US"/>
        </w:rPr>
        <w:t xml:space="preserve">  SD-FD/SD bases FDMed  into single CSI-RS port at frequency domain</w:t>
      </w:r>
    </w:p>
    <w:p w14:paraId="7C221FE8" w14:textId="72AC899A" w:rsidR="002F1359" w:rsidRPr="0022298F" w:rsidRDefault="002F1359" w:rsidP="002F1359">
      <w:pPr>
        <w:numPr>
          <w:ilvl w:val="1"/>
          <w:numId w:val="35"/>
        </w:numPr>
        <w:spacing w:after="0"/>
        <w:jc w:val="both"/>
        <w:rPr>
          <w:rFonts w:asciiTheme="minorHAnsi" w:eastAsia="Times New Roman" w:hAnsiTheme="minorHAnsi" w:cstheme="minorHAnsi"/>
          <w:i/>
          <w:iCs/>
          <w:lang w:val="en-US"/>
        </w:rPr>
      </w:pPr>
      <w:r w:rsidRPr="0022298F">
        <w:rPr>
          <w:rFonts w:asciiTheme="minorHAnsi" w:eastAsia="Times New Roman" w:hAnsiTheme="minorHAnsi" w:cstheme="minorHAnsi"/>
          <w:i/>
          <w:iCs/>
          <w:lang w:val="en-US"/>
        </w:rPr>
        <w:t xml:space="preserve">CDM: mapping </w:t>
      </w:r>
      <m:oMath>
        <m:sSub>
          <m:sSubPr>
            <m:ctrlPr>
              <w:rPr>
                <w:rFonts w:ascii="Cambria Math" w:eastAsia="Times New Roman" w:hAnsi="Cambria Math" w:cstheme="minorHAnsi"/>
                <w:i/>
                <w:iCs/>
                <w:lang w:val="zh-CN"/>
              </w:rPr>
            </m:ctrlPr>
          </m:sSubPr>
          <m:e>
            <m:r>
              <w:rPr>
                <w:rFonts w:ascii="Cambria Math" w:eastAsia="Times New Roman" w:hAnsi="Cambria Math" w:cstheme="minorHAnsi"/>
                <w:lang w:val="en-US"/>
              </w:rPr>
              <m:t>O</m:t>
            </m:r>
          </m:e>
          <m:sub>
            <m:r>
              <w:rPr>
                <w:rFonts w:ascii="Cambria Math" w:eastAsia="Times New Roman" w:hAnsi="Cambria Math" w:cstheme="minorHAnsi"/>
                <w:lang w:val="en-US"/>
              </w:rPr>
              <m:t>f</m:t>
            </m:r>
          </m:sub>
        </m:sSub>
        <m:r>
          <w:rPr>
            <w:rFonts w:ascii="Cambria Math" w:eastAsia="Times New Roman" w:hAnsi="Cambria Math" w:cstheme="minorHAnsi"/>
            <w:lang w:val="en-US"/>
          </w:rPr>
          <m:t>≥1</m:t>
        </m:r>
      </m:oMath>
      <w:r w:rsidRPr="0022298F">
        <w:rPr>
          <w:rFonts w:asciiTheme="minorHAnsi" w:eastAsia="Times New Roman" w:hAnsiTheme="minorHAnsi" w:cstheme="minorHAnsi"/>
          <w:i/>
          <w:iCs/>
          <w:lang w:val="en-US"/>
        </w:rPr>
        <w:t xml:space="preserve"> SD-FD bases CDMed into single CSI-RS port at frequency domain </w:t>
      </w:r>
    </w:p>
    <w:p w14:paraId="442F05E9" w14:textId="77777777" w:rsidR="002F1359" w:rsidRPr="0022298F" w:rsidRDefault="002F1359" w:rsidP="002F1359">
      <w:pPr>
        <w:numPr>
          <w:ilvl w:val="1"/>
          <w:numId w:val="35"/>
        </w:numPr>
        <w:spacing w:after="0"/>
        <w:jc w:val="both"/>
        <w:rPr>
          <w:rFonts w:asciiTheme="minorHAnsi" w:eastAsia="Times New Roman" w:hAnsiTheme="minorHAnsi" w:cstheme="minorHAnsi"/>
          <w:i/>
          <w:iCs/>
          <w:lang w:val="en-US"/>
        </w:rPr>
      </w:pPr>
      <w:r w:rsidRPr="0022298F">
        <w:rPr>
          <w:rFonts w:asciiTheme="minorHAnsi" w:eastAsia="Times New Roman" w:hAnsiTheme="minorHAnsi" w:cstheme="minorHAnsi"/>
          <w:i/>
          <w:iCs/>
          <w:lang w:val="en-US"/>
        </w:rPr>
        <w:t xml:space="preserve">Lower CSI-RS frequency density per CSI-RS resource: e.g. 0.25 </w:t>
      </w:r>
    </w:p>
    <w:p w14:paraId="5B029495" w14:textId="110738E3" w:rsidR="002F1359" w:rsidRPr="0022298F" w:rsidRDefault="002F1359" w:rsidP="002F1359">
      <w:pPr>
        <w:numPr>
          <w:ilvl w:val="1"/>
          <w:numId w:val="35"/>
        </w:numPr>
        <w:spacing w:after="0"/>
        <w:jc w:val="both"/>
        <w:rPr>
          <w:rFonts w:asciiTheme="minorHAnsi" w:eastAsia="Times New Roman" w:hAnsiTheme="minorHAnsi" w:cstheme="minorHAnsi"/>
          <w:i/>
          <w:iCs/>
          <w:lang w:val="en-US"/>
        </w:rPr>
      </w:pPr>
      <w:r w:rsidRPr="0022298F">
        <w:rPr>
          <w:rFonts w:asciiTheme="minorHAnsi" w:eastAsia="Times New Roman" w:hAnsiTheme="minorHAnsi" w:cstheme="minorHAnsi"/>
          <w:i/>
          <w:iCs/>
          <w:lang w:val="en-US"/>
        </w:rPr>
        <w:t xml:space="preserve">A CSI  across multiple CSI-RS resources: i.e. </w:t>
      </w:r>
      <m:oMath>
        <m:sSub>
          <m:sSubPr>
            <m:ctrlPr>
              <w:rPr>
                <w:rFonts w:ascii="Cambria Math" w:eastAsia="Times New Roman" w:hAnsi="Cambria Math" w:cstheme="minorHAnsi"/>
                <w:i/>
                <w:iCs/>
                <w:lang w:val="en-US"/>
              </w:rPr>
            </m:ctrlPr>
          </m:sSubPr>
          <m:e>
            <m:r>
              <w:rPr>
                <w:rFonts w:ascii="Cambria Math" w:eastAsia="Times New Roman" w:hAnsi="Cambria Math" w:cstheme="minorHAnsi"/>
                <w:lang w:val="en-US"/>
              </w:rPr>
              <m:t>P</m:t>
            </m:r>
          </m:e>
          <m:sub>
            <m:r>
              <w:rPr>
                <w:rFonts w:ascii="Cambria Math" w:eastAsia="Times New Roman" w:hAnsi="Cambria Math" w:cstheme="minorHAnsi"/>
                <w:lang w:val="en-US"/>
              </w:rPr>
              <m:t>CSI-RS</m:t>
            </m:r>
          </m:sub>
        </m:sSub>
      </m:oMath>
      <w:r w:rsidRPr="0022298F">
        <w:rPr>
          <w:rFonts w:asciiTheme="minorHAnsi" w:eastAsia="Times New Roman" w:hAnsiTheme="minorHAnsi" w:cstheme="minorHAnsi"/>
          <w:i/>
          <w:iCs/>
          <w:lang w:val="en-US"/>
        </w:rPr>
        <w:t xml:space="preserve"> equals to total number of CSI-RS ports across multiple CSI-RS resources</w:t>
      </w:r>
    </w:p>
    <w:p w14:paraId="0D0B0946" w14:textId="5E4A5F7D" w:rsidR="002F1359" w:rsidRPr="0022298F" w:rsidRDefault="002F1359" w:rsidP="002F1359">
      <w:pPr>
        <w:numPr>
          <w:ilvl w:val="1"/>
          <w:numId w:val="35"/>
        </w:numPr>
        <w:spacing w:after="0"/>
        <w:jc w:val="both"/>
        <w:rPr>
          <w:rFonts w:asciiTheme="minorHAnsi" w:eastAsia="Times New Roman" w:hAnsiTheme="minorHAnsi" w:cstheme="minorHAnsi"/>
          <w:i/>
          <w:iCs/>
          <w:lang w:val="en-US"/>
        </w:rPr>
      </w:pPr>
      <w:r w:rsidRPr="0022298F">
        <w:rPr>
          <w:rFonts w:asciiTheme="minorHAnsi" w:eastAsia="Times New Roman" w:hAnsiTheme="minorHAnsi" w:cstheme="minorHAnsi"/>
          <w:i/>
          <w:iCs/>
          <w:lang w:val="en-US"/>
        </w:rPr>
        <w:t xml:space="preserve">A CSI across multiple time slots: i.e. </w:t>
      </w:r>
      <m:oMath>
        <m:sSub>
          <m:sSubPr>
            <m:ctrlPr>
              <w:rPr>
                <w:rFonts w:ascii="Cambria Math" w:eastAsia="Times New Roman" w:hAnsi="Cambria Math" w:cstheme="minorHAnsi"/>
                <w:i/>
                <w:iCs/>
                <w:lang w:val="en-US"/>
              </w:rPr>
            </m:ctrlPr>
          </m:sSubPr>
          <m:e>
            <m:r>
              <w:rPr>
                <w:rFonts w:ascii="Cambria Math" w:eastAsia="Times New Roman" w:hAnsi="Cambria Math" w:cstheme="minorHAnsi"/>
                <w:lang w:val="en-US"/>
              </w:rPr>
              <m:t>P</m:t>
            </m:r>
          </m:e>
          <m:sub>
            <m:r>
              <w:rPr>
                <w:rFonts w:ascii="Cambria Math" w:eastAsia="Times New Roman" w:hAnsi="Cambria Math" w:cstheme="minorHAnsi"/>
                <w:lang w:val="en-US"/>
              </w:rPr>
              <m:t>CSI-RS</m:t>
            </m:r>
          </m:sub>
        </m:sSub>
      </m:oMath>
      <w:r w:rsidRPr="0022298F">
        <w:rPr>
          <w:rFonts w:asciiTheme="minorHAnsi" w:eastAsia="Times New Roman" w:hAnsiTheme="minorHAnsi" w:cstheme="minorHAnsi"/>
          <w:i/>
          <w:iCs/>
          <w:lang w:val="en-US"/>
        </w:rPr>
        <w:t xml:space="preserve"> equals to total number of CSI-RS ports across multiple time slots</w:t>
      </w:r>
    </w:p>
    <w:p w14:paraId="7B6F808B" w14:textId="77777777" w:rsidR="002F1359" w:rsidRPr="0022298F" w:rsidRDefault="002F1359" w:rsidP="002F1359">
      <w:pPr>
        <w:numPr>
          <w:ilvl w:val="1"/>
          <w:numId w:val="35"/>
        </w:numPr>
        <w:spacing w:after="0"/>
        <w:jc w:val="both"/>
        <w:rPr>
          <w:rFonts w:asciiTheme="minorHAnsi" w:eastAsia="Times New Roman" w:hAnsiTheme="minorHAnsi" w:cstheme="minorHAnsi"/>
          <w:i/>
          <w:iCs/>
          <w:lang w:val="en-US"/>
        </w:rPr>
      </w:pPr>
      <w:r w:rsidRPr="0022298F">
        <w:rPr>
          <w:rFonts w:asciiTheme="minorHAnsi" w:eastAsia="Times New Roman" w:hAnsiTheme="minorHAnsi" w:cstheme="minorHAnsi"/>
          <w:i/>
          <w:iCs/>
          <w:lang w:val="en-US"/>
        </w:rPr>
        <w:t>Any combination of above examples and other mechanisms are not precluded</w:t>
      </w:r>
    </w:p>
    <w:p w14:paraId="7FA34496" w14:textId="77777777" w:rsidR="002F1359" w:rsidRPr="0022298F" w:rsidRDefault="002F1359" w:rsidP="002F1359">
      <w:pPr>
        <w:numPr>
          <w:ilvl w:val="0"/>
          <w:numId w:val="35"/>
        </w:numPr>
        <w:spacing w:after="0"/>
        <w:jc w:val="both"/>
        <w:rPr>
          <w:rFonts w:asciiTheme="minorHAnsi" w:eastAsia="Times New Roman" w:hAnsiTheme="minorHAnsi" w:cstheme="minorHAnsi"/>
          <w:i/>
          <w:iCs/>
          <w:lang w:val="en-US"/>
        </w:rPr>
      </w:pPr>
      <w:r w:rsidRPr="0022298F">
        <w:rPr>
          <w:rFonts w:asciiTheme="minorHAnsi" w:eastAsia="Times New Roman" w:hAnsiTheme="minorHAnsi" w:cstheme="minorHAnsi"/>
          <w:i/>
          <w:iCs/>
          <w:lang w:val="en-US"/>
        </w:rPr>
        <w:t xml:space="preserve">FFS: how to specify the mapping between multiple SD-FD bases in a CSI-RS port or across multiple CSI-RS resources or across multiple time slots in PMI quantization and associated CQI determination  </w:t>
      </w:r>
    </w:p>
    <w:p w14:paraId="358B2481" w14:textId="77777777" w:rsidR="002F1359" w:rsidRPr="0022298F" w:rsidRDefault="002F1359" w:rsidP="002F1359">
      <w:pPr>
        <w:numPr>
          <w:ilvl w:val="0"/>
          <w:numId w:val="35"/>
        </w:numPr>
        <w:spacing w:after="0"/>
        <w:jc w:val="both"/>
        <w:rPr>
          <w:rFonts w:asciiTheme="minorHAnsi" w:eastAsia="Times New Roman" w:hAnsiTheme="minorHAnsi" w:cstheme="minorHAnsi"/>
          <w:i/>
          <w:iCs/>
          <w:lang w:val="en-US"/>
        </w:rPr>
      </w:pPr>
      <w:r w:rsidRPr="0022298F">
        <w:rPr>
          <w:rFonts w:asciiTheme="minorHAnsi" w:eastAsia="Times New Roman" w:hAnsiTheme="minorHAnsi" w:cstheme="minorHAnsi"/>
          <w:i/>
          <w:iCs/>
          <w:lang w:val="en-US"/>
        </w:rPr>
        <w:t>Note that supporting up to 32 SD-FD bases across all CSI-RS resource(s) is prioritized for PS codebook enhancement in Rel-17.</w:t>
      </w:r>
    </w:p>
    <w:p w14:paraId="119F3BEC" w14:textId="35CB0474" w:rsidR="00830441" w:rsidRDefault="002F1359" w:rsidP="002F1359">
      <w:pPr>
        <w:jc w:val="both"/>
        <w:rPr>
          <w:rFonts w:asciiTheme="minorHAnsi" w:eastAsia="Times New Roman" w:hAnsiTheme="minorHAnsi" w:cstheme="minorHAnsi"/>
          <w:bCs/>
          <w:iCs/>
          <w:sz w:val="16"/>
          <w:szCs w:val="16"/>
          <w:lang w:val="en-US"/>
        </w:rPr>
      </w:pPr>
      <w:r w:rsidRPr="0022298F">
        <w:rPr>
          <w:rFonts w:asciiTheme="minorHAnsi" w:eastAsia="Times New Roman" w:hAnsiTheme="minorHAnsi" w:cstheme="minorHAnsi"/>
          <w:bCs/>
          <w:i/>
          <w:iCs/>
          <w:lang w:val="en-US"/>
        </w:rPr>
        <w:t>Other mechanisms are not precluded</w:t>
      </w:r>
    </w:p>
    <w:p w14:paraId="6B259D3C" w14:textId="77777777" w:rsidR="00481ABB" w:rsidRDefault="0032591B" w:rsidP="008A30DB">
      <w:pPr>
        <w:jc w:val="both"/>
        <w:rPr>
          <w:rFonts w:eastAsia="Times New Roman"/>
        </w:rPr>
      </w:pPr>
      <w:r>
        <w:rPr>
          <w:rFonts w:eastAsia="Times New Roman"/>
        </w:rPr>
        <w:t xml:space="preserve">The main advantage of the SD-FD basis multiplexing over reducing frequency density of a CSI-RS resource is </w:t>
      </w:r>
      <w:r w:rsidR="00FA67EF">
        <w:rPr>
          <w:rFonts w:eastAsia="Times New Roman"/>
        </w:rPr>
        <w:t>the possibility to schedule more CSI-RS resources per slot</w:t>
      </w:r>
      <w:r>
        <w:rPr>
          <w:rFonts w:eastAsia="Times New Roman"/>
        </w:rPr>
        <w:t>.</w:t>
      </w:r>
      <w:r w:rsidR="00FA67EF">
        <w:rPr>
          <w:rFonts w:eastAsia="Times New Roman"/>
        </w:rPr>
        <w:t xml:space="preserve"> This is </w:t>
      </w:r>
      <w:r w:rsidR="00F0021B">
        <w:rPr>
          <w:rFonts w:eastAsia="Times New Roman"/>
        </w:rPr>
        <w:t>possible because, by mapping multiple SD-FD bases in the same port, fewer ports per resource can be used, which allows more flexible time-frequency allocation.</w:t>
      </w:r>
    </w:p>
    <w:p w14:paraId="1F18E802" w14:textId="2F971E29" w:rsidR="008E0947" w:rsidRDefault="00F0021B" w:rsidP="008A30DB">
      <w:pPr>
        <w:jc w:val="both"/>
        <w:rPr>
          <w:rFonts w:eastAsia="Times New Roman"/>
        </w:rPr>
      </w:pPr>
      <w:r>
        <w:rPr>
          <w:rFonts w:eastAsia="Times New Roman"/>
        </w:rPr>
        <w:t xml:space="preserve">This is illustrated by an example in </w:t>
      </w:r>
      <w:r>
        <w:rPr>
          <w:rFonts w:eastAsia="Times New Roman"/>
        </w:rPr>
        <w:fldChar w:fldCharType="begin"/>
      </w:r>
      <w:r>
        <w:rPr>
          <w:rFonts w:eastAsia="Times New Roman"/>
        </w:rPr>
        <w:instrText xml:space="preserve"> REF _Ref61371508 \h </w:instrText>
      </w:r>
      <w:r>
        <w:rPr>
          <w:rFonts w:eastAsia="Times New Roman"/>
        </w:rPr>
      </w:r>
      <w:r>
        <w:rPr>
          <w:rFonts w:eastAsia="Times New Roman"/>
        </w:rPr>
        <w:fldChar w:fldCharType="separate"/>
      </w:r>
      <w:r w:rsidR="00307C05">
        <w:t xml:space="preserve">Figure </w:t>
      </w:r>
      <w:r w:rsidR="00307C05">
        <w:rPr>
          <w:noProof/>
        </w:rPr>
        <w:t>3</w:t>
      </w:r>
      <w:r>
        <w:rPr>
          <w:rFonts w:eastAsia="Times New Roman"/>
        </w:rPr>
        <w:fldChar w:fldCharType="end"/>
      </w:r>
      <w:r>
        <w:rPr>
          <w:rFonts w:eastAsia="Times New Roman"/>
        </w:rPr>
        <w:t>, where we compare the maximum number of UE-specific CSI-RS resources, hence the maximum number of UEs, that can be scheduled for CSI reporting in a slot</w:t>
      </w:r>
      <w:r w:rsidR="00F73420">
        <w:rPr>
          <w:rFonts w:eastAsia="Times New Roman"/>
        </w:rPr>
        <w:t>, with 32 SD-FD bases configured per user</w:t>
      </w:r>
      <w:r>
        <w:rPr>
          <w:rFonts w:eastAsia="Times New Roman"/>
        </w:rPr>
        <w:t>.</w:t>
      </w:r>
      <w:r w:rsidR="008879AC">
        <w:rPr>
          <w:rFonts w:eastAsia="Times New Roman"/>
        </w:rPr>
        <w:t xml:space="preserve"> We consider a slot format with front loaded PDCCH + DMRS.</w:t>
      </w:r>
      <w:r>
        <w:rPr>
          <w:rFonts w:eastAsia="Times New Roman"/>
        </w:rPr>
        <w:t xml:space="preserve"> The configuration on the right assumes</w:t>
      </w:r>
      <w:r w:rsidR="00F73420">
        <w:rPr>
          <w:rFonts w:eastAsia="Times New Roman"/>
        </w:rPr>
        <w:t xml:space="preserve"> many-to-one mapping, with</w:t>
      </w:r>
      <w:r w:rsidR="00481ABB">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O</m:t>
            </m:r>
          </m:e>
          <m:sub>
            <m:r>
              <w:rPr>
                <w:rFonts w:ascii="Cambria Math" w:eastAsia="Times New Roman" w:hAnsi="Cambria Math"/>
              </w:rPr>
              <m:t>f</m:t>
            </m:r>
          </m:sub>
        </m:sSub>
        <m:r>
          <w:rPr>
            <w:rFonts w:ascii="Cambria Math" w:eastAsia="Times New Roman" w:hAnsi="Cambria Math"/>
          </w:rPr>
          <m:t>=4</m:t>
        </m:r>
      </m:oMath>
      <w:r w:rsidR="00481ABB">
        <w:rPr>
          <w:rFonts w:eastAsia="Times New Roman"/>
        </w:rPr>
        <w:t xml:space="preserve"> SD-FD bases mapped to a port</w:t>
      </w:r>
      <w:r w:rsidR="00F73420">
        <w:rPr>
          <w:rFonts w:eastAsia="Times New Roman"/>
        </w:rPr>
        <w:t>.</w:t>
      </w:r>
      <w:r w:rsidR="00481ABB">
        <w:rPr>
          <w:rFonts w:eastAsia="Times New Roman"/>
        </w:rPr>
        <w:t xml:space="preserve"> </w:t>
      </w:r>
      <w:r w:rsidR="00F73420">
        <w:rPr>
          <w:rFonts w:eastAsia="Times New Roman"/>
        </w:rPr>
        <w:t>W</w:t>
      </w:r>
      <w:r w:rsidR="00481ABB">
        <w:rPr>
          <w:rFonts w:eastAsia="Times New Roman"/>
        </w:rPr>
        <w:t xml:space="preserve">e can define the </w:t>
      </w:r>
      <w:r w:rsidR="00481ABB" w:rsidRPr="00481ABB">
        <w:rPr>
          <w:rFonts w:eastAsia="Times New Roman"/>
          <w:i/>
          <w:iCs/>
        </w:rPr>
        <w:t>density per SD-FD basis</w:t>
      </w:r>
      <w:r w:rsidR="00F73420">
        <w:rPr>
          <w:rFonts w:eastAsia="Times New Roman"/>
          <w:i/>
          <w:iCs/>
        </w:rPr>
        <w:t xml:space="preserve">, </w:t>
      </w:r>
      <m:oMath>
        <m:sSub>
          <m:sSubPr>
            <m:ctrlPr>
              <w:rPr>
                <w:rFonts w:ascii="Cambria Math" w:eastAsia="Times New Roman" w:hAnsi="Cambria Math"/>
                <w:i/>
                <w:iCs/>
              </w:rPr>
            </m:ctrlPr>
          </m:sSubPr>
          <m:e>
            <m:r>
              <w:rPr>
                <w:rFonts w:ascii="Cambria Math" w:eastAsia="Times New Roman" w:hAnsi="Cambria Math"/>
              </w:rPr>
              <m:t>d</m:t>
            </m:r>
          </m:e>
          <m:sub>
            <m:r>
              <w:rPr>
                <w:rFonts w:ascii="Cambria Math" w:eastAsia="Times New Roman" w:hAnsi="Cambria Math"/>
              </w:rPr>
              <m:t>SD-FD</m:t>
            </m:r>
          </m:sub>
        </m:sSub>
      </m:oMath>
      <w:r w:rsidR="00F73420">
        <w:rPr>
          <w:rFonts w:eastAsia="Times New Roman"/>
        </w:rPr>
        <w:t xml:space="preserve">, </w:t>
      </w:r>
      <w:r w:rsidR="00481ABB">
        <w:rPr>
          <w:rFonts w:eastAsia="Times New Roman"/>
        </w:rPr>
        <w:t>as the ratio between the density of a CSI-RS resource over the number of SD-FD bases mapped to each of its port: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3"/>
      </w:tblGrid>
      <w:tr w:rsidR="00481ABB" w:rsidRPr="00CC60C0" w14:paraId="62118B8B" w14:textId="77777777" w:rsidTr="00F73420">
        <w:tc>
          <w:tcPr>
            <w:tcW w:w="8926" w:type="dxa"/>
          </w:tcPr>
          <w:p w14:paraId="335A1EC0" w14:textId="36649265" w:rsidR="00481ABB" w:rsidRPr="00CC60C0" w:rsidRDefault="00497DD0" w:rsidP="00481ABB">
            <w:pPr>
              <w:spacing w:before="180"/>
              <w:jc w:val="center"/>
            </w:pPr>
            <m:oMathPara>
              <m:oMath>
                <m:sSub>
                  <m:sSubPr>
                    <m:ctrlPr>
                      <w:rPr>
                        <w:rFonts w:ascii="Cambria Math" w:eastAsia="Times New Roman" w:hAnsi="Cambria Math"/>
                        <w:i/>
                        <w:iCs/>
                      </w:rPr>
                    </m:ctrlPr>
                  </m:sSubPr>
                  <m:e>
                    <m:r>
                      <w:rPr>
                        <w:rFonts w:ascii="Cambria Math" w:eastAsia="Times New Roman" w:hAnsi="Cambria Math"/>
                      </w:rPr>
                      <m:t>d</m:t>
                    </m:r>
                  </m:e>
                  <m:sub>
                    <m:r>
                      <w:rPr>
                        <w:rFonts w:ascii="Cambria Math" w:eastAsia="Times New Roman" w:hAnsi="Cambria Math"/>
                      </w:rPr>
                      <m:t>SD-FD</m:t>
                    </m:r>
                  </m:sub>
                </m:sSub>
                <m:r>
                  <w:rPr>
                    <w:rFonts w:ascii="Cambria Math" w:eastAsia="Times New Roman" w:hAnsi="Cambria Math"/>
                  </w:rPr>
                  <m:t>=density per SD-FD basis=</m:t>
                </m:r>
                <m:f>
                  <m:fPr>
                    <m:ctrlPr>
                      <w:rPr>
                        <w:rFonts w:ascii="Cambria Math" w:eastAsia="Times New Roman" w:hAnsi="Cambria Math"/>
                        <w:i/>
                        <w:iCs/>
                      </w:rPr>
                    </m:ctrlPr>
                  </m:fPr>
                  <m:num>
                    <m:r>
                      <w:rPr>
                        <w:rFonts w:ascii="Cambria Math" w:eastAsia="Times New Roman" w:hAnsi="Cambria Math"/>
                      </w:rPr>
                      <m:t>density of CSI-RS resource</m:t>
                    </m:r>
                  </m:num>
                  <m:den>
                    <m:r>
                      <w:rPr>
                        <w:rFonts w:ascii="Cambria Math" w:eastAsia="Times New Roman" w:hAnsi="Cambria Math"/>
                      </w:rPr>
                      <m:t># SD-FD bases per port</m:t>
                    </m:r>
                  </m:den>
                </m:f>
                <m:r>
                  <w:rPr>
                    <w:rFonts w:ascii="Cambria Math" w:eastAsia="Times New Roman" w:hAnsi="Cambria Math"/>
                  </w:rPr>
                  <m:t>=</m:t>
                </m:r>
                <m:f>
                  <m:fPr>
                    <m:ctrlPr>
                      <w:rPr>
                        <w:rFonts w:ascii="Cambria Math" w:eastAsia="Times New Roman" w:hAnsi="Cambria Math"/>
                        <w:i/>
                        <w:iCs/>
                      </w:rPr>
                    </m:ctrlPr>
                  </m:fPr>
                  <m:num>
                    <m:r>
                      <w:rPr>
                        <w:rFonts w:ascii="Cambria Math" w:eastAsia="Times New Roman" w:hAnsi="Cambria Math"/>
                      </w:rPr>
                      <m:t>#REs/#ports/#PRBs</m:t>
                    </m:r>
                  </m:num>
                  <m:den>
                    <m:sSub>
                      <m:sSubPr>
                        <m:ctrlPr>
                          <w:rPr>
                            <w:rFonts w:ascii="Cambria Math" w:eastAsia="Times New Roman" w:hAnsi="Cambria Math"/>
                            <w:i/>
                            <w:iCs/>
                          </w:rPr>
                        </m:ctrlPr>
                      </m:sSubPr>
                      <m:e>
                        <m:r>
                          <w:rPr>
                            <w:rFonts w:ascii="Cambria Math" w:eastAsia="Times New Roman" w:hAnsi="Cambria Math"/>
                          </w:rPr>
                          <m:t>O</m:t>
                        </m:r>
                      </m:e>
                      <m:sub>
                        <m:r>
                          <w:rPr>
                            <w:rFonts w:ascii="Cambria Math" w:eastAsia="Times New Roman" w:hAnsi="Cambria Math"/>
                          </w:rPr>
                          <m:t>f</m:t>
                        </m:r>
                      </m:sub>
                    </m:sSub>
                  </m:den>
                </m:f>
                <m:r>
                  <w:rPr>
                    <w:rFonts w:ascii="Cambria Math" w:eastAsia="Times New Roman" w:hAnsi="Cambria Math"/>
                  </w:rPr>
                  <m:t>.</m:t>
                </m:r>
              </m:oMath>
            </m:oMathPara>
          </w:p>
        </w:tc>
        <w:tc>
          <w:tcPr>
            <w:tcW w:w="703" w:type="dxa"/>
            <w:vAlign w:val="center"/>
          </w:tcPr>
          <w:p w14:paraId="235A80F2" w14:textId="7D62F547" w:rsidR="00481ABB" w:rsidRPr="00CC60C0" w:rsidRDefault="00481ABB" w:rsidP="00F73420">
            <w:pPr>
              <w:keepNext/>
              <w:spacing w:before="180"/>
              <w:jc w:val="right"/>
            </w:pPr>
            <w:bookmarkStart w:id="13" w:name="_Ref534994984"/>
            <w:bookmarkStart w:id="14" w:name="_Ref534994990"/>
            <w:r w:rsidRPr="00CC60C0">
              <w:t>(</w:t>
            </w:r>
            <w:r w:rsidRPr="00CC60C0">
              <w:fldChar w:fldCharType="begin"/>
            </w:r>
            <w:r w:rsidRPr="00CC60C0">
              <w:instrText xml:space="preserve"> SEQ Equation \* ARABIC </w:instrText>
            </w:r>
            <w:r w:rsidRPr="00CC60C0">
              <w:fldChar w:fldCharType="separate"/>
            </w:r>
            <w:r w:rsidR="00307C05">
              <w:rPr>
                <w:noProof/>
              </w:rPr>
              <w:t>1</w:t>
            </w:r>
            <w:r w:rsidRPr="00CC60C0">
              <w:fldChar w:fldCharType="end"/>
            </w:r>
            <w:bookmarkEnd w:id="13"/>
            <w:r w:rsidRPr="00CC60C0">
              <w:t>)</w:t>
            </w:r>
            <w:bookmarkEnd w:id="14"/>
          </w:p>
        </w:tc>
      </w:tr>
    </w:tbl>
    <w:p w14:paraId="43F5DE8E" w14:textId="79E6AD98" w:rsidR="00481ABB" w:rsidRDefault="00F73420" w:rsidP="008A30DB">
      <w:pPr>
        <w:jc w:val="both"/>
        <w:rPr>
          <w:rFonts w:eastAsia="Times New Roman"/>
        </w:rPr>
      </w:pPr>
      <w:r>
        <w:rPr>
          <w:rFonts w:eastAsia="Times New Roman"/>
        </w:rPr>
        <w:t>In the example on the right</w:t>
      </w:r>
      <w:r w:rsidR="0005002D">
        <w:rPr>
          <w:rFonts w:eastAsia="Times New Roman"/>
        </w:rPr>
        <w:t>,</w:t>
      </w:r>
      <w:r>
        <w:rPr>
          <w:rFonts w:eastAsia="Times New Roman"/>
        </w:rPr>
        <w:t xml:space="preserve"> we use 8-port resources with density 1, hence the density per SD-FD basis equals 0.25. In the figure we draw two example</w:t>
      </w:r>
      <w:r w:rsidR="00E42837">
        <w:rPr>
          <w:rFonts w:eastAsia="Times New Roman"/>
        </w:rPr>
        <w:t>s</w:t>
      </w:r>
      <w:r>
        <w:rPr>
          <w:rFonts w:eastAsia="Times New Roman"/>
        </w:rPr>
        <w:t xml:space="preserve"> of CSI-RS allocation obtained</w:t>
      </w:r>
      <w:r w:rsidR="00F06A28">
        <w:rPr>
          <w:rFonts w:eastAsia="Times New Roman"/>
        </w:rPr>
        <w:t xml:space="preserve"> with the three possible patterns listed in Table 7.4.1.5.3-1 of 38.211, for </w:t>
      </w:r>
      <m:oMath>
        <m:r>
          <w:rPr>
            <w:rFonts w:ascii="Cambria Math" w:eastAsia="Times New Roman" w:hAnsi="Cambria Math"/>
          </w:rPr>
          <m:t>X=8</m:t>
        </m:r>
      </m:oMath>
      <w:r w:rsidR="00F06A28">
        <w:rPr>
          <w:rFonts w:eastAsia="Times New Roman"/>
        </w:rPr>
        <w:t>: pattern 8 uses CDM4, whilst patterns 6 and 7 use CDM2. The maximum number of UEs that can be scheduled for CSI reporting per slot, with 32 SD-FD bases, is 11 and 15, respectively.</w:t>
      </w:r>
    </w:p>
    <w:p w14:paraId="081FE73A" w14:textId="32313669" w:rsidR="00F06A28" w:rsidRDefault="00F06A28" w:rsidP="008A30DB">
      <w:pPr>
        <w:jc w:val="both"/>
        <w:rPr>
          <w:rFonts w:eastAsia="Times New Roman"/>
        </w:rPr>
      </w:pPr>
      <w:r>
        <w:rPr>
          <w:rFonts w:eastAsia="Times New Roman"/>
        </w:rPr>
        <w:t xml:space="preserve">Conversely, in the left-hand side of </w:t>
      </w:r>
      <w:r>
        <w:rPr>
          <w:rFonts w:eastAsia="Times New Roman"/>
        </w:rPr>
        <w:fldChar w:fldCharType="begin"/>
      </w:r>
      <w:r>
        <w:rPr>
          <w:rFonts w:eastAsia="Times New Roman"/>
        </w:rPr>
        <w:instrText xml:space="preserve"> REF _Ref61371508 \h </w:instrText>
      </w:r>
      <w:r>
        <w:rPr>
          <w:rFonts w:eastAsia="Times New Roman"/>
        </w:rPr>
      </w:r>
      <w:r>
        <w:rPr>
          <w:rFonts w:eastAsia="Times New Roman"/>
        </w:rPr>
        <w:fldChar w:fldCharType="separate"/>
      </w:r>
      <w:r w:rsidR="00307C05">
        <w:t xml:space="preserve">Figure </w:t>
      </w:r>
      <w:r w:rsidR="00307C05">
        <w:rPr>
          <w:noProof/>
        </w:rPr>
        <w:t>3</w:t>
      </w:r>
      <w:r>
        <w:rPr>
          <w:rFonts w:eastAsia="Times New Roman"/>
        </w:rPr>
        <w:fldChar w:fldCharType="end"/>
      </w:r>
      <w:r w:rsidR="00E8642E">
        <w:rPr>
          <w:rFonts w:eastAsia="Times New Roman"/>
        </w:rPr>
        <w:t xml:space="preserve">, we can achieve the same density per SD-FD basis with one-to-one mapping, by introducing a lower CSI-RS </w:t>
      </w:r>
      <w:r w:rsidR="00E8642E" w:rsidRPr="00E42837">
        <w:rPr>
          <w:rFonts w:eastAsia="Times New Roman"/>
          <w:i/>
          <w:iCs/>
        </w:rPr>
        <w:t>density</w:t>
      </w:r>
      <w:r w:rsidR="00E8642E">
        <w:rPr>
          <w:rFonts w:eastAsia="Times New Roman"/>
        </w:rPr>
        <w:t xml:space="preserve"> of 0.25, </w:t>
      </w:r>
      <w:r w:rsidR="00E8642E" w:rsidRPr="00E8642E">
        <w:rPr>
          <w:rFonts w:eastAsia="Times New Roman"/>
          <w:i/>
          <w:iCs/>
        </w:rPr>
        <w:t>i.e.</w:t>
      </w:r>
      <w:r w:rsidR="00E8642E">
        <w:rPr>
          <w:rFonts w:eastAsia="Times New Roman"/>
        </w:rPr>
        <w:t xml:space="preserve">, one in 4 RBs is scheduled with CSI-RS REs. To accommodate all 32 SD-FD bases, we need to use </w:t>
      </w:r>
      <m:oMath>
        <m:r>
          <w:rPr>
            <w:rFonts w:ascii="Cambria Math" w:eastAsia="Times New Roman" w:hAnsi="Cambria Math"/>
          </w:rPr>
          <m:t>X=32</m:t>
        </m:r>
      </m:oMath>
      <w:r w:rsidR="00E42837">
        <w:rPr>
          <w:rFonts w:eastAsia="Times New Roman"/>
        </w:rPr>
        <w:t xml:space="preserve"> </w:t>
      </w:r>
      <w:r w:rsidR="00E8642E">
        <w:rPr>
          <w:rFonts w:eastAsia="Times New Roman"/>
        </w:rPr>
        <w:t xml:space="preserve">port resources. We also introduce a </w:t>
      </w:r>
      <w:r w:rsidR="00E8642E" w:rsidRPr="00E8642E">
        <w:rPr>
          <w:rFonts w:eastAsia="Times New Roman"/>
          <w:i/>
          <w:iCs/>
        </w:rPr>
        <w:t>comb offset</w:t>
      </w:r>
      <w:r w:rsidR="00E8642E">
        <w:rPr>
          <w:rFonts w:eastAsia="Times New Roman"/>
        </w:rPr>
        <w:t xml:space="preserve"> with value set: </w:t>
      </w:r>
      <m:oMath>
        <m:d>
          <m:dPr>
            <m:begChr m:val="{"/>
            <m:endChr m:val="}"/>
            <m:ctrlPr>
              <w:rPr>
                <w:rFonts w:ascii="Cambria Math" w:eastAsia="Times New Roman" w:hAnsi="Cambria Math"/>
                <w:i/>
              </w:rPr>
            </m:ctrlPr>
          </m:dPr>
          <m:e>
            <m:r>
              <w:rPr>
                <w:rFonts w:ascii="Cambria Math" w:eastAsia="Times New Roman" w:hAnsi="Cambria Math"/>
              </w:rPr>
              <m:t>0,1,2,3</m:t>
            </m:r>
          </m:e>
        </m:d>
      </m:oMath>
      <w:r w:rsidR="00E8642E">
        <w:rPr>
          <w:rFonts w:eastAsia="Times New Roman"/>
        </w:rPr>
        <w:t xml:space="preserve"> indicating which RB in a group of </w:t>
      </w:r>
      <m:oMath>
        <m:r>
          <w:rPr>
            <w:rFonts w:ascii="Cambria Math" w:eastAsia="Times New Roman" w:hAnsi="Cambria Math"/>
          </w:rPr>
          <m:t>4=1/density</m:t>
        </m:r>
      </m:oMath>
      <w:r w:rsidR="00E8642E">
        <w:rPr>
          <w:rFonts w:eastAsia="Times New Roman"/>
        </w:rPr>
        <w:t xml:space="preserve"> is occupied by a CSI-RS resource</w:t>
      </w:r>
      <w:r w:rsidR="00D864BC">
        <w:rPr>
          <w:rFonts w:eastAsia="Times New Roman"/>
        </w:rPr>
        <w:t>, such that we can occupy each RB with CSI-RS resources.</w:t>
      </w:r>
      <w:r w:rsidR="00E42837">
        <w:rPr>
          <w:rFonts w:eastAsia="Times New Roman"/>
        </w:rPr>
        <w:t xml:space="preserve"> In this case, the possible time-frequency resource allocation</w:t>
      </w:r>
      <w:r w:rsidR="004170CA">
        <w:rPr>
          <w:rFonts w:eastAsia="Times New Roman"/>
        </w:rPr>
        <w:t>s</w:t>
      </w:r>
      <w:r w:rsidR="00E42837">
        <w:rPr>
          <w:rFonts w:eastAsia="Times New Roman"/>
        </w:rPr>
        <w:t xml:space="preserve"> are illustrated by two examples, one obtained with pattern 18 of Table 7.4.1.5.3-1 of 38.211, using CDM8 and one obtained with either pattern 16 (CDM2) or 17 </w:t>
      </w:r>
      <w:r w:rsidR="00E42837">
        <w:rPr>
          <w:rFonts w:eastAsia="Times New Roman"/>
        </w:rPr>
        <w:lastRenderedPageBreak/>
        <w:t xml:space="preserve">(CDM4). A noticeable difference in these RS allocations is that, because of </w:t>
      </w:r>
      <w:r w:rsidR="00E42837" w:rsidRPr="00E42837">
        <w:rPr>
          <w:rFonts w:eastAsia="Times New Roman"/>
          <w:i/>
          <w:iCs/>
        </w:rPr>
        <w:t>density</w:t>
      </w:r>
      <w:r w:rsidR="00E42837">
        <w:rPr>
          <w:rFonts w:eastAsia="Times New Roman"/>
        </w:rPr>
        <w:t>=0.25, all SD-FD bases for a UE occupy one in 4 RBs. The maximum number of UEs that can be scheduled for CSI reporting per slot, with 32 SD-FD bases, is lower than that achieved by many-to-one mapping and equals 8 for all patter</w:t>
      </w:r>
      <w:r w:rsidR="003C4A9F">
        <w:rPr>
          <w:rFonts w:eastAsia="Times New Roman"/>
        </w:rPr>
        <w:t>n</w:t>
      </w:r>
      <w:r w:rsidR="00E42837">
        <w:rPr>
          <w:rFonts w:eastAsia="Times New Roman"/>
        </w:rPr>
        <w:t>s</w:t>
      </w:r>
      <w:r w:rsidR="003C4A9F">
        <w:rPr>
          <w:rFonts w:eastAsia="Times New Roman"/>
        </w:rPr>
        <w:t>.</w:t>
      </w:r>
    </w:p>
    <w:p w14:paraId="53EFD8D5" w14:textId="77777777" w:rsidR="003C4A9F" w:rsidRPr="00481ABB" w:rsidRDefault="003C4A9F" w:rsidP="008A30DB">
      <w:pPr>
        <w:jc w:val="both"/>
        <w:rPr>
          <w:rFonts w:eastAsia="Times New Roman"/>
        </w:rPr>
      </w:pPr>
    </w:p>
    <w:p w14:paraId="6ED6016B" w14:textId="1B949B4C" w:rsidR="0034154C" w:rsidRDefault="0034154C" w:rsidP="0034154C">
      <w:pPr>
        <w:pStyle w:val="Caption"/>
        <w:keepNext/>
        <w:jc w:val="center"/>
      </w:pPr>
      <w:r>
        <w:t xml:space="preserve">Table </w:t>
      </w:r>
      <w:r>
        <w:fldChar w:fldCharType="begin"/>
      </w:r>
      <w:r>
        <w:instrText xml:space="preserve"> SEQ Table \* ARABIC </w:instrText>
      </w:r>
      <w:r>
        <w:fldChar w:fldCharType="separate"/>
      </w:r>
      <w:r w:rsidR="00307C05">
        <w:rPr>
          <w:noProof/>
        </w:rPr>
        <w:t>1</w:t>
      </w:r>
      <w:r>
        <w:fldChar w:fldCharType="end"/>
      </w:r>
      <w:r>
        <w:t xml:space="preserve">. Parameters used for comparing CSI-RS scheduling with one- and many-to-one mapping of SD-FD bases. The example is illustrated in </w:t>
      </w:r>
      <w:r>
        <w:fldChar w:fldCharType="begin"/>
      </w:r>
      <w:r>
        <w:instrText xml:space="preserve"> REF _Ref61371508 \h </w:instrText>
      </w:r>
      <w:r>
        <w:fldChar w:fldCharType="separate"/>
      </w:r>
      <w:r w:rsidR="00307C05">
        <w:t xml:space="preserve">Figure </w:t>
      </w:r>
      <w:r w:rsidR="00307C05">
        <w:rPr>
          <w:noProof/>
        </w:rPr>
        <w:t>3</w:t>
      </w:r>
      <w:r>
        <w:fldChar w:fldCharType="end"/>
      </w:r>
      <w:r>
        <w:t>.</w:t>
      </w:r>
    </w:p>
    <w:tbl>
      <w:tblPr>
        <w:tblStyle w:val="TableGrid"/>
        <w:tblW w:w="4856" w:type="pct"/>
        <w:tblLook w:val="04A0" w:firstRow="1" w:lastRow="0" w:firstColumn="1" w:lastColumn="0" w:noHBand="0" w:noVBand="1"/>
      </w:tblPr>
      <w:tblGrid>
        <w:gridCol w:w="1413"/>
        <w:gridCol w:w="1418"/>
        <w:gridCol w:w="1700"/>
        <w:gridCol w:w="1418"/>
        <w:gridCol w:w="1276"/>
        <w:gridCol w:w="1100"/>
        <w:gridCol w:w="1027"/>
      </w:tblGrid>
      <w:tr w:rsidR="0034154C" w14:paraId="51035B87" w14:textId="77777777" w:rsidTr="0034154C">
        <w:tc>
          <w:tcPr>
            <w:tcW w:w="755" w:type="pct"/>
            <w:vAlign w:val="center"/>
          </w:tcPr>
          <w:p w14:paraId="40539466" w14:textId="77777777" w:rsidR="004170CA" w:rsidRDefault="004170CA" w:rsidP="00354ED2">
            <w:pPr>
              <w:spacing w:after="0"/>
              <w:jc w:val="center"/>
              <w:rPr>
                <w:rFonts w:eastAsia="Times New Roman"/>
              </w:rPr>
            </w:pPr>
          </w:p>
        </w:tc>
        <w:tc>
          <w:tcPr>
            <w:tcW w:w="758" w:type="pct"/>
            <w:vAlign w:val="center"/>
          </w:tcPr>
          <w:p w14:paraId="06D2603F" w14:textId="35ED930A" w:rsidR="004170CA" w:rsidRDefault="004170CA" w:rsidP="00354ED2">
            <w:pPr>
              <w:spacing w:after="0"/>
              <w:jc w:val="center"/>
              <w:rPr>
                <w:rFonts w:eastAsia="Times New Roman"/>
              </w:rPr>
            </w:pPr>
            <w:r>
              <w:rPr>
                <w:rFonts w:eastAsia="Times New Roman"/>
              </w:rPr>
              <w:t>SD-FD bases per resource</w:t>
            </w:r>
          </w:p>
        </w:tc>
        <w:tc>
          <w:tcPr>
            <w:tcW w:w="909" w:type="pct"/>
            <w:vAlign w:val="center"/>
          </w:tcPr>
          <w:p w14:paraId="0933E6CD" w14:textId="151D11F0" w:rsidR="004170CA" w:rsidRDefault="004170CA" w:rsidP="00354ED2">
            <w:pPr>
              <w:spacing w:after="0"/>
              <w:jc w:val="center"/>
              <w:rPr>
                <w:rFonts w:eastAsia="Times New Roman"/>
              </w:rPr>
            </w:pPr>
            <w:r>
              <w:rPr>
                <w:rFonts w:eastAsia="Times New Roman"/>
              </w:rPr>
              <w:t>density per SD-FD basis (</w:t>
            </w:r>
            <m:oMath>
              <m:sSub>
                <m:sSubPr>
                  <m:ctrlPr>
                    <w:rPr>
                      <w:rFonts w:ascii="Cambria Math" w:eastAsia="Times New Roman" w:hAnsi="Cambria Math"/>
                      <w:i/>
                      <w:iCs/>
                    </w:rPr>
                  </m:ctrlPr>
                </m:sSubPr>
                <m:e>
                  <m:r>
                    <w:rPr>
                      <w:rFonts w:ascii="Cambria Math" w:eastAsia="Times New Roman" w:hAnsi="Cambria Math"/>
                    </w:rPr>
                    <m:t>d</m:t>
                  </m:r>
                </m:e>
                <m:sub>
                  <m:r>
                    <w:rPr>
                      <w:rFonts w:ascii="Cambria Math" w:eastAsia="Times New Roman" w:hAnsi="Cambria Math"/>
                    </w:rPr>
                    <m:t>SD-FD</m:t>
                  </m:r>
                </m:sub>
              </m:sSub>
            </m:oMath>
            <w:r>
              <w:rPr>
                <w:rFonts w:eastAsia="Times New Roman"/>
              </w:rPr>
              <w:t>)</w:t>
            </w:r>
          </w:p>
        </w:tc>
        <w:tc>
          <w:tcPr>
            <w:tcW w:w="758" w:type="pct"/>
            <w:vAlign w:val="center"/>
          </w:tcPr>
          <w:p w14:paraId="6C33E415" w14:textId="205FD9A6" w:rsidR="004170CA" w:rsidRDefault="004170CA" w:rsidP="00354ED2">
            <w:pPr>
              <w:spacing w:after="0"/>
              <w:jc w:val="center"/>
              <w:rPr>
                <w:rFonts w:eastAsia="Times New Roman"/>
              </w:rPr>
            </w:pPr>
            <w:r>
              <w:rPr>
                <w:rFonts w:eastAsia="Times New Roman"/>
              </w:rPr>
              <w:t>SD-FD bases per port (</w:t>
            </w:r>
            <m:oMath>
              <m:sSub>
                <m:sSubPr>
                  <m:ctrlPr>
                    <w:rPr>
                      <w:rFonts w:ascii="Cambria Math" w:eastAsia="Times New Roman" w:hAnsi="Cambria Math"/>
                      <w:i/>
                    </w:rPr>
                  </m:ctrlPr>
                </m:sSubPr>
                <m:e>
                  <m:r>
                    <w:rPr>
                      <w:rFonts w:ascii="Cambria Math" w:eastAsia="Times New Roman" w:hAnsi="Cambria Math"/>
                    </w:rPr>
                    <m:t>O</m:t>
                  </m:r>
                </m:e>
                <m:sub>
                  <m:r>
                    <w:rPr>
                      <w:rFonts w:ascii="Cambria Math" w:eastAsia="Times New Roman" w:hAnsi="Cambria Math"/>
                    </w:rPr>
                    <m:t>f</m:t>
                  </m:r>
                </m:sub>
              </m:sSub>
            </m:oMath>
            <w:r>
              <w:rPr>
                <w:rFonts w:eastAsia="Times New Roman"/>
              </w:rPr>
              <w:t>)</w:t>
            </w:r>
          </w:p>
        </w:tc>
        <w:tc>
          <w:tcPr>
            <w:tcW w:w="682" w:type="pct"/>
            <w:vAlign w:val="center"/>
          </w:tcPr>
          <w:p w14:paraId="6170E2FF" w14:textId="24836B04" w:rsidR="004170CA" w:rsidRDefault="004170CA" w:rsidP="00354ED2">
            <w:pPr>
              <w:spacing w:after="0"/>
              <w:jc w:val="center"/>
              <w:rPr>
                <w:rFonts w:eastAsia="Times New Roman"/>
              </w:rPr>
            </w:pPr>
            <w:r>
              <w:rPr>
                <w:rFonts w:eastAsia="Times New Roman"/>
              </w:rPr>
              <w:t>ports per resource</w:t>
            </w:r>
            <w:r w:rsidR="00354ED2">
              <w:rPr>
                <w:rFonts w:eastAsia="Times New Roman"/>
              </w:rPr>
              <w:t xml:space="preserve"> </w:t>
            </w:r>
            <w:r>
              <w:rPr>
                <w:rFonts w:eastAsia="Times New Roman"/>
              </w:rPr>
              <w:t>(</w:t>
            </w:r>
            <m:oMath>
              <m:r>
                <w:rPr>
                  <w:rFonts w:ascii="Cambria Math" w:eastAsia="Times New Roman" w:hAnsi="Cambria Math"/>
                </w:rPr>
                <m:t>X</m:t>
              </m:r>
            </m:oMath>
            <w:r>
              <w:rPr>
                <w:rFonts w:eastAsia="Times New Roman"/>
              </w:rPr>
              <w:t>)</w:t>
            </w:r>
          </w:p>
        </w:tc>
        <w:tc>
          <w:tcPr>
            <w:tcW w:w="588" w:type="pct"/>
            <w:vAlign w:val="center"/>
          </w:tcPr>
          <w:p w14:paraId="42C13797" w14:textId="3BC18B87" w:rsidR="004170CA" w:rsidRDefault="004170CA" w:rsidP="00354ED2">
            <w:pPr>
              <w:spacing w:after="0"/>
              <w:jc w:val="center"/>
              <w:rPr>
                <w:rFonts w:eastAsia="Times New Roman"/>
              </w:rPr>
            </w:pPr>
            <w:r>
              <w:rPr>
                <w:rFonts w:eastAsia="Times New Roman"/>
              </w:rPr>
              <w:t>resource density</w:t>
            </w:r>
          </w:p>
        </w:tc>
        <w:tc>
          <w:tcPr>
            <w:tcW w:w="549" w:type="pct"/>
            <w:vAlign w:val="center"/>
          </w:tcPr>
          <w:p w14:paraId="097E655D" w14:textId="5AE81592" w:rsidR="004170CA" w:rsidRPr="0034154C" w:rsidRDefault="004170CA" w:rsidP="00354ED2">
            <w:pPr>
              <w:spacing w:after="0"/>
              <w:jc w:val="center"/>
              <w:rPr>
                <w:rFonts w:eastAsia="Times New Roman"/>
                <w:b/>
                <w:bCs/>
              </w:rPr>
            </w:pPr>
            <w:r w:rsidRPr="0034154C">
              <w:rPr>
                <w:rFonts w:eastAsia="Times New Roman"/>
                <w:b/>
                <w:bCs/>
              </w:rPr>
              <w:t>max. resources per slot</w:t>
            </w:r>
          </w:p>
        </w:tc>
      </w:tr>
      <w:tr w:rsidR="0034154C" w14:paraId="069B84F6" w14:textId="77777777" w:rsidTr="0034154C">
        <w:tc>
          <w:tcPr>
            <w:tcW w:w="755" w:type="pct"/>
            <w:vAlign w:val="center"/>
          </w:tcPr>
          <w:p w14:paraId="08DB3379" w14:textId="014572CF" w:rsidR="004170CA" w:rsidRDefault="004170CA" w:rsidP="00354ED2">
            <w:pPr>
              <w:spacing w:after="0"/>
              <w:jc w:val="center"/>
              <w:rPr>
                <w:rFonts w:eastAsia="Times New Roman"/>
              </w:rPr>
            </w:pPr>
            <w:r>
              <w:rPr>
                <w:rFonts w:eastAsia="Times New Roman"/>
              </w:rPr>
              <w:t>one-to-one mapping</w:t>
            </w:r>
          </w:p>
        </w:tc>
        <w:tc>
          <w:tcPr>
            <w:tcW w:w="758" w:type="pct"/>
            <w:vAlign w:val="center"/>
          </w:tcPr>
          <w:p w14:paraId="059F26C4" w14:textId="25AEAE0D" w:rsidR="004170CA" w:rsidRDefault="004170CA" w:rsidP="00354ED2">
            <w:pPr>
              <w:spacing w:after="0"/>
              <w:jc w:val="center"/>
              <w:rPr>
                <w:rFonts w:eastAsia="Times New Roman"/>
              </w:rPr>
            </w:pPr>
            <w:r>
              <w:rPr>
                <w:rFonts w:eastAsia="Times New Roman"/>
              </w:rPr>
              <w:t>32</w:t>
            </w:r>
          </w:p>
        </w:tc>
        <w:tc>
          <w:tcPr>
            <w:tcW w:w="909" w:type="pct"/>
            <w:vAlign w:val="center"/>
          </w:tcPr>
          <w:p w14:paraId="092C08D1" w14:textId="36930C79" w:rsidR="004170CA" w:rsidRDefault="004170CA" w:rsidP="00354ED2">
            <w:pPr>
              <w:spacing w:after="0"/>
              <w:jc w:val="center"/>
              <w:rPr>
                <w:rFonts w:eastAsia="Times New Roman"/>
              </w:rPr>
            </w:pPr>
            <w:r>
              <w:rPr>
                <w:rFonts w:eastAsia="Times New Roman"/>
              </w:rPr>
              <w:t>0.25</w:t>
            </w:r>
          </w:p>
        </w:tc>
        <w:tc>
          <w:tcPr>
            <w:tcW w:w="758" w:type="pct"/>
            <w:vAlign w:val="center"/>
          </w:tcPr>
          <w:p w14:paraId="532A7033" w14:textId="53E49477" w:rsidR="004170CA" w:rsidRDefault="004170CA" w:rsidP="00354ED2">
            <w:pPr>
              <w:spacing w:after="0"/>
              <w:jc w:val="center"/>
              <w:rPr>
                <w:rFonts w:eastAsia="Times New Roman"/>
              </w:rPr>
            </w:pPr>
            <w:r>
              <w:rPr>
                <w:rFonts w:eastAsia="Times New Roman"/>
              </w:rPr>
              <w:t>1</w:t>
            </w:r>
          </w:p>
        </w:tc>
        <w:tc>
          <w:tcPr>
            <w:tcW w:w="682" w:type="pct"/>
            <w:vAlign w:val="center"/>
          </w:tcPr>
          <w:p w14:paraId="5C524BDF" w14:textId="4ACA6FA8" w:rsidR="004170CA" w:rsidRDefault="004170CA" w:rsidP="00354ED2">
            <w:pPr>
              <w:spacing w:after="0"/>
              <w:jc w:val="center"/>
              <w:rPr>
                <w:rFonts w:eastAsia="Times New Roman"/>
              </w:rPr>
            </w:pPr>
            <w:r>
              <w:rPr>
                <w:rFonts w:eastAsia="Times New Roman"/>
              </w:rPr>
              <w:t>32</w:t>
            </w:r>
          </w:p>
        </w:tc>
        <w:tc>
          <w:tcPr>
            <w:tcW w:w="588" w:type="pct"/>
            <w:vAlign w:val="center"/>
          </w:tcPr>
          <w:p w14:paraId="5C359C93" w14:textId="4DE48854" w:rsidR="004170CA" w:rsidRDefault="004170CA" w:rsidP="00354ED2">
            <w:pPr>
              <w:spacing w:after="0"/>
              <w:jc w:val="center"/>
              <w:rPr>
                <w:rFonts w:eastAsia="Times New Roman"/>
              </w:rPr>
            </w:pPr>
            <w:r>
              <w:rPr>
                <w:rFonts w:eastAsia="Times New Roman"/>
              </w:rPr>
              <w:t>0.25</w:t>
            </w:r>
          </w:p>
        </w:tc>
        <w:tc>
          <w:tcPr>
            <w:tcW w:w="549" w:type="pct"/>
            <w:vAlign w:val="center"/>
          </w:tcPr>
          <w:p w14:paraId="0FC4A931" w14:textId="08124E22" w:rsidR="004170CA" w:rsidRPr="0034154C" w:rsidRDefault="004170CA" w:rsidP="00354ED2">
            <w:pPr>
              <w:spacing w:after="0"/>
              <w:jc w:val="center"/>
              <w:rPr>
                <w:rFonts w:eastAsia="Times New Roman"/>
                <w:b/>
                <w:bCs/>
              </w:rPr>
            </w:pPr>
            <w:r w:rsidRPr="0034154C">
              <w:rPr>
                <w:rFonts w:eastAsia="Times New Roman"/>
                <w:b/>
                <w:bCs/>
              </w:rPr>
              <w:t>8</w:t>
            </w:r>
          </w:p>
        </w:tc>
      </w:tr>
      <w:tr w:rsidR="0034154C" w14:paraId="735B1619" w14:textId="77777777" w:rsidTr="0034154C">
        <w:tc>
          <w:tcPr>
            <w:tcW w:w="755" w:type="pct"/>
            <w:vAlign w:val="center"/>
          </w:tcPr>
          <w:p w14:paraId="2D28123A" w14:textId="4C451EC9" w:rsidR="004170CA" w:rsidRDefault="004170CA" w:rsidP="00354ED2">
            <w:pPr>
              <w:spacing w:after="0"/>
              <w:jc w:val="center"/>
              <w:rPr>
                <w:rFonts w:eastAsia="Times New Roman"/>
              </w:rPr>
            </w:pPr>
            <w:r>
              <w:rPr>
                <w:rFonts w:eastAsia="Times New Roman"/>
              </w:rPr>
              <w:t>many-to-one mapping</w:t>
            </w:r>
          </w:p>
        </w:tc>
        <w:tc>
          <w:tcPr>
            <w:tcW w:w="758" w:type="pct"/>
            <w:vAlign w:val="center"/>
          </w:tcPr>
          <w:p w14:paraId="7550022D" w14:textId="7CA9EB0C" w:rsidR="004170CA" w:rsidRDefault="004170CA" w:rsidP="00354ED2">
            <w:pPr>
              <w:spacing w:after="0"/>
              <w:jc w:val="center"/>
              <w:rPr>
                <w:rFonts w:eastAsia="Times New Roman"/>
              </w:rPr>
            </w:pPr>
            <w:r>
              <w:rPr>
                <w:rFonts w:eastAsia="Times New Roman"/>
              </w:rPr>
              <w:t>32</w:t>
            </w:r>
          </w:p>
        </w:tc>
        <w:tc>
          <w:tcPr>
            <w:tcW w:w="909" w:type="pct"/>
            <w:vAlign w:val="center"/>
          </w:tcPr>
          <w:p w14:paraId="197060A7" w14:textId="62E41AD3" w:rsidR="004170CA" w:rsidRDefault="004170CA" w:rsidP="00354ED2">
            <w:pPr>
              <w:spacing w:after="0"/>
              <w:jc w:val="center"/>
              <w:rPr>
                <w:rFonts w:eastAsia="Times New Roman"/>
              </w:rPr>
            </w:pPr>
            <w:r>
              <w:rPr>
                <w:rFonts w:eastAsia="Times New Roman"/>
              </w:rPr>
              <w:t>0.25</w:t>
            </w:r>
          </w:p>
        </w:tc>
        <w:tc>
          <w:tcPr>
            <w:tcW w:w="758" w:type="pct"/>
            <w:vAlign w:val="center"/>
          </w:tcPr>
          <w:p w14:paraId="5AAB1AB7" w14:textId="032087E7" w:rsidR="004170CA" w:rsidRDefault="004170CA" w:rsidP="00354ED2">
            <w:pPr>
              <w:spacing w:after="0"/>
              <w:jc w:val="center"/>
              <w:rPr>
                <w:rFonts w:eastAsia="Times New Roman"/>
              </w:rPr>
            </w:pPr>
            <w:r>
              <w:rPr>
                <w:rFonts w:eastAsia="Times New Roman"/>
              </w:rPr>
              <w:t>4</w:t>
            </w:r>
          </w:p>
        </w:tc>
        <w:tc>
          <w:tcPr>
            <w:tcW w:w="682" w:type="pct"/>
            <w:vAlign w:val="center"/>
          </w:tcPr>
          <w:p w14:paraId="07389427" w14:textId="69D99161" w:rsidR="004170CA" w:rsidRDefault="004170CA" w:rsidP="00354ED2">
            <w:pPr>
              <w:spacing w:after="0"/>
              <w:jc w:val="center"/>
              <w:rPr>
                <w:rFonts w:eastAsia="Times New Roman"/>
              </w:rPr>
            </w:pPr>
            <w:r>
              <w:rPr>
                <w:rFonts w:eastAsia="Times New Roman"/>
              </w:rPr>
              <w:t>8</w:t>
            </w:r>
          </w:p>
        </w:tc>
        <w:tc>
          <w:tcPr>
            <w:tcW w:w="588" w:type="pct"/>
            <w:vAlign w:val="center"/>
          </w:tcPr>
          <w:p w14:paraId="20985976" w14:textId="534ED967" w:rsidR="004170CA" w:rsidRDefault="004170CA" w:rsidP="00354ED2">
            <w:pPr>
              <w:spacing w:after="0"/>
              <w:jc w:val="center"/>
              <w:rPr>
                <w:rFonts w:eastAsia="Times New Roman"/>
              </w:rPr>
            </w:pPr>
            <w:r>
              <w:rPr>
                <w:rFonts w:eastAsia="Times New Roman"/>
              </w:rPr>
              <w:t>1</w:t>
            </w:r>
          </w:p>
        </w:tc>
        <w:tc>
          <w:tcPr>
            <w:tcW w:w="549" w:type="pct"/>
            <w:vAlign w:val="center"/>
          </w:tcPr>
          <w:p w14:paraId="0FACCDAD" w14:textId="22867EFF" w:rsidR="004170CA" w:rsidRPr="0034154C" w:rsidRDefault="004170CA" w:rsidP="00354ED2">
            <w:pPr>
              <w:spacing w:after="0"/>
              <w:jc w:val="center"/>
              <w:rPr>
                <w:rFonts w:eastAsia="Times New Roman"/>
                <w:b/>
                <w:bCs/>
              </w:rPr>
            </w:pPr>
            <w:r w:rsidRPr="0034154C">
              <w:rPr>
                <w:rFonts w:eastAsia="Times New Roman"/>
                <w:b/>
                <w:bCs/>
              </w:rPr>
              <w:t>15</w:t>
            </w:r>
          </w:p>
        </w:tc>
      </w:tr>
    </w:tbl>
    <w:p w14:paraId="15C3169A" w14:textId="1AD57D21" w:rsidR="00FA67EF" w:rsidRDefault="00FA67EF" w:rsidP="008A30DB">
      <w:pPr>
        <w:jc w:val="both"/>
        <w:rPr>
          <w:rFonts w:eastAsia="Times New Roman"/>
        </w:rPr>
      </w:pPr>
    </w:p>
    <w:p w14:paraId="0B2E1895" w14:textId="0399B6ED" w:rsidR="00764A98" w:rsidRDefault="00764A98" w:rsidP="008A30DB">
      <w:pPr>
        <w:jc w:val="both"/>
        <w:rPr>
          <w:rFonts w:eastAsia="Times New Roman"/>
        </w:rPr>
      </w:pPr>
      <w:r w:rsidRPr="00764A98">
        <w:rPr>
          <w:rFonts w:eastAsia="Times New Roman"/>
        </w:rPr>
        <w:t xml:space="preserve">In addition to reducing CSI-RS overhead by CSI-RS density reduction or SD-FD basis multiplexing, gNB can apply UE specific shifts to the delay precoding vectors of different UEs. Hence, the CSI-RS resources of many UEs can </w:t>
      </w:r>
      <w:r>
        <w:rPr>
          <w:rFonts w:eastAsia="Times New Roman"/>
        </w:rPr>
        <w:t>share</w:t>
      </w:r>
      <w:r w:rsidRPr="00764A98">
        <w:rPr>
          <w:rFonts w:eastAsia="Times New Roman"/>
        </w:rPr>
        <w:t xml:space="preserve"> the same time frequency resource elements, separated by the different UE-specific shifts applied at gNB</w:t>
      </w:r>
      <w:r>
        <w:rPr>
          <w:rFonts w:eastAsia="Times New Roman"/>
        </w:rPr>
        <w:t>. This corresponds to</w:t>
      </w:r>
      <w:r w:rsidRPr="00764A98">
        <w:rPr>
          <w:rFonts w:eastAsia="Times New Roman"/>
        </w:rPr>
        <w:t xml:space="preserve"> multiplexing different SD-FD shifts of the different UEs in the delay domain. The UE-specific shifts can be chosen by gNB to avoid inter-symbol interference between the multiplexed UEs. UE </w:t>
      </w:r>
      <w:r>
        <w:rPr>
          <w:rFonts w:eastAsia="Times New Roman"/>
        </w:rPr>
        <w:t>needs</w:t>
      </w:r>
      <w:r w:rsidRPr="00764A98">
        <w:rPr>
          <w:rFonts w:eastAsia="Times New Roman"/>
        </w:rPr>
        <w:t xml:space="preserve"> </w:t>
      </w:r>
      <w:r>
        <w:rPr>
          <w:rFonts w:eastAsia="Times New Roman"/>
        </w:rPr>
        <w:t xml:space="preserve">to be informed </w:t>
      </w:r>
      <w:r w:rsidRPr="00764A98">
        <w:rPr>
          <w:rFonts w:eastAsia="Times New Roman"/>
        </w:rPr>
        <w:t>of the configured shift, so it can properly undo it before proceeding to Rel17 processing</w:t>
      </w:r>
      <w:r>
        <w:rPr>
          <w:rFonts w:eastAsia="Times New Roman"/>
        </w:rPr>
        <w:t>.</w:t>
      </w:r>
    </w:p>
    <w:p w14:paraId="0B7448E0" w14:textId="0D5397EB" w:rsidR="002B1089" w:rsidRPr="002B1089" w:rsidRDefault="002B1089" w:rsidP="008A30DB">
      <w:pPr>
        <w:jc w:val="both"/>
        <w:rPr>
          <w:rFonts w:eastAsia="Times New Roman"/>
          <w:b/>
          <w:bCs/>
        </w:rPr>
      </w:pPr>
      <w:r w:rsidRPr="002B1089">
        <w:rPr>
          <w:rFonts w:eastAsia="Times New Roman"/>
          <w:b/>
          <w:bCs/>
        </w:rPr>
        <w:t>Observation</w:t>
      </w:r>
      <w:r w:rsidR="00E7742C">
        <w:rPr>
          <w:rFonts w:eastAsia="Times New Roman"/>
          <w:b/>
          <w:bCs/>
        </w:rPr>
        <w:t xml:space="preserve"> 9</w:t>
      </w:r>
      <w:r w:rsidRPr="002B1089">
        <w:rPr>
          <w:rFonts w:eastAsia="Times New Roman"/>
          <w:b/>
          <w:bCs/>
        </w:rPr>
        <w:t>. Reducing the CSI-RS resource density to 0.5 and 0.25 can achieve the same density per SD-FD basis as mapping 2 and 4 SD-FD bases per port with density 1, respectively. However, mapping multiple SD-FD bases to a port allows to schedule more resources per slot, hence supporting more UEs. For example, for 32 SD-FD bases and a target density per SD-FD basis of 0.25, one-to-one mapping allows up to 8 resources per slot, whereas many-to-one mapping allows up to 15 resources per slot.</w:t>
      </w:r>
    </w:p>
    <w:p w14:paraId="68943859" w14:textId="77777777" w:rsidR="002B1089" w:rsidRDefault="002B1089" w:rsidP="008A30DB">
      <w:pPr>
        <w:jc w:val="both"/>
        <w:rPr>
          <w:rFonts w:eastAsia="Times New Roman"/>
        </w:rPr>
      </w:pPr>
    </w:p>
    <w:p w14:paraId="65C56E0E" w14:textId="77777777" w:rsidR="008E0947" w:rsidRDefault="008E0947" w:rsidP="008E0947">
      <w:pPr>
        <w:keepNext/>
        <w:jc w:val="center"/>
      </w:pPr>
      <w:r>
        <w:rPr>
          <w:rFonts w:eastAsia="Times New Roman"/>
          <w:noProof/>
        </w:rPr>
        <w:lastRenderedPageBreak/>
        <w:drawing>
          <wp:inline distT="0" distB="0" distL="0" distR="0" wp14:anchorId="78397323" wp14:editId="34C3DA53">
            <wp:extent cx="6144644" cy="4266672"/>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SI-RS.emf"/>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144644" cy="4266672"/>
                    </a:xfrm>
                    <a:prstGeom prst="rect">
                      <a:avLst/>
                    </a:prstGeom>
                  </pic:spPr>
                </pic:pic>
              </a:graphicData>
            </a:graphic>
          </wp:inline>
        </w:drawing>
      </w:r>
    </w:p>
    <w:p w14:paraId="621BECD2" w14:textId="716181A2" w:rsidR="008E0947" w:rsidRDefault="008E0947" w:rsidP="008E0947">
      <w:pPr>
        <w:pStyle w:val="Caption"/>
        <w:jc w:val="center"/>
      </w:pPr>
      <w:bookmarkStart w:id="15" w:name="_Ref61371508"/>
      <w:r>
        <w:t xml:space="preserve">Figure </w:t>
      </w:r>
      <w:r>
        <w:fldChar w:fldCharType="begin"/>
      </w:r>
      <w:r>
        <w:instrText xml:space="preserve"> SEQ Figure \* ARABIC </w:instrText>
      </w:r>
      <w:r>
        <w:fldChar w:fldCharType="separate"/>
      </w:r>
      <w:r w:rsidR="00F920C2">
        <w:rPr>
          <w:noProof/>
        </w:rPr>
        <w:t>3</w:t>
      </w:r>
      <w:r>
        <w:fldChar w:fldCharType="end"/>
      </w:r>
      <w:bookmarkEnd w:id="15"/>
      <w:r>
        <w:t xml:space="preserve">. </w:t>
      </w:r>
      <w:r w:rsidR="00132AE3">
        <w:t>Example of maximum number of UE-specific CSI-RS resources that can be scheduled in a slot with two different mechanism: one SD-FD basis per port with reduced resource density (left) and multiplexing of SD-FD bases to ports (right).</w:t>
      </w:r>
    </w:p>
    <w:p w14:paraId="0C146AF7" w14:textId="6E26E8FF" w:rsidR="008A30DB" w:rsidRDefault="0032591B" w:rsidP="008A30DB">
      <w:pPr>
        <w:jc w:val="both"/>
        <w:rPr>
          <w:rFonts w:eastAsia="Times New Roman"/>
        </w:rPr>
      </w:pPr>
      <w:r>
        <w:rPr>
          <w:rFonts w:eastAsia="Times New Roman"/>
        </w:rPr>
        <w:t xml:space="preserve"> </w:t>
      </w:r>
    </w:p>
    <w:p w14:paraId="2E71BC6A" w14:textId="37D47B53" w:rsidR="00BF7BDC" w:rsidRDefault="00BF7BDC" w:rsidP="008A30DB">
      <w:pPr>
        <w:jc w:val="both"/>
        <w:rPr>
          <w:rFonts w:eastAsia="Times New Roman"/>
          <w:b/>
          <w:bCs/>
        </w:rPr>
      </w:pPr>
      <w:r w:rsidRPr="00BF7BDC">
        <w:rPr>
          <w:rFonts w:eastAsia="Times New Roman"/>
          <w:b/>
          <w:bCs/>
        </w:rPr>
        <w:t>Proposal</w:t>
      </w:r>
      <w:r w:rsidR="00AB014D">
        <w:rPr>
          <w:rFonts w:eastAsia="Times New Roman"/>
          <w:b/>
          <w:bCs/>
        </w:rPr>
        <w:t xml:space="preserve"> 2</w:t>
      </w:r>
      <w:r w:rsidRPr="00BF7BDC">
        <w:rPr>
          <w:rFonts w:eastAsia="Times New Roman"/>
          <w:b/>
          <w:bCs/>
        </w:rPr>
        <w:t xml:space="preserve">.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1</m:t>
            </m:r>
          </m:sub>
        </m:sSub>
      </m:oMath>
      <w:r>
        <w:rPr>
          <w:rFonts w:eastAsia="Times New Roman"/>
          <w:b/>
          <w:bCs/>
        </w:rPr>
        <w:t xml:space="preserve"> is a </w:t>
      </w:r>
      <m:oMath>
        <m:r>
          <m:rPr>
            <m:sty m:val="bi"/>
          </m:rPr>
          <w:rPr>
            <w:rFonts w:ascii="Cambria Math" w:eastAsia="Times New Roman" w:hAnsi="Cambria Math"/>
          </w:rPr>
          <m:t>P×</m:t>
        </m:r>
        <m:sSub>
          <m:sSubPr>
            <m:ctrlPr>
              <w:rPr>
                <w:rFonts w:ascii="Cambria Math" w:eastAsia="Times New Roman" w:hAnsi="Cambria Math"/>
                <w:b/>
                <w:bCs/>
                <w:i/>
              </w:rPr>
            </m:ctrlPr>
          </m:sSubPr>
          <m:e>
            <m:r>
              <m:rPr>
                <m:sty m:val="bi"/>
              </m:rPr>
              <w:rPr>
                <w:rFonts w:ascii="Cambria Math" w:eastAsia="Times New Roman" w:hAnsi="Cambria Math"/>
              </w:rPr>
              <m:t>K</m:t>
            </m:r>
          </m:e>
          <m:sub>
            <m:r>
              <m:rPr>
                <m:sty m:val="bi"/>
              </m:rPr>
              <w:rPr>
                <w:rFonts w:ascii="Cambria Math" w:eastAsia="Times New Roman" w:hAnsi="Cambria Math"/>
              </w:rPr>
              <m:t>1</m:t>
            </m:r>
          </m:sub>
        </m:sSub>
      </m:oMath>
      <w:r>
        <w:rPr>
          <w:rFonts w:eastAsia="Times New Roman"/>
          <w:b/>
          <w:bCs/>
        </w:rPr>
        <w:t xml:space="preserve"> free selection matrix, if reported</w:t>
      </w:r>
      <w:r w:rsidR="002E64C9">
        <w:rPr>
          <w:rFonts w:eastAsia="Times New Roman"/>
          <w:b/>
          <w:bCs/>
        </w:rPr>
        <w:t>.</w:t>
      </w:r>
    </w:p>
    <w:p w14:paraId="0A1C0822" w14:textId="5959293F" w:rsidR="00BF7BDC" w:rsidRDefault="00BF7BDC" w:rsidP="00BF7BDC">
      <w:pPr>
        <w:pStyle w:val="ListParagraph"/>
        <w:numPr>
          <w:ilvl w:val="0"/>
          <w:numId w:val="39"/>
        </w:numPr>
        <w:jc w:val="both"/>
        <w:rPr>
          <w:rFonts w:eastAsia="Times New Roman"/>
          <w:b/>
          <w:bCs/>
        </w:rPr>
      </w:pPr>
      <w:r>
        <w:rPr>
          <w:rFonts w:eastAsia="Times New Roman"/>
          <w:b/>
          <w:bCs/>
        </w:rPr>
        <w:t>FFS</w:t>
      </w:r>
      <w:r w:rsidR="002E64C9">
        <w:rPr>
          <w:rFonts w:eastAsia="Times New Roman"/>
          <w:b/>
          <w:bCs/>
        </w:rPr>
        <w:t xml:space="preserve">: whether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1</m:t>
            </m:r>
          </m:sub>
        </m:sSub>
      </m:oMath>
      <w:r w:rsidR="002E64C9">
        <w:rPr>
          <w:rFonts w:eastAsia="Times New Roman"/>
          <w:b/>
          <w:bCs/>
        </w:rPr>
        <w:t xml:space="preserve"> has Kronecker structure (Alt 3.2 and 4),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1</m:t>
            </m:r>
          </m:sub>
        </m:sSub>
        <m:r>
          <m:rPr>
            <m:sty m:val="bi"/>
          </m:rPr>
          <w:rPr>
            <w:rFonts w:ascii="Cambria Math" w:eastAsia="Times New Roman" w:hAnsi="Cambria Math"/>
          </w:rPr>
          <m:t>=</m:t>
        </m:r>
        <m:sSubSup>
          <m:sSubSupPr>
            <m:ctrlPr>
              <w:rPr>
                <w:rFonts w:ascii="Cambria Math" w:eastAsia="Times New Roman" w:hAnsi="Cambria Math"/>
                <w:b/>
                <w:bCs/>
                <w:i/>
              </w:rPr>
            </m:ctrlPr>
          </m:sSubSupPr>
          <m:e>
            <m:r>
              <m:rPr>
                <m:sty m:val="bi"/>
              </m:rPr>
              <w:rPr>
                <w:rFonts w:ascii="Cambria Math" w:eastAsia="Times New Roman" w:hAnsi="Cambria Math"/>
              </w:rPr>
              <m:t>W</m:t>
            </m:r>
          </m:e>
          <m:sub>
            <m:r>
              <m:rPr>
                <m:sty m:val="bi"/>
              </m:rPr>
              <w:rPr>
                <w:rFonts w:ascii="Cambria Math" w:eastAsia="Times New Roman" w:hAnsi="Cambria Math"/>
              </w:rPr>
              <m:t>1</m:t>
            </m:r>
          </m:sub>
          <m:sup>
            <m:r>
              <m:rPr>
                <m:sty m:val="bi"/>
              </m:rPr>
              <w:rPr>
                <w:rFonts w:ascii="Cambria Math" w:eastAsia="Times New Roman" w:hAnsi="Cambria Math"/>
              </w:rPr>
              <m:t>1</m:t>
            </m:r>
          </m:sup>
        </m:sSubSup>
        <m:r>
          <m:rPr>
            <m:sty m:val="bi"/>
          </m:rPr>
          <w:rPr>
            <w:rFonts w:ascii="Cambria Math" w:eastAsia="Times New Roman" w:hAnsi="Cambria Math"/>
          </w:rPr>
          <m:t>⊗</m:t>
        </m:r>
        <m:sSubSup>
          <m:sSubSupPr>
            <m:ctrlPr>
              <w:rPr>
                <w:rFonts w:ascii="Cambria Math" w:eastAsia="Times New Roman" w:hAnsi="Cambria Math"/>
                <w:b/>
                <w:bCs/>
                <w:i/>
              </w:rPr>
            </m:ctrlPr>
          </m:sSubSupPr>
          <m:e>
            <m:r>
              <m:rPr>
                <m:sty m:val="bi"/>
              </m:rPr>
              <w:rPr>
                <w:rFonts w:ascii="Cambria Math" w:eastAsia="Times New Roman" w:hAnsi="Cambria Math"/>
              </w:rPr>
              <m:t>W</m:t>
            </m:r>
          </m:e>
          <m:sub>
            <m:r>
              <m:rPr>
                <m:sty m:val="bi"/>
              </m:rPr>
              <w:rPr>
                <w:rFonts w:ascii="Cambria Math" w:eastAsia="Times New Roman" w:hAnsi="Cambria Math"/>
              </w:rPr>
              <m:t>1</m:t>
            </m:r>
          </m:sub>
          <m:sup>
            <m:r>
              <m:rPr>
                <m:sty m:val="bi"/>
              </m:rPr>
              <w:rPr>
                <w:rFonts w:ascii="Cambria Math" w:eastAsia="Times New Roman" w:hAnsi="Cambria Math"/>
              </w:rPr>
              <m:t>2</m:t>
            </m:r>
          </m:sup>
        </m:sSubSup>
      </m:oMath>
    </w:p>
    <w:p w14:paraId="209B1829" w14:textId="13AFB825" w:rsidR="00BF7BDC" w:rsidRPr="00BF7BDC" w:rsidRDefault="002E64C9" w:rsidP="00BF7BDC">
      <w:pPr>
        <w:pStyle w:val="ListParagraph"/>
        <w:numPr>
          <w:ilvl w:val="0"/>
          <w:numId w:val="39"/>
        </w:numPr>
        <w:jc w:val="both"/>
        <w:rPr>
          <w:rFonts w:eastAsia="Times New Roman"/>
          <w:b/>
          <w:bCs/>
        </w:rPr>
      </w:pPr>
      <w:r>
        <w:rPr>
          <w:rFonts w:eastAsia="Times New Roman"/>
          <w:b/>
          <w:bCs/>
        </w:rPr>
        <w:t xml:space="preserve">FFS: feedback overhead increase if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1</m:t>
            </m:r>
          </m:sub>
        </m:sSub>
      </m:oMath>
      <w:r>
        <w:rPr>
          <w:rFonts w:eastAsia="Times New Roman"/>
          <w:b/>
          <w:bCs/>
        </w:rPr>
        <w:t xml:space="preserve"> is not reported (Alt 0)</w:t>
      </w:r>
    </w:p>
    <w:p w14:paraId="3FF45903" w14:textId="77777777" w:rsidR="00BF7BDC" w:rsidRDefault="00BF7BDC" w:rsidP="008A30DB">
      <w:pPr>
        <w:jc w:val="both"/>
        <w:rPr>
          <w:rFonts w:eastAsia="Times New Roman"/>
        </w:rPr>
      </w:pPr>
    </w:p>
    <w:p w14:paraId="092EDB00" w14:textId="2B622680" w:rsidR="002E64C9" w:rsidRPr="00834127" w:rsidRDefault="002E64C9" w:rsidP="008A30DB">
      <w:pPr>
        <w:jc w:val="both"/>
        <w:rPr>
          <w:rFonts w:eastAsia="Times New Roman"/>
          <w:b/>
          <w:bCs/>
        </w:rPr>
      </w:pPr>
      <w:r w:rsidRPr="00834127">
        <w:rPr>
          <w:rFonts w:eastAsia="Times New Roman"/>
          <w:b/>
          <w:bCs/>
        </w:rPr>
        <w:t>Proposal</w:t>
      </w:r>
      <w:r w:rsidR="00AB014D">
        <w:rPr>
          <w:rFonts w:eastAsia="Times New Roman"/>
          <w:b/>
          <w:bCs/>
        </w:rPr>
        <w:t xml:space="preserve"> 3</w:t>
      </w:r>
      <w:r w:rsidRPr="00834127">
        <w:rPr>
          <w:rFonts w:eastAsia="Times New Roman"/>
          <w:b/>
          <w:bCs/>
        </w:rPr>
        <w:t xml:space="preserve">. Support </w:t>
      </w:r>
      <w:r w:rsidR="00834127" w:rsidRPr="00834127">
        <w:rPr>
          <w:rFonts w:eastAsia="Times New Roman"/>
          <w:b/>
          <w:bCs/>
        </w:rPr>
        <w:t xml:space="preserve">further study of </w:t>
      </w:r>
      <w:r w:rsidR="004E5032">
        <w:rPr>
          <w:rFonts w:eastAsia="Times New Roman"/>
          <w:b/>
          <w:bCs/>
        </w:rPr>
        <w:t xml:space="preserve">at least </w:t>
      </w:r>
      <w:r w:rsidRPr="00834127">
        <w:rPr>
          <w:rFonts w:eastAsia="Times New Roman"/>
          <w:b/>
          <w:bCs/>
        </w:rPr>
        <w:t xml:space="preserve">the following two </w:t>
      </w:r>
      <w:r w:rsidR="00392D1C">
        <w:rPr>
          <w:rFonts w:eastAsia="Times New Roman"/>
          <w:b/>
          <w:bCs/>
        </w:rPr>
        <w:t xml:space="preserve">additional </w:t>
      </w:r>
      <w:r w:rsidRPr="00834127">
        <w:rPr>
          <w:rFonts w:eastAsia="Times New Roman"/>
          <w:b/>
          <w:bCs/>
        </w:rPr>
        <w:t>mechanisms to reduce the CSI-RS overhead</w:t>
      </w:r>
    </w:p>
    <w:p w14:paraId="449ACDE5" w14:textId="61C6DA4D" w:rsidR="00834127" w:rsidRPr="00834127" w:rsidRDefault="00834127" w:rsidP="00834127">
      <w:pPr>
        <w:pStyle w:val="ListParagraph"/>
        <w:numPr>
          <w:ilvl w:val="0"/>
          <w:numId w:val="40"/>
        </w:numPr>
        <w:jc w:val="both"/>
        <w:rPr>
          <w:rFonts w:eastAsia="Times New Roman"/>
          <w:b/>
          <w:bCs/>
        </w:rPr>
      </w:pPr>
      <w:r w:rsidRPr="00834127">
        <w:rPr>
          <w:rFonts w:eastAsia="Times New Roman"/>
          <w:b/>
          <w:bCs/>
        </w:rPr>
        <w:t xml:space="preserve">Mapping </w:t>
      </w:r>
      <m:oMath>
        <m:sSub>
          <m:sSubPr>
            <m:ctrlPr>
              <w:rPr>
                <w:rFonts w:ascii="Cambria Math" w:eastAsia="Times New Roman" w:hAnsi="Cambria Math"/>
                <w:b/>
                <w:bCs/>
                <w:i/>
              </w:rPr>
            </m:ctrlPr>
          </m:sSubPr>
          <m:e>
            <m:r>
              <m:rPr>
                <m:sty m:val="bi"/>
              </m:rPr>
              <w:rPr>
                <w:rFonts w:ascii="Cambria Math" w:eastAsia="Times New Roman" w:hAnsi="Cambria Math"/>
              </w:rPr>
              <m:t>O</m:t>
            </m:r>
          </m:e>
          <m:sub>
            <m:r>
              <m:rPr>
                <m:sty m:val="bi"/>
              </m:rPr>
              <w:rPr>
                <w:rFonts w:ascii="Cambria Math" w:eastAsia="Times New Roman" w:hAnsi="Cambria Math"/>
              </w:rPr>
              <m:t>f</m:t>
            </m:r>
          </m:sub>
        </m:sSub>
        <m:r>
          <m:rPr>
            <m:sty m:val="bi"/>
          </m:rPr>
          <w:rPr>
            <w:rFonts w:ascii="Cambria Math" w:eastAsia="Times New Roman" w:hAnsi="Cambria Math"/>
          </w:rPr>
          <m:t>≥1</m:t>
        </m:r>
      </m:oMath>
      <w:r w:rsidRPr="00834127">
        <w:rPr>
          <w:rFonts w:eastAsia="Times New Roman"/>
          <w:b/>
          <w:bCs/>
        </w:rPr>
        <w:t xml:space="preserve"> SD-FD bases in a CSI-RS resource port, with </w:t>
      </w:r>
      <m:oMath>
        <m:sSub>
          <m:sSubPr>
            <m:ctrlPr>
              <w:rPr>
                <w:rFonts w:ascii="Cambria Math" w:eastAsia="Times New Roman" w:hAnsi="Cambria Math"/>
                <w:b/>
                <w:bCs/>
                <w:i/>
              </w:rPr>
            </m:ctrlPr>
          </m:sSubPr>
          <m:e>
            <m:r>
              <m:rPr>
                <m:sty m:val="bi"/>
              </m:rPr>
              <w:rPr>
                <w:rFonts w:ascii="Cambria Math" w:eastAsia="Times New Roman" w:hAnsi="Cambria Math"/>
              </w:rPr>
              <m:t>O</m:t>
            </m:r>
          </m:e>
          <m:sub>
            <m:r>
              <m:rPr>
                <m:sty m:val="bi"/>
              </m:rPr>
              <w:rPr>
                <w:rFonts w:ascii="Cambria Math" w:eastAsia="Times New Roman" w:hAnsi="Cambria Math"/>
              </w:rPr>
              <m:t>f</m:t>
            </m:r>
          </m:sub>
        </m:sSub>
        <m:r>
          <m:rPr>
            <m:sty m:val="bi"/>
          </m:rPr>
          <w:rPr>
            <w:rFonts w:ascii="Cambria Math" w:eastAsia="Times New Roman" w:hAnsi="Cambria Math"/>
          </w:rPr>
          <m:t>∈{1,2,4}</m:t>
        </m:r>
      </m:oMath>
    </w:p>
    <w:p w14:paraId="7F1CBCED" w14:textId="20F9F43A" w:rsidR="00834127" w:rsidRPr="00834127" w:rsidRDefault="00834127" w:rsidP="00834127">
      <w:pPr>
        <w:pStyle w:val="ListParagraph"/>
        <w:numPr>
          <w:ilvl w:val="0"/>
          <w:numId w:val="40"/>
        </w:numPr>
        <w:jc w:val="both"/>
        <w:rPr>
          <w:rFonts w:eastAsia="Times New Roman"/>
        </w:rPr>
      </w:pPr>
      <w:r w:rsidRPr="00834127">
        <w:rPr>
          <w:rFonts w:eastAsia="Times New Roman"/>
          <w:b/>
          <w:bCs/>
        </w:rPr>
        <w:t xml:space="preserve">Reduced CSI-RS resource density of 0.25 with RB comb offset: </w:t>
      </w:r>
      <m:oMath>
        <m:r>
          <m:rPr>
            <m:sty m:val="bi"/>
          </m:rPr>
          <w:rPr>
            <w:rFonts w:ascii="Cambria Math" w:eastAsia="Times New Roman" w:hAnsi="Cambria Math"/>
          </w:rPr>
          <m:t>{0,1,2,3}</m:t>
        </m:r>
      </m:oMath>
    </w:p>
    <w:p w14:paraId="3AB6B796" w14:textId="6765D826" w:rsidR="002E64C9" w:rsidRDefault="002E64C9" w:rsidP="008A30DB">
      <w:pPr>
        <w:jc w:val="both"/>
        <w:rPr>
          <w:rFonts w:eastAsia="Times New Roman"/>
        </w:rPr>
      </w:pPr>
    </w:p>
    <w:p w14:paraId="492219AC" w14:textId="15B1A8CD" w:rsidR="007E61D6" w:rsidRPr="007E61D6" w:rsidRDefault="007E61D6" w:rsidP="008A30DB">
      <w:pPr>
        <w:jc w:val="both"/>
        <w:rPr>
          <w:rFonts w:eastAsia="Times New Roman"/>
          <w:b/>
          <w:bCs/>
        </w:rPr>
      </w:pPr>
      <w:r w:rsidRPr="007E61D6">
        <w:rPr>
          <w:rFonts w:eastAsia="Times New Roman"/>
          <w:b/>
          <w:bCs/>
        </w:rPr>
        <w:t>Proposal</w:t>
      </w:r>
      <w:r w:rsidR="00AB014D">
        <w:rPr>
          <w:rFonts w:eastAsia="Times New Roman"/>
          <w:b/>
          <w:bCs/>
        </w:rPr>
        <w:t xml:space="preserve"> 4</w:t>
      </w:r>
      <w:r w:rsidRPr="007E61D6">
        <w:rPr>
          <w:rFonts w:eastAsia="Times New Roman"/>
          <w:b/>
          <w:bCs/>
        </w:rPr>
        <w:t xml:space="preserve">. Study multiplexing of SD-FD </w:t>
      </w:r>
      <w:r>
        <w:rPr>
          <w:rFonts w:eastAsia="Times New Roman"/>
          <w:b/>
          <w:bCs/>
        </w:rPr>
        <w:t>pairs</w:t>
      </w:r>
      <w:r w:rsidRPr="007E61D6">
        <w:rPr>
          <w:rFonts w:eastAsia="Times New Roman"/>
          <w:b/>
          <w:bCs/>
        </w:rPr>
        <w:t xml:space="preserve"> of different UEs in delay domain by applying UE-specific shifts to FD</w:t>
      </w:r>
      <w:r>
        <w:rPr>
          <w:rFonts w:eastAsia="Times New Roman"/>
          <w:b/>
          <w:bCs/>
        </w:rPr>
        <w:t xml:space="preserve">-precoded </w:t>
      </w:r>
      <w:r w:rsidRPr="007E61D6">
        <w:rPr>
          <w:rFonts w:eastAsia="Times New Roman"/>
          <w:b/>
          <w:bCs/>
        </w:rPr>
        <w:t>beamforming vectors at gNB, in order to further reduce CSI-RS overhead on top of previously mentioned schemes</w:t>
      </w:r>
      <w:r>
        <w:rPr>
          <w:rFonts w:eastAsia="Times New Roman"/>
          <w:b/>
          <w:bCs/>
        </w:rPr>
        <w:t>.</w:t>
      </w:r>
    </w:p>
    <w:p w14:paraId="0063EB78" w14:textId="62485A7C" w:rsidR="008A30DB" w:rsidRDefault="00BF7BDC" w:rsidP="008A30DB">
      <w:pPr>
        <w:jc w:val="both"/>
        <w:rPr>
          <w:rFonts w:eastAsia="Times New Roman"/>
        </w:rPr>
      </w:pPr>
      <w:r>
        <w:rPr>
          <w:rFonts w:eastAsia="Times New Roman"/>
        </w:rPr>
        <w:t>As noted before</w:t>
      </w:r>
      <w:r w:rsidR="008A30DB">
        <w:rPr>
          <w:rFonts w:eastAsia="Times New Roman"/>
        </w:rPr>
        <w:t xml:space="preserve">, CSI-RS overhead reduction can also be achieved by adopting the mechanism in </w:t>
      </w:r>
      <w:r w:rsidR="008A30DB">
        <w:rPr>
          <w:rFonts w:eastAsia="Times New Roman"/>
        </w:rPr>
        <w:fldChar w:fldCharType="begin"/>
      </w:r>
      <w:r w:rsidR="008A30DB">
        <w:rPr>
          <w:rFonts w:eastAsia="Times New Roman"/>
        </w:rPr>
        <w:instrText xml:space="preserve"> REF _Ref61341920 \r \h </w:instrText>
      </w:r>
      <w:r w:rsidR="008A30DB">
        <w:rPr>
          <w:rFonts w:eastAsia="Times New Roman"/>
        </w:rPr>
      </w:r>
      <w:r w:rsidR="008A30DB">
        <w:rPr>
          <w:rFonts w:eastAsia="Times New Roman"/>
        </w:rPr>
        <w:fldChar w:fldCharType="separate"/>
      </w:r>
      <w:r w:rsidR="00307C05">
        <w:rPr>
          <w:rFonts w:eastAsia="Times New Roman"/>
        </w:rPr>
        <w:t>1)b</w:t>
      </w:r>
      <w:r w:rsidR="008A30DB">
        <w:rPr>
          <w:rFonts w:eastAsia="Times New Roman"/>
        </w:rPr>
        <w:fldChar w:fldCharType="end"/>
      </w:r>
      <w:r w:rsidR="008A30DB">
        <w:rPr>
          <w:rFonts w:eastAsia="Times New Roman"/>
        </w:rPr>
        <w:t xml:space="preserve">, </w:t>
      </w:r>
      <w:r w:rsidR="008A30DB" w:rsidRPr="0047157F">
        <w:rPr>
          <w:rFonts w:eastAsia="Times New Roman"/>
          <w:i/>
          <w:iCs/>
        </w:rPr>
        <w:t>i.e.</w:t>
      </w:r>
      <w:r w:rsidR="008A30DB">
        <w:rPr>
          <w:rFonts w:eastAsia="Times New Roman"/>
        </w:rPr>
        <w:t xml:space="preserve">, by </w:t>
      </w:r>
      <w:r w:rsidR="004E5032">
        <w:rPr>
          <w:rFonts w:eastAsia="Times New Roman"/>
        </w:rPr>
        <w:t>configuring</w:t>
      </w:r>
      <w:r w:rsidR="008A30DB">
        <w:rPr>
          <w:rFonts w:eastAsia="Times New Roman"/>
        </w:rPr>
        <w:t xml:space="preserve"> a UE</w:t>
      </w:r>
      <w:r w:rsidR="004E5032">
        <w:rPr>
          <w:rFonts w:eastAsia="Times New Roman"/>
        </w:rPr>
        <w:t xml:space="preserve"> to</w:t>
      </w:r>
      <w:r w:rsidR="008A30DB">
        <w:rPr>
          <w:rFonts w:eastAsia="Times New Roman"/>
        </w:rPr>
        <w:t xml:space="preserve"> calculate some additional FD components</w:t>
      </w:r>
      <w:r w:rsidR="004E5032">
        <w:rPr>
          <w:rFonts w:eastAsia="Times New Roman"/>
        </w:rPr>
        <w:t xml:space="preserve"> with </w:t>
      </w:r>
      <m:oMath>
        <m:sSub>
          <m:sSubPr>
            <m:ctrlPr>
              <w:rPr>
                <w:rFonts w:ascii="Cambria Math" w:eastAsia="Times New Roman" w:hAnsi="Cambria Math"/>
                <w:i/>
              </w:rPr>
            </m:ctrlPr>
          </m:sSubPr>
          <m:e>
            <m:r>
              <m:rPr>
                <m:sty m:val="bi"/>
              </m:rPr>
              <w:rPr>
                <w:rFonts w:ascii="Cambria Math" w:eastAsia="Times New Roman" w:hAnsi="Cambria Math"/>
              </w:rPr>
              <m:t>W</m:t>
            </m:r>
          </m:e>
          <m:sub>
            <m:r>
              <w:rPr>
                <w:rFonts w:ascii="Cambria Math" w:eastAsia="Times New Roman" w:hAnsi="Cambria Math"/>
              </w:rPr>
              <m:t>f</m:t>
            </m:r>
          </m:sub>
        </m:sSub>
      </m:oMath>
      <w:r w:rsidR="003C4805">
        <w:rPr>
          <w:rFonts w:eastAsia="Times New Roman"/>
        </w:rPr>
        <w:t xml:space="preserve"> and save the CSI-RS ports conveying the corresponding SD-FD bases</w:t>
      </w:r>
      <w:r w:rsidR="008A30DB">
        <w:rPr>
          <w:rFonts w:eastAsia="Times New Roman"/>
        </w:rPr>
        <w:t>.</w:t>
      </w:r>
      <w:r w:rsidR="004E5032">
        <w:rPr>
          <w:rFonts w:eastAsia="Times New Roman"/>
        </w:rPr>
        <w:t xml:space="preserve"> Note that this mechanism can be applied in conjunction to the CSI-RS mapping techniques mentioned above.</w:t>
      </w:r>
      <w:r w:rsidR="008A30DB">
        <w:rPr>
          <w:rFonts w:eastAsia="Times New Roman"/>
        </w:rPr>
        <w:t xml:space="preserve"> The</w:t>
      </w:r>
      <w:r w:rsidR="004E5032">
        <w:rPr>
          <w:rFonts w:eastAsia="Times New Roman"/>
        </w:rPr>
        <w:t xml:space="preserve"> extra FD components</w:t>
      </w:r>
      <w:r w:rsidR="008A30DB">
        <w:rPr>
          <w:rFonts w:eastAsia="Times New Roman"/>
        </w:rPr>
        <w:t xml:space="preserve"> can be configured by the network: for example, for every port the UE is configured to calculate the first two consecutive components starting from the DC.</w:t>
      </w:r>
      <w:r w:rsidR="00263F88">
        <w:rPr>
          <w:rFonts w:eastAsia="Times New Roman"/>
        </w:rPr>
        <w:t xml:space="preserve"> Network configuration does not allow to adapt the selection of these additional components to the SRS channel estimate, but saves signalling overhead</w:t>
      </w:r>
      <w:r w:rsidR="008A30DB">
        <w:rPr>
          <w:rFonts w:eastAsia="Times New Roman"/>
        </w:rPr>
        <w:t xml:space="preserve"> Alternatively, network indication of which additional components to calculate allows </w:t>
      </w:r>
      <w:r w:rsidR="00263F88">
        <w:rPr>
          <w:rFonts w:eastAsia="Times New Roman"/>
        </w:rPr>
        <w:t>adaptable</w:t>
      </w:r>
      <w:r w:rsidR="008A30DB">
        <w:rPr>
          <w:rFonts w:eastAsia="Times New Roman"/>
        </w:rPr>
        <w:t xml:space="preserve"> choice of components by the network</w:t>
      </w:r>
      <w:r w:rsidR="00263F88">
        <w:rPr>
          <w:rFonts w:eastAsia="Times New Roman"/>
        </w:rPr>
        <w:t>,</w:t>
      </w:r>
      <w:r w:rsidR="008A30DB">
        <w:rPr>
          <w:rFonts w:eastAsia="Times New Roman"/>
        </w:rPr>
        <w:t xml:space="preserve"> at the expense of some extra DL signalling.</w:t>
      </w:r>
    </w:p>
    <w:p w14:paraId="4876B12E" w14:textId="07410115" w:rsidR="002F1359" w:rsidRDefault="002F1359" w:rsidP="002F1359">
      <w:pPr>
        <w:jc w:val="both"/>
        <w:rPr>
          <w:rFonts w:eastAsia="Times New Roman"/>
        </w:rPr>
      </w:pPr>
    </w:p>
    <w:p w14:paraId="63D32C10" w14:textId="77777777" w:rsidR="002F1359" w:rsidRPr="002F1359" w:rsidRDefault="002F1359" w:rsidP="002F1359">
      <w:pPr>
        <w:jc w:val="both"/>
        <w:rPr>
          <w:rFonts w:eastAsia="Times New Roman"/>
        </w:rPr>
      </w:pPr>
    </w:p>
    <w:p w14:paraId="5880E220" w14:textId="47BA2CCD" w:rsidR="00435934" w:rsidRDefault="00435934">
      <w:pPr>
        <w:pStyle w:val="Heading2"/>
      </w:pPr>
      <w:r>
        <w:t>2.</w:t>
      </w:r>
      <w:r w:rsidR="00497DD0">
        <w:t>1</w:t>
      </w:r>
      <w:bookmarkStart w:id="16" w:name="_GoBack"/>
      <w:bookmarkEnd w:id="16"/>
      <w:r>
        <w:tab/>
      </w:r>
      <w:r w:rsidRPr="00321442">
        <w:t>Simulation results</w:t>
      </w:r>
    </w:p>
    <w:p w14:paraId="3A44B429" w14:textId="4B9DF661" w:rsidR="00C46E0D" w:rsidRDefault="00C46E0D" w:rsidP="00435934">
      <w:r>
        <w:t>In this section we present simulation results to evaluate the trade-off between performance, feedback overhead and reference signal overhead of the FFD-based port-selection codebook enhancement, under different design alternatives.</w:t>
      </w:r>
    </w:p>
    <w:p w14:paraId="0AAF8115" w14:textId="77777777" w:rsidR="00290021" w:rsidRDefault="00290021" w:rsidP="00290021">
      <w:r>
        <w:t xml:space="preserve">For the enhanced PS schemes, the assumption on the reference signals is that both SRS and CSI-RS are triggered aperiodically for up to </w:t>
      </w:r>
      <m:oMath>
        <m:r>
          <w:rPr>
            <w:rFonts w:ascii="Cambria Math" w:hAnsi="Cambria Math"/>
          </w:rPr>
          <m:t>K</m:t>
        </m:r>
      </m:oMath>
      <w:r>
        <w:t xml:space="preserve"> UEs with FTP traffic in the queue, where </w:t>
      </w:r>
      <m:oMath>
        <m:r>
          <w:rPr>
            <w:rFonts w:ascii="Cambria Math" w:hAnsi="Cambria Math"/>
          </w:rPr>
          <m:t>K</m:t>
        </m:r>
      </m:oMath>
      <w:r>
        <w:t xml:space="preserve"> is the maximum number of UEs supported by the SRS configuration. The SRS resources configuration is given by (SRS period, comb, # OFDM symbols, </w:t>
      </w:r>
      <m:oMath>
        <m:r>
          <w:rPr>
            <w:rFonts w:ascii="Cambria Math" w:hAnsi="Cambria Math"/>
          </w:rPr>
          <m:t>K</m:t>
        </m:r>
      </m:oMath>
      <w:r>
        <w:t>) = (5ms, 4, 4, 8). Regarding the CSI-RS overhead, the gNB configures up to 32 UE-specific CSI-RS ports, depending on the configuration parameters being tested. Because the DL RS overhead varies with the FTP traffic and the number of ports configured per UE, we include all DL RS overhead in the user’s throughput calculation.</w:t>
      </w:r>
    </w:p>
    <w:p w14:paraId="09F7B1C3" w14:textId="77777777" w:rsidR="00290021" w:rsidRDefault="00290021" w:rsidP="00290021">
      <w:r>
        <w:t xml:space="preserve">Regarding the UE feedback overhead, we assume rank one report and free SD-FD pair selection indicated by means of a bitmap of size </w:t>
      </w:r>
      <m:oMath>
        <m:r>
          <w:rPr>
            <w:rFonts w:ascii="Cambria Math" w:hAnsi="Cambria Math"/>
          </w:rPr>
          <m:t>P×1</m:t>
        </m:r>
      </m:oMath>
      <w:r>
        <w:t xml:space="preserve">, where </w:t>
      </w:r>
      <m:oMath>
        <m:r>
          <w:rPr>
            <w:rFonts w:ascii="Cambria Math" w:hAnsi="Cambria Math"/>
          </w:rPr>
          <m:t>P</m:t>
        </m:r>
      </m:oMath>
      <w:r>
        <w:t xml:space="preserve"> is the total number of SD-FD pairs and </w:t>
      </w:r>
      <m:oMath>
        <m:r>
          <w:rPr>
            <w:rFonts w:ascii="Cambria Math" w:hAnsi="Cambria Math"/>
          </w:rPr>
          <m:t>P=</m:t>
        </m:r>
        <m:sSub>
          <m:sSubPr>
            <m:ctrlPr>
              <w:rPr>
                <w:rFonts w:ascii="Cambria Math" w:hAnsi="Cambria Math"/>
                <w:i/>
              </w:rPr>
            </m:ctrlPr>
          </m:sSubPr>
          <m:e>
            <m:r>
              <w:rPr>
                <w:rFonts w:ascii="Cambria Math" w:hAnsi="Cambria Math"/>
              </w:rPr>
              <m:t>P</m:t>
            </m:r>
          </m:e>
          <m:sub>
            <m:r>
              <w:rPr>
                <w:rFonts w:ascii="Cambria Math" w:hAnsi="Cambria Math"/>
              </w:rPr>
              <m:t>CSI-RS</m:t>
            </m:r>
          </m:sub>
        </m:sSub>
      </m:oMath>
      <w:r>
        <w:t xml:space="preserve">, </w:t>
      </w:r>
      <w:r w:rsidRPr="00EC3B94">
        <w:rPr>
          <w:i/>
          <w:iCs/>
        </w:rPr>
        <w:t>i.e.</w:t>
      </w:r>
      <w:r>
        <w:t xml:space="preserve">, the number of precoded CSI-RS ports. In order to simulate different operating points comparable with the six parameter combinations specified for Rel-16 PS, we determine the values of </w:t>
      </w:r>
      <m:oMath>
        <m:r>
          <w:rPr>
            <w:rFonts w:ascii="Cambria Math" w:hAnsi="Cambria Math"/>
          </w:rPr>
          <m:t>P</m:t>
        </m:r>
      </m:oMath>
      <w:r>
        <w:t xml:space="preserve"> as </w:t>
      </w:r>
      <m:oMath>
        <m:r>
          <w:rPr>
            <w:rFonts w:ascii="Cambria Math" w:hAnsi="Cambria Math"/>
          </w:rPr>
          <m:t>P=2L</m:t>
        </m:r>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where the values of </w:t>
      </w:r>
      <m:oMath>
        <m:r>
          <w:rPr>
            <w:rFonts w:ascii="Cambria Math" w:hAnsi="Cambria Math"/>
          </w:rPr>
          <m:t>L</m:t>
        </m:r>
      </m:oMath>
      <w:r>
        <w:t xml:space="preserve"> and </w:t>
      </w:r>
      <m:oMath>
        <m:r>
          <w:rPr>
            <w:rFonts w:ascii="Cambria Math" w:hAnsi="Cambria Math"/>
          </w:rPr>
          <m:t>M</m:t>
        </m:r>
      </m:oMath>
      <w:r>
        <w:t xml:space="preserve"> are taken from the first five parameter combinations of Table 5.2.2.2.6-1 of TS 38.214. Because the sixth parameter combination corresponds to a value </w:t>
      </w:r>
      <m:oMath>
        <m:r>
          <w:rPr>
            <w:rFonts w:ascii="Cambria Math" w:hAnsi="Cambria Math"/>
          </w:rPr>
          <m:t>P=2L</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&gt;32</m:t>
        </m:r>
      </m:oMath>
      <w:r>
        <w:t xml:space="preserve">, which would require more than 32 ports, we replace it with a different combination of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,β</m:t>
            </m:r>
          </m:e>
        </m:d>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,1</m:t>
            </m:r>
          </m:e>
        </m:d>
      </m:oMath>
      <w:r>
        <w:t xml:space="preserve">, which results in </w:t>
      </w:r>
      <m:oMath>
        <m:r>
          <w:rPr>
            <w:rFonts w:ascii="Cambria Math" w:hAnsi="Cambria Math"/>
          </w:rPr>
          <m:t>P=32=</m:t>
        </m:r>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All parameter combinations for both baseline and Rel-17 enhancement are listed in </w:t>
      </w:r>
      <w:r>
        <w:fldChar w:fldCharType="begin"/>
      </w:r>
      <w:r>
        <w:instrText xml:space="preserve"> REF _Ref54342703 \h </w:instrText>
      </w:r>
      <w:r>
        <w:fldChar w:fldCharType="separate"/>
      </w:r>
      <w:r>
        <w:t xml:space="preserve">Table </w:t>
      </w:r>
      <w:r>
        <w:rPr>
          <w:noProof/>
        </w:rPr>
        <w:t>2</w:t>
      </w:r>
      <w:r>
        <w:fldChar w:fldCharType="end"/>
      </w:r>
      <w:r>
        <w:t>.</w:t>
      </w:r>
    </w:p>
    <w:p w14:paraId="73F57969" w14:textId="656AB5B8" w:rsidR="00290021" w:rsidRDefault="00290021" w:rsidP="00290021">
      <w:r>
        <w:t xml:space="preserve">The PMI report also includes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nonzero coefficients, quantised in a similar way as in Rel-16 but without a reference amplitude for the weaker polarisation. Amplitude and phase are quantised with 3 and 4 bits, respectively.</w:t>
      </w:r>
    </w:p>
    <w:p w14:paraId="2B3FB672" w14:textId="77777777" w:rsidR="00290021" w:rsidRDefault="00290021" w:rsidP="00290021"/>
    <w:p w14:paraId="4646EC49" w14:textId="77777777" w:rsidR="00290021" w:rsidRDefault="00290021" w:rsidP="00290021">
      <w:pPr>
        <w:pStyle w:val="Caption"/>
        <w:keepNext/>
        <w:jc w:val="center"/>
      </w:pPr>
      <w:bookmarkStart w:id="17" w:name="_Ref54342703"/>
      <w:r>
        <w:t xml:space="preserve">Table </w:t>
      </w:r>
      <w:r>
        <w:fldChar w:fldCharType="begin"/>
      </w:r>
      <w:r>
        <w:instrText xml:space="preserve"> SEQ Table \* ARABIC </w:instrText>
      </w:r>
      <w:r>
        <w:fldChar w:fldCharType="separate"/>
      </w:r>
      <w:r>
        <w:rPr>
          <w:noProof/>
        </w:rPr>
        <w:t>2</w:t>
      </w:r>
      <w:r>
        <w:fldChar w:fldCharType="end"/>
      </w:r>
      <w:bookmarkEnd w:id="17"/>
      <w:r>
        <w:t xml:space="preserve">. Simulated parameter combinations for Rel-16 PS baseline and Rel-17 PS. </w:t>
      </w:r>
    </w:p>
    <w:tbl>
      <w:tblPr>
        <w:tblW w:w="7134" w:type="dxa"/>
        <w:jc w:val="center"/>
        <w:tblCellMar>
          <w:left w:w="0" w:type="dxa"/>
          <w:right w:w="0" w:type="dxa"/>
        </w:tblCellMar>
        <w:tblLook w:val="04A0" w:firstRow="1" w:lastRow="0" w:firstColumn="1" w:lastColumn="0" w:noHBand="0" w:noVBand="1"/>
      </w:tblPr>
      <w:tblGrid>
        <w:gridCol w:w="1654"/>
        <w:gridCol w:w="626"/>
        <w:gridCol w:w="2988"/>
        <w:gridCol w:w="622"/>
        <w:gridCol w:w="622"/>
        <w:gridCol w:w="622"/>
      </w:tblGrid>
      <w:tr w:rsidR="00290021" w14:paraId="12D91D69" w14:textId="77777777" w:rsidTr="00887131">
        <w:trPr>
          <w:trHeight w:val="569"/>
          <w:jc w:val="center"/>
        </w:trPr>
        <w:tc>
          <w:tcPr>
            <w:tcW w:w="1654" w:type="dxa"/>
            <w:tcBorders>
              <w:top w:val="single" w:sz="8" w:space="0" w:color="000000"/>
              <w:left w:val="single" w:sz="8" w:space="0" w:color="000000"/>
              <w:right w:val="single" w:sz="8" w:space="0" w:color="000000"/>
            </w:tcBorders>
            <w:vAlign w:val="center"/>
          </w:tcPr>
          <w:p w14:paraId="29E38131" w14:textId="77777777" w:rsidR="00290021" w:rsidRDefault="00290021" w:rsidP="00887131">
            <w:pPr>
              <w:spacing w:after="0" w:line="252" w:lineRule="auto"/>
              <w:jc w:val="center"/>
              <w:rPr>
                <w:rFonts w:eastAsia="Calibri"/>
                <w:i/>
                <w:color w:val="000000"/>
                <w:lang w:val="en-US" w:eastAsia="en-GB"/>
              </w:rPr>
            </w:pPr>
          </w:p>
        </w:tc>
        <w:tc>
          <w:tcPr>
            <w:tcW w:w="423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DFF205" w14:textId="77777777" w:rsidR="00290021" w:rsidRPr="000D60B1" w:rsidRDefault="00290021" w:rsidP="00887131">
            <w:pPr>
              <w:spacing w:after="0" w:line="252" w:lineRule="auto"/>
              <w:jc w:val="center"/>
              <w:rPr>
                <w:color w:val="000000" w:themeColor="text1"/>
                <w:lang w:val="fr-FR" w:eastAsia="fr-FR"/>
              </w:rPr>
            </w:pPr>
            <w:r w:rsidRPr="000D60B1">
              <w:rPr>
                <w:color w:val="000000" w:themeColor="text1"/>
                <w:lang w:val="fr-FR" w:eastAsia="fr-FR"/>
              </w:rPr>
              <w:t>Rel-1</w:t>
            </w:r>
            <w:r>
              <w:rPr>
                <w:color w:val="000000" w:themeColor="text1"/>
                <w:lang w:val="fr-FR" w:eastAsia="fr-FR"/>
              </w:rPr>
              <w:t>6 eType II PS</w:t>
            </w:r>
          </w:p>
        </w:tc>
        <w:tc>
          <w:tcPr>
            <w:tcW w:w="1244" w:type="dxa"/>
            <w:gridSpan w:val="2"/>
            <w:tcBorders>
              <w:top w:val="single" w:sz="8" w:space="0" w:color="000000"/>
              <w:left w:val="single" w:sz="8" w:space="0" w:color="000000"/>
              <w:bottom w:val="single" w:sz="8" w:space="0" w:color="000000"/>
              <w:right w:val="single" w:sz="8" w:space="0" w:color="000000"/>
            </w:tcBorders>
            <w:vAlign w:val="center"/>
          </w:tcPr>
          <w:p w14:paraId="05546CA8" w14:textId="77777777" w:rsidR="00290021" w:rsidRPr="000D60B1" w:rsidRDefault="00290021" w:rsidP="00887131">
            <w:pPr>
              <w:spacing w:after="0" w:line="252" w:lineRule="auto"/>
              <w:jc w:val="center"/>
              <w:rPr>
                <w:color w:val="000000" w:themeColor="text1"/>
                <w:lang w:val="fr-FR" w:eastAsia="fr-FR"/>
              </w:rPr>
            </w:pPr>
            <w:r>
              <w:rPr>
                <w:color w:val="000000" w:themeColor="text1"/>
                <w:lang w:val="fr-FR" w:eastAsia="fr-FR"/>
              </w:rPr>
              <w:t>Rel-17 PS</w:t>
            </w:r>
          </w:p>
        </w:tc>
      </w:tr>
      <w:tr w:rsidR="00290021" w14:paraId="7D47BD25" w14:textId="77777777" w:rsidTr="00887131">
        <w:trPr>
          <w:trHeight w:val="569"/>
          <w:jc w:val="center"/>
        </w:trPr>
        <w:tc>
          <w:tcPr>
            <w:tcW w:w="1654" w:type="dxa"/>
            <w:tcBorders>
              <w:top w:val="single" w:sz="8" w:space="0" w:color="000000"/>
              <w:left w:val="single" w:sz="8" w:space="0" w:color="000000"/>
              <w:right w:val="single" w:sz="8" w:space="0" w:color="000000"/>
            </w:tcBorders>
            <w:vAlign w:val="center"/>
          </w:tcPr>
          <w:p w14:paraId="2E49F759" w14:textId="77777777" w:rsidR="00290021" w:rsidRDefault="00290021" w:rsidP="00887131">
            <w:pPr>
              <w:spacing w:after="0" w:line="252" w:lineRule="auto"/>
              <w:jc w:val="center"/>
              <w:rPr>
                <w:rFonts w:ascii="Arial" w:hAnsi="Arial"/>
                <w:color w:val="000000" w:themeColor="text1"/>
                <w:lang w:val="fr-FR" w:eastAsia="fr-FR"/>
              </w:rPr>
            </w:pPr>
            <w:r>
              <w:rPr>
                <w:rFonts w:eastAsia="Calibri"/>
                <w:i/>
                <w:color w:val="000000"/>
                <w:lang w:val="en-US" w:eastAsia="en-GB"/>
              </w:rPr>
              <w:t>p</w:t>
            </w:r>
            <w:r w:rsidRPr="00B00863">
              <w:rPr>
                <w:rFonts w:eastAsia="Calibri"/>
                <w:i/>
                <w:color w:val="000000"/>
                <w:lang w:val="en-US" w:eastAsia="en-GB"/>
              </w:rPr>
              <w:t>aramCombination</w:t>
            </w:r>
            <w:r>
              <w:rPr>
                <w:rFonts w:eastAsia="Calibri"/>
                <w:i/>
                <w:color w:val="000000"/>
                <w:lang w:val="en-US" w:eastAsia="en-GB"/>
              </w:rPr>
              <w:t>-r16</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A2DFA1" w14:textId="77777777" w:rsidR="00290021" w:rsidRDefault="00290021" w:rsidP="00887131">
            <w:pPr>
              <w:spacing w:after="0" w:line="252"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L</m:t>
                </m:r>
              </m:oMath>
            </m:oMathPara>
          </w:p>
        </w:tc>
        <w:tc>
          <w:tcPr>
            <w:tcW w:w="2988" w:type="dxa"/>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116A1C93" w14:textId="77777777" w:rsidR="00290021" w:rsidRDefault="00497DD0" w:rsidP="00887131">
            <w:pPr>
              <w:spacing w:after="0" w:line="252" w:lineRule="auto"/>
              <w:jc w:val="center"/>
              <w:rPr>
                <w:rFonts w:ascii="Arial" w:hAnsi="Arial" w:cs="Arial"/>
                <w:color w:val="000000" w:themeColor="text1"/>
                <w:lang w:val="fr-FR" w:eastAsia="fr-FR"/>
              </w:rPr>
            </w:pPr>
            <m:oMathPara>
              <m:oMath>
                <m:sSub>
                  <m:sSubPr>
                    <m:ctrlPr>
                      <w:rPr>
                        <w:rFonts w:ascii="Cambria Math" w:hAnsi="Cambria Math" w:cs="Arial"/>
                        <w:i/>
                        <w:color w:val="000000" w:themeColor="text1"/>
                        <w:lang w:val="fr-FR" w:eastAsia="fr-FR"/>
                      </w:rPr>
                    </m:ctrlPr>
                  </m:sSubPr>
                  <m:e>
                    <m:r>
                      <w:rPr>
                        <w:rFonts w:ascii="Cambria Math" w:hAnsi="Cambria Math" w:cs="Arial"/>
                        <w:color w:val="000000" w:themeColor="text1"/>
                        <w:lang w:val="fr-FR" w:eastAsia="fr-FR"/>
                      </w:rPr>
                      <m:t>p</m:t>
                    </m:r>
                  </m:e>
                  <m:sub>
                    <m:r>
                      <w:rPr>
                        <w:rFonts w:ascii="Cambria Math" w:hAnsi="Cambria Math" w:cs="Arial"/>
                        <w:color w:val="000000" w:themeColor="text1"/>
                        <w:lang w:val="fr-FR" w:eastAsia="fr-FR"/>
                      </w:rPr>
                      <m:t>1</m:t>
                    </m:r>
                  </m:sub>
                </m:sSub>
              </m:oMath>
            </m:oMathPara>
          </w:p>
        </w:tc>
        <w:tc>
          <w:tcPr>
            <w:tcW w:w="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D6FB43" w14:textId="77777777" w:rsidR="00290021" w:rsidRDefault="00290021" w:rsidP="00887131">
            <w:pPr>
              <w:spacing w:after="0" w:line="252"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β</m:t>
                </m:r>
              </m:oMath>
            </m:oMathPara>
          </w:p>
        </w:tc>
        <w:tc>
          <w:tcPr>
            <w:tcW w:w="622" w:type="dxa"/>
            <w:tcBorders>
              <w:top w:val="single" w:sz="8" w:space="0" w:color="000000"/>
              <w:left w:val="single" w:sz="8" w:space="0" w:color="000000"/>
              <w:bottom w:val="single" w:sz="8" w:space="0" w:color="000000"/>
              <w:right w:val="single" w:sz="8" w:space="0" w:color="000000"/>
            </w:tcBorders>
            <w:vAlign w:val="center"/>
          </w:tcPr>
          <w:p w14:paraId="0871F43D" w14:textId="77777777" w:rsidR="00290021" w:rsidRDefault="00290021" w:rsidP="00887131">
            <w:pPr>
              <w:spacing w:after="0" w:line="252" w:lineRule="auto"/>
              <w:jc w:val="center"/>
              <w:rPr>
                <w:rFonts w:ascii="Arial" w:eastAsia="MS Mincho" w:hAnsi="Arial" w:cs="Arial"/>
                <w:color w:val="000000" w:themeColor="text1"/>
                <w:lang w:val="fr-FR" w:eastAsia="fr-FR"/>
              </w:rPr>
            </w:pPr>
            <m:oMathPara>
              <m:oMath>
                <m:r>
                  <w:rPr>
                    <w:rFonts w:ascii="Cambria Math" w:eastAsia="MS Mincho" w:hAnsi="Cambria Math" w:cs="Arial"/>
                    <w:color w:val="000000" w:themeColor="text1"/>
                    <w:lang w:val="fr-FR" w:eastAsia="fr-FR"/>
                  </w:rPr>
                  <m:t>P</m:t>
                </m:r>
              </m:oMath>
            </m:oMathPara>
          </w:p>
        </w:tc>
        <w:tc>
          <w:tcPr>
            <w:tcW w:w="622" w:type="dxa"/>
            <w:tcBorders>
              <w:top w:val="single" w:sz="8" w:space="0" w:color="000000"/>
              <w:left w:val="single" w:sz="8" w:space="0" w:color="000000"/>
              <w:bottom w:val="single" w:sz="8" w:space="0" w:color="000000"/>
              <w:right w:val="single" w:sz="8" w:space="0" w:color="000000"/>
            </w:tcBorders>
            <w:vAlign w:val="center"/>
          </w:tcPr>
          <w:p w14:paraId="16B372CC" w14:textId="77777777" w:rsidR="00290021" w:rsidRDefault="00497DD0" w:rsidP="00887131">
            <w:pPr>
              <w:spacing w:after="0" w:line="252" w:lineRule="auto"/>
              <w:jc w:val="center"/>
              <w:rPr>
                <w:rFonts w:ascii="Arial" w:eastAsia="MS Mincho" w:hAnsi="Arial" w:cs="Arial"/>
                <w:color w:val="000000" w:themeColor="text1"/>
                <w:lang w:val="fr-FR" w:eastAsia="fr-FR"/>
              </w:rPr>
            </w:pPr>
            <m:oMathPara>
              <m:oMath>
                <m:sSub>
                  <m:sSubPr>
                    <m:ctrlPr>
                      <w:rPr>
                        <w:rFonts w:ascii="Cambria Math" w:eastAsia="MS Mincho" w:hAnsi="Cambria Math" w:cs="Arial"/>
                        <w:i/>
                        <w:color w:val="000000" w:themeColor="text1"/>
                        <w:lang w:val="fr-FR" w:eastAsia="fr-FR"/>
                      </w:rPr>
                    </m:ctrlPr>
                  </m:sSubPr>
                  <m:e>
                    <m:r>
                      <w:rPr>
                        <w:rFonts w:ascii="Cambria Math" w:eastAsia="MS Mincho" w:hAnsi="Cambria Math" w:cs="Arial"/>
                        <w:color w:val="000000" w:themeColor="text1"/>
                        <w:lang w:val="fr-FR" w:eastAsia="fr-FR"/>
                      </w:rPr>
                      <m:t>K</m:t>
                    </m:r>
                  </m:e>
                  <m:sub>
                    <m:r>
                      <w:rPr>
                        <w:rFonts w:ascii="Cambria Math" w:eastAsia="MS Mincho" w:hAnsi="Cambria Math" w:cs="Arial"/>
                        <w:color w:val="000000" w:themeColor="text1"/>
                        <w:lang w:val="fr-FR" w:eastAsia="fr-FR"/>
                      </w:rPr>
                      <m:t>0</m:t>
                    </m:r>
                  </m:sub>
                </m:sSub>
              </m:oMath>
            </m:oMathPara>
          </w:p>
        </w:tc>
      </w:tr>
      <w:tr w:rsidR="00290021" w14:paraId="6B7C64B2" w14:textId="77777777" w:rsidTr="00887131">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43027C2"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7205F0" w14:textId="77777777" w:rsidR="00290021" w:rsidRDefault="00290021" w:rsidP="00887131">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2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5A6E1A"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3EB1D7" w14:textId="77777777" w:rsidR="00290021" w:rsidRDefault="00290021" w:rsidP="00887131">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622" w:type="dxa"/>
            <w:tcBorders>
              <w:top w:val="single" w:sz="8" w:space="0" w:color="000000"/>
              <w:left w:val="single" w:sz="8" w:space="0" w:color="000000"/>
              <w:bottom w:val="single" w:sz="8" w:space="0" w:color="000000"/>
              <w:right w:val="single" w:sz="8" w:space="0" w:color="000000"/>
            </w:tcBorders>
            <w:vAlign w:val="center"/>
          </w:tcPr>
          <w:p w14:paraId="1F394925"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16</w:t>
            </w:r>
          </w:p>
        </w:tc>
        <w:tc>
          <w:tcPr>
            <w:tcW w:w="622" w:type="dxa"/>
            <w:tcBorders>
              <w:top w:val="single" w:sz="8" w:space="0" w:color="000000"/>
              <w:left w:val="single" w:sz="8" w:space="0" w:color="000000"/>
              <w:bottom w:val="single" w:sz="8" w:space="0" w:color="000000"/>
              <w:right w:val="single" w:sz="8" w:space="0" w:color="000000"/>
            </w:tcBorders>
            <w:vAlign w:val="center"/>
          </w:tcPr>
          <w:p w14:paraId="73B7C138"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r>
      <w:tr w:rsidR="00290021" w14:paraId="13641F9B" w14:textId="77777777" w:rsidTr="00887131">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1E2FFB79"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2</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CF1FB5" w14:textId="77777777" w:rsidR="00290021" w:rsidRDefault="00290021" w:rsidP="00887131">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2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0038EB"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948B3B" w14:textId="77777777" w:rsidR="00290021" w:rsidRDefault="00290021" w:rsidP="00887131">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c>
          <w:tcPr>
            <w:tcW w:w="622" w:type="dxa"/>
            <w:tcBorders>
              <w:top w:val="single" w:sz="8" w:space="0" w:color="000000"/>
              <w:left w:val="single" w:sz="8" w:space="0" w:color="000000"/>
              <w:bottom w:val="single" w:sz="8" w:space="0" w:color="000000"/>
              <w:right w:val="single" w:sz="8" w:space="0" w:color="000000"/>
            </w:tcBorders>
            <w:vAlign w:val="center"/>
          </w:tcPr>
          <w:p w14:paraId="16AE13A7"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16</w:t>
            </w:r>
          </w:p>
        </w:tc>
        <w:tc>
          <w:tcPr>
            <w:tcW w:w="622" w:type="dxa"/>
            <w:tcBorders>
              <w:top w:val="single" w:sz="8" w:space="0" w:color="000000"/>
              <w:left w:val="single" w:sz="8" w:space="0" w:color="000000"/>
              <w:bottom w:val="single" w:sz="8" w:space="0" w:color="000000"/>
              <w:right w:val="single" w:sz="8" w:space="0" w:color="000000"/>
            </w:tcBorders>
            <w:vAlign w:val="center"/>
          </w:tcPr>
          <w:p w14:paraId="2F34B081"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8</w:t>
            </w:r>
          </w:p>
        </w:tc>
      </w:tr>
      <w:tr w:rsidR="00290021" w14:paraId="7DE0877F" w14:textId="77777777" w:rsidTr="00887131">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031D2F84"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B482E5" w14:textId="77777777" w:rsidR="00290021" w:rsidRDefault="00290021" w:rsidP="00887131">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2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0E378D"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75FB16" w14:textId="77777777" w:rsidR="00290021" w:rsidRDefault="00290021" w:rsidP="00887131">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622" w:type="dxa"/>
            <w:tcBorders>
              <w:top w:val="single" w:sz="8" w:space="0" w:color="000000"/>
              <w:left w:val="single" w:sz="8" w:space="0" w:color="000000"/>
              <w:bottom w:val="single" w:sz="8" w:space="0" w:color="000000"/>
              <w:right w:val="single" w:sz="8" w:space="0" w:color="000000"/>
            </w:tcBorders>
            <w:vAlign w:val="center"/>
          </w:tcPr>
          <w:p w14:paraId="522E2CD2"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32</w:t>
            </w:r>
          </w:p>
        </w:tc>
        <w:tc>
          <w:tcPr>
            <w:tcW w:w="622" w:type="dxa"/>
            <w:tcBorders>
              <w:top w:val="single" w:sz="8" w:space="0" w:color="000000"/>
              <w:left w:val="single" w:sz="8" w:space="0" w:color="000000"/>
              <w:bottom w:val="single" w:sz="8" w:space="0" w:color="000000"/>
              <w:right w:val="single" w:sz="8" w:space="0" w:color="000000"/>
            </w:tcBorders>
            <w:vAlign w:val="center"/>
          </w:tcPr>
          <w:p w14:paraId="507A461C"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8</w:t>
            </w:r>
          </w:p>
        </w:tc>
      </w:tr>
      <w:tr w:rsidR="00290021" w14:paraId="475338A0" w14:textId="77777777" w:rsidTr="00887131">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9BAFF7C"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E804B4" w14:textId="77777777" w:rsidR="00290021" w:rsidRDefault="00290021" w:rsidP="00887131">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2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0919E6"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336259" w14:textId="77777777" w:rsidR="00290021" w:rsidRDefault="00290021" w:rsidP="00887131">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c>
          <w:tcPr>
            <w:tcW w:w="622" w:type="dxa"/>
            <w:tcBorders>
              <w:top w:val="single" w:sz="8" w:space="0" w:color="000000"/>
              <w:left w:val="single" w:sz="8" w:space="0" w:color="000000"/>
              <w:bottom w:val="single" w:sz="8" w:space="0" w:color="000000"/>
              <w:right w:val="single" w:sz="8" w:space="0" w:color="000000"/>
            </w:tcBorders>
            <w:vAlign w:val="center"/>
          </w:tcPr>
          <w:p w14:paraId="5F50C958"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32</w:t>
            </w:r>
          </w:p>
        </w:tc>
        <w:tc>
          <w:tcPr>
            <w:tcW w:w="622" w:type="dxa"/>
            <w:tcBorders>
              <w:top w:val="single" w:sz="8" w:space="0" w:color="000000"/>
              <w:left w:val="single" w:sz="8" w:space="0" w:color="000000"/>
              <w:bottom w:val="single" w:sz="8" w:space="0" w:color="000000"/>
              <w:right w:val="single" w:sz="8" w:space="0" w:color="000000"/>
            </w:tcBorders>
            <w:vAlign w:val="center"/>
          </w:tcPr>
          <w:p w14:paraId="39492D14"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16</w:t>
            </w:r>
          </w:p>
        </w:tc>
      </w:tr>
      <w:tr w:rsidR="00290021" w14:paraId="431042CE" w14:textId="77777777" w:rsidTr="00887131">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5EB01C3A"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5</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37CF90" w14:textId="77777777" w:rsidR="00290021" w:rsidRDefault="00290021" w:rsidP="00887131">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2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228FC4" w14:textId="77777777" w:rsidR="00290021" w:rsidRDefault="00290021" w:rsidP="00887131">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F244D7" w14:textId="77777777" w:rsidR="00290021" w:rsidRDefault="00290021" w:rsidP="00887131">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¾</w:t>
            </w:r>
          </w:p>
        </w:tc>
        <w:tc>
          <w:tcPr>
            <w:tcW w:w="622" w:type="dxa"/>
            <w:tcBorders>
              <w:top w:val="single" w:sz="8" w:space="0" w:color="000000"/>
              <w:left w:val="single" w:sz="8" w:space="0" w:color="000000"/>
              <w:bottom w:val="single" w:sz="8" w:space="0" w:color="000000"/>
              <w:right w:val="single" w:sz="8" w:space="0" w:color="000000"/>
            </w:tcBorders>
            <w:vAlign w:val="center"/>
          </w:tcPr>
          <w:p w14:paraId="0247E8DD"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32</w:t>
            </w:r>
          </w:p>
        </w:tc>
        <w:tc>
          <w:tcPr>
            <w:tcW w:w="622" w:type="dxa"/>
            <w:tcBorders>
              <w:top w:val="single" w:sz="8" w:space="0" w:color="000000"/>
              <w:left w:val="single" w:sz="8" w:space="0" w:color="000000"/>
              <w:bottom w:val="single" w:sz="8" w:space="0" w:color="000000"/>
              <w:right w:val="single" w:sz="8" w:space="0" w:color="000000"/>
            </w:tcBorders>
            <w:vAlign w:val="center"/>
          </w:tcPr>
          <w:p w14:paraId="1BBD2A66"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24</w:t>
            </w:r>
          </w:p>
        </w:tc>
      </w:tr>
      <w:tr w:rsidR="00290021" w14:paraId="39F136AC" w14:textId="77777777" w:rsidTr="00887131">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61DFA8B5"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5819B8"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2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DF8C40"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½ </w:t>
            </w:r>
          </w:p>
        </w:tc>
        <w:tc>
          <w:tcPr>
            <w:tcW w:w="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143603" w14:textId="77777777" w:rsidR="00290021" w:rsidRDefault="00290021" w:rsidP="00887131">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c>
          <w:tcPr>
            <w:tcW w:w="622" w:type="dxa"/>
            <w:tcBorders>
              <w:top w:val="single" w:sz="8" w:space="0" w:color="000000"/>
              <w:left w:val="single" w:sz="8" w:space="0" w:color="000000"/>
              <w:bottom w:val="single" w:sz="8" w:space="0" w:color="000000"/>
              <w:right w:val="single" w:sz="8" w:space="0" w:color="000000"/>
            </w:tcBorders>
            <w:vAlign w:val="center"/>
          </w:tcPr>
          <w:p w14:paraId="7B68E4DB"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w:t>
            </w:r>
          </w:p>
        </w:tc>
        <w:tc>
          <w:tcPr>
            <w:tcW w:w="622" w:type="dxa"/>
            <w:tcBorders>
              <w:top w:val="single" w:sz="8" w:space="0" w:color="000000"/>
              <w:left w:val="single" w:sz="8" w:space="0" w:color="000000"/>
              <w:bottom w:val="single" w:sz="8" w:space="0" w:color="000000"/>
              <w:right w:val="single" w:sz="8" w:space="0" w:color="000000"/>
            </w:tcBorders>
            <w:vAlign w:val="center"/>
          </w:tcPr>
          <w:p w14:paraId="0220A89D"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w:t>
            </w:r>
          </w:p>
        </w:tc>
      </w:tr>
      <w:tr w:rsidR="00290021" w14:paraId="56F84BC8" w14:textId="77777777" w:rsidTr="00887131">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75CB41B2"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(7)</w:t>
            </w:r>
          </w:p>
        </w:tc>
        <w:tc>
          <w:tcPr>
            <w:tcW w:w="6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A43903"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29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2BD891"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(¼)</w:t>
            </w:r>
          </w:p>
        </w:tc>
        <w:tc>
          <w:tcPr>
            <w:tcW w:w="6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202086"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22" w:type="dxa"/>
            <w:tcBorders>
              <w:top w:val="single" w:sz="8" w:space="0" w:color="000000"/>
              <w:left w:val="single" w:sz="8" w:space="0" w:color="000000"/>
              <w:bottom w:val="single" w:sz="8" w:space="0" w:color="000000"/>
              <w:right w:val="single" w:sz="8" w:space="0" w:color="000000"/>
            </w:tcBorders>
            <w:vAlign w:val="center"/>
          </w:tcPr>
          <w:p w14:paraId="488C7318"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32</w:t>
            </w:r>
          </w:p>
        </w:tc>
        <w:tc>
          <w:tcPr>
            <w:tcW w:w="622" w:type="dxa"/>
            <w:tcBorders>
              <w:top w:val="single" w:sz="8" w:space="0" w:color="000000"/>
              <w:left w:val="single" w:sz="8" w:space="0" w:color="000000"/>
              <w:bottom w:val="single" w:sz="8" w:space="0" w:color="000000"/>
              <w:right w:val="single" w:sz="8" w:space="0" w:color="000000"/>
            </w:tcBorders>
            <w:vAlign w:val="center"/>
          </w:tcPr>
          <w:p w14:paraId="4F284552" w14:textId="77777777" w:rsidR="00290021" w:rsidRDefault="00290021" w:rsidP="00887131">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32</w:t>
            </w:r>
          </w:p>
        </w:tc>
      </w:tr>
    </w:tbl>
    <w:p w14:paraId="0601B5FE" w14:textId="395996EA" w:rsidR="00290021" w:rsidRDefault="00290021" w:rsidP="00435934"/>
    <w:p w14:paraId="3CFF640D" w14:textId="77777777" w:rsidR="00290021" w:rsidRDefault="00290021" w:rsidP="00435934"/>
    <w:p w14:paraId="5FB274DE" w14:textId="6CB09241" w:rsidR="00FB2144" w:rsidRDefault="00D26C18" w:rsidP="00435934">
      <w:r>
        <w:t xml:space="preserve">In </w:t>
      </w:r>
      <w:r w:rsidR="00307C05">
        <w:fldChar w:fldCharType="begin"/>
      </w:r>
      <w:r w:rsidR="00307C05">
        <w:instrText xml:space="preserve"> REF _Ref61889609 \h </w:instrText>
      </w:r>
      <w:r w:rsidR="00307C05">
        <w:fldChar w:fldCharType="separate"/>
      </w:r>
      <w:r w:rsidR="00307C05">
        <w:t xml:space="preserve">Figure </w:t>
      </w:r>
      <w:r w:rsidR="00307C05">
        <w:rPr>
          <w:noProof/>
        </w:rPr>
        <w:t>4</w:t>
      </w:r>
      <w:r w:rsidR="00307C05">
        <w:fldChar w:fldCharType="end"/>
      </w:r>
      <w:r w:rsidR="00307C05">
        <w:t xml:space="preserve"> and </w:t>
      </w:r>
      <w:r w:rsidR="00307C05">
        <w:fldChar w:fldCharType="begin"/>
      </w:r>
      <w:r w:rsidR="00307C05">
        <w:instrText xml:space="preserve"> REF _Ref61889627 \h </w:instrText>
      </w:r>
      <w:r w:rsidR="00307C05">
        <w:fldChar w:fldCharType="separate"/>
      </w:r>
      <w:r w:rsidR="00307C05">
        <w:t xml:space="preserve">Figure </w:t>
      </w:r>
      <w:r w:rsidR="00307C05">
        <w:rPr>
          <w:noProof/>
        </w:rPr>
        <w:t>5</w:t>
      </w:r>
      <w:r w:rsidR="00307C05">
        <w:fldChar w:fldCharType="end"/>
      </w:r>
      <w:r w:rsidR="002921EC">
        <w:t xml:space="preserve"> we </w:t>
      </w:r>
      <w:r w:rsidR="00724020">
        <w:t xml:space="preserve">evaluate different gNB implementations to estimate the dominant SD beams and FD components from the SRS UL channel measurement. In </w:t>
      </w:r>
      <w:r w:rsidR="00307C05">
        <w:fldChar w:fldCharType="begin"/>
      </w:r>
      <w:r w:rsidR="00307C05">
        <w:instrText xml:space="preserve"> REF _Ref61889609 \h </w:instrText>
      </w:r>
      <w:r w:rsidR="00307C05">
        <w:fldChar w:fldCharType="separate"/>
      </w:r>
      <w:r w:rsidR="00307C05">
        <w:t xml:space="preserve">Figure </w:t>
      </w:r>
      <w:r w:rsidR="00307C05">
        <w:rPr>
          <w:noProof/>
        </w:rPr>
        <w:t>4</w:t>
      </w:r>
      <w:r w:rsidR="00307C05">
        <w:fldChar w:fldCharType="end"/>
      </w:r>
      <w:r w:rsidR="00724020">
        <w:t xml:space="preserve"> the relative UPT gain is calculated without considering the CSI-RS overhead, whereas </w:t>
      </w:r>
      <w:r w:rsidR="00307C05">
        <w:fldChar w:fldCharType="begin"/>
      </w:r>
      <w:r w:rsidR="00307C05">
        <w:instrText xml:space="preserve"> REF _Ref61889627 \h </w:instrText>
      </w:r>
      <w:r w:rsidR="00307C05">
        <w:fldChar w:fldCharType="separate"/>
      </w:r>
      <w:r w:rsidR="00307C05">
        <w:t xml:space="preserve">Figure </w:t>
      </w:r>
      <w:r w:rsidR="00307C05">
        <w:rPr>
          <w:noProof/>
        </w:rPr>
        <w:t>5</w:t>
      </w:r>
      <w:r w:rsidR="00307C05">
        <w:fldChar w:fldCharType="end"/>
      </w:r>
      <w:r w:rsidR="00724020">
        <w:t xml:space="preserve"> includes the RS overhead in the throughout calculation for each slot.</w:t>
      </w:r>
      <w:r w:rsidR="00264081">
        <w:t xml:space="preserve"> For the determination of the SD beams we consider two schemes: grid-of-beams (GoB), whereby the spatial beams are pre-computed and can be based, for example, on DFT vectors, or optimised for coverage; e</w:t>
      </w:r>
      <w:r w:rsidR="009C6EDA">
        <w:t>igenvector-based beamforming (EBB), whereby the beamforming weight are calculated from the UL channel covariance matrix in the spatial dimension.</w:t>
      </w:r>
      <w:r w:rsidR="005900FE">
        <w:t xml:space="preserve"> For the determination of the precoding weights in the frequency domain, we consider three possible schemes: DFT-based, whereby the precoding vectors are pre-computed and chosen from a DFT codebook; eigenvector-based precoding (eig), whereby the precoding vectors are obtained from eigenvector decomposition of the UL channel covariance matrix in the frequency dimension; orthogonal matching pursuit (OMP), whereby the dominant delays are found sequentially through a sparse representation of the </w:t>
      </w:r>
      <w:r w:rsidR="000426F7">
        <w:t xml:space="preserve">channel </w:t>
      </w:r>
      <w:r w:rsidR="00FB2144">
        <w:t>measurement</w:t>
      </w:r>
      <w:r w:rsidR="000426F7">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4820"/>
      </w:tblGrid>
      <w:tr w:rsidR="000A6D4A" w14:paraId="731DA004" w14:textId="77777777" w:rsidTr="00DB30A4">
        <w:tc>
          <w:tcPr>
            <w:tcW w:w="2500" w:type="pct"/>
            <w:vAlign w:val="center"/>
          </w:tcPr>
          <w:p w14:paraId="1BE84D8E" w14:textId="77777777" w:rsidR="000A6D4A" w:rsidRDefault="000A6D4A" w:rsidP="000A6D4A">
            <w:pPr>
              <w:keepNext/>
              <w:jc w:val="center"/>
            </w:pPr>
            <w:r>
              <w:rPr>
                <w:noProof/>
              </w:rPr>
              <w:lastRenderedPageBreak/>
              <w:drawing>
                <wp:inline distT="0" distB="0" distL="0" distR="0" wp14:anchorId="5B447AE3" wp14:editId="0E5AA48B">
                  <wp:extent cx="2986551" cy="2241164"/>
                  <wp:effectExtent l="0" t="0" r="444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l17_variants.emf"/>
                          <pic:cNvPicPr/>
                        </pic:nvPicPr>
                        <pic:blipFill>
                          <a:blip r:embed="rId20">
                            <a:extLst>
                              <a:ext uri="{28A0092B-C50C-407E-A947-70E740481C1C}">
                                <a14:useLocalDpi xmlns:a14="http://schemas.microsoft.com/office/drawing/2010/main" val="0"/>
                              </a:ext>
                            </a:extLst>
                          </a:blip>
                          <a:stretch>
                            <a:fillRect/>
                          </a:stretch>
                        </pic:blipFill>
                        <pic:spPr>
                          <a:xfrm>
                            <a:off x="0" y="0"/>
                            <a:ext cx="2986551" cy="2241164"/>
                          </a:xfrm>
                          <a:prstGeom prst="rect">
                            <a:avLst/>
                          </a:prstGeom>
                        </pic:spPr>
                      </pic:pic>
                    </a:graphicData>
                  </a:graphic>
                </wp:inline>
              </w:drawing>
            </w:r>
          </w:p>
          <w:p w14:paraId="3800D2AC" w14:textId="2CF61C59" w:rsidR="000A6D4A" w:rsidRDefault="000A6D4A" w:rsidP="000A6D4A">
            <w:pPr>
              <w:pStyle w:val="Caption"/>
              <w:jc w:val="center"/>
            </w:pPr>
            <w:bookmarkStart w:id="18" w:name="_Ref61889609"/>
            <w:r>
              <w:t xml:space="preserve">Figure </w:t>
            </w:r>
            <w:r>
              <w:fldChar w:fldCharType="begin"/>
            </w:r>
            <w:r>
              <w:instrText xml:space="preserve"> SEQ Figure \* ARABIC </w:instrText>
            </w:r>
            <w:r>
              <w:fldChar w:fldCharType="separate"/>
            </w:r>
            <w:r w:rsidR="00F920C2">
              <w:rPr>
                <w:noProof/>
              </w:rPr>
              <w:t>4</w:t>
            </w:r>
            <w:r>
              <w:fldChar w:fldCharType="end"/>
            </w:r>
            <w:bookmarkEnd w:id="18"/>
            <w:r>
              <w:t>. Comparison between different gNB implementations to estimate the dominant SD beams and FD components from the SRS UL channel measurement. CSI-RS overhead is not included in the throughput calculation.</w:t>
            </w:r>
          </w:p>
        </w:tc>
        <w:tc>
          <w:tcPr>
            <w:tcW w:w="2500" w:type="pct"/>
            <w:vAlign w:val="center"/>
          </w:tcPr>
          <w:p w14:paraId="5DDC8DAD" w14:textId="77777777" w:rsidR="000A6D4A" w:rsidRDefault="000A6D4A" w:rsidP="000A6D4A">
            <w:pPr>
              <w:keepNext/>
              <w:jc w:val="center"/>
            </w:pPr>
            <w:r>
              <w:rPr>
                <w:noProof/>
              </w:rPr>
              <w:drawing>
                <wp:inline distT="0" distB="0" distL="0" distR="0" wp14:anchorId="70DBFC82" wp14:editId="7E919B24">
                  <wp:extent cx="2967931" cy="2227191"/>
                  <wp:effectExtent l="0" t="0" r="444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l17_variants_CSIRSOH.emf"/>
                          <pic:cNvPicPr/>
                        </pic:nvPicPr>
                        <pic:blipFill>
                          <a:blip r:embed="rId21">
                            <a:extLst>
                              <a:ext uri="{28A0092B-C50C-407E-A947-70E740481C1C}">
                                <a14:useLocalDpi xmlns:a14="http://schemas.microsoft.com/office/drawing/2010/main" val="0"/>
                              </a:ext>
                            </a:extLst>
                          </a:blip>
                          <a:stretch>
                            <a:fillRect/>
                          </a:stretch>
                        </pic:blipFill>
                        <pic:spPr>
                          <a:xfrm>
                            <a:off x="0" y="0"/>
                            <a:ext cx="2967931" cy="2227191"/>
                          </a:xfrm>
                          <a:prstGeom prst="rect">
                            <a:avLst/>
                          </a:prstGeom>
                        </pic:spPr>
                      </pic:pic>
                    </a:graphicData>
                  </a:graphic>
                </wp:inline>
              </w:drawing>
            </w:r>
          </w:p>
          <w:p w14:paraId="129ED9FE" w14:textId="1376C5CF" w:rsidR="000A6D4A" w:rsidRDefault="000A6D4A" w:rsidP="000A6D4A">
            <w:pPr>
              <w:pStyle w:val="Caption"/>
              <w:jc w:val="center"/>
            </w:pPr>
            <w:bookmarkStart w:id="19" w:name="_Ref61889627"/>
            <w:r>
              <w:t xml:space="preserve">Figure </w:t>
            </w:r>
            <w:r>
              <w:fldChar w:fldCharType="begin"/>
            </w:r>
            <w:r>
              <w:instrText xml:space="preserve"> SEQ Figure \* ARABIC </w:instrText>
            </w:r>
            <w:r>
              <w:fldChar w:fldCharType="separate"/>
            </w:r>
            <w:r w:rsidR="00F920C2">
              <w:rPr>
                <w:noProof/>
              </w:rPr>
              <w:t>5</w:t>
            </w:r>
            <w:r>
              <w:fldChar w:fldCharType="end"/>
            </w:r>
            <w:bookmarkEnd w:id="19"/>
            <w:r>
              <w:t>. Comparison between different gNB implementations to estimate the dominant SD beams and FD components from the SRS UL channel measurement. CSI-RS overhead is included in the throughput calculation</w:t>
            </w:r>
          </w:p>
        </w:tc>
      </w:tr>
    </w:tbl>
    <w:p w14:paraId="7E810C7D" w14:textId="5D683F2E" w:rsidR="00452E38" w:rsidRDefault="00452E38" w:rsidP="00435934"/>
    <w:p w14:paraId="7C0F4F67" w14:textId="45D35DA4" w:rsidR="00762196" w:rsidRDefault="00FB2144" w:rsidP="00435934">
      <w:r>
        <w:t xml:space="preserve">In </w:t>
      </w:r>
      <w:r w:rsidR="001C06E0">
        <w:fldChar w:fldCharType="begin"/>
      </w:r>
      <w:r w:rsidR="001C06E0">
        <w:instrText xml:space="preserve"> REF _Ref61890508 \h </w:instrText>
      </w:r>
      <w:r w:rsidR="001C06E0">
        <w:fldChar w:fldCharType="separate"/>
      </w:r>
      <w:r w:rsidR="001C06E0">
        <w:t xml:space="preserve">Figure </w:t>
      </w:r>
      <w:r w:rsidR="001C06E0">
        <w:rPr>
          <w:noProof/>
        </w:rPr>
        <w:t>6</w:t>
      </w:r>
      <w:r w:rsidR="001C06E0">
        <w:fldChar w:fldCharType="end"/>
      </w:r>
      <w:r w:rsidR="001C06E0">
        <w:t xml:space="preserve"> and </w:t>
      </w:r>
      <w:r w:rsidR="001C06E0">
        <w:fldChar w:fldCharType="begin"/>
      </w:r>
      <w:r w:rsidR="001C06E0">
        <w:instrText xml:space="preserve"> REF _Ref61890510 \h </w:instrText>
      </w:r>
      <w:r w:rsidR="001C06E0">
        <w:fldChar w:fldCharType="separate"/>
      </w:r>
      <w:r w:rsidR="001C06E0">
        <w:t xml:space="preserve">Figure </w:t>
      </w:r>
      <w:r w:rsidR="001C06E0">
        <w:rPr>
          <w:noProof/>
        </w:rPr>
        <w:t>7</w:t>
      </w:r>
      <w:r w:rsidR="001C06E0">
        <w:fldChar w:fldCharType="end"/>
      </w:r>
      <w:r w:rsidR="001106F1">
        <w:t xml:space="preserve"> we evaluate the ef</w:t>
      </w:r>
      <w:r w:rsidR="006C71F2">
        <w:t xml:space="preserve">fect of Alt 0 on the performance-overhead trade-off. In Alt 0,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006C71F2">
        <w:t xml:space="preserve"> is an identity matrix, </w:t>
      </w:r>
      <w:r w:rsidR="006C71F2" w:rsidRPr="006C71F2">
        <w:rPr>
          <w:i/>
          <w:iCs/>
        </w:rPr>
        <w:t>i.e.</w:t>
      </w:r>
      <w:r w:rsidR="006C71F2">
        <w:t xml:space="preserve">, the only selection done by a UE </w:t>
      </w:r>
      <w:r w:rsidR="006D14B3">
        <w:t xml:space="preserve">is </w:t>
      </w:r>
      <w:r w:rsidR="006C71F2">
        <w:t xml:space="preserve">through the bitmap of nonzero coefficients. </w:t>
      </w:r>
      <w:r w:rsidR="006D14B3">
        <w:t xml:space="preserve">We compare two cases: </w:t>
      </w:r>
      <w:r w:rsidR="001C06E0">
        <w:t>UE-side port selection,</w:t>
      </w:r>
      <w:r w:rsidR="006D14B3">
        <w:t xml:space="preserve"> in which the UE selects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6D14B3">
        <w:t xml:space="preserve"> from </w:t>
      </w:r>
      <m:oMath>
        <m:r>
          <w:rPr>
            <w:rFonts w:ascii="Cambria Math" w:hAnsi="Cambria Math"/>
          </w:rPr>
          <m:t>2LM</m:t>
        </m:r>
      </m:oMath>
      <w:r w:rsidR="006D14B3">
        <w:t xml:space="preserve"> ports precoded by the gNB and </w:t>
      </w:r>
      <w:r w:rsidR="001C06E0">
        <w:t>gNB-side port selection,</w:t>
      </w:r>
      <w:r w:rsidR="006D14B3">
        <w:t xml:space="preserve"> in which the gNB does the selection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6D14B3">
        <w:t xml:space="preserve"> ports and the UE reports coefficients for all configured ports. The rightmost point coincides for the two cases, because it corresponds to </w:t>
      </w:r>
      <m:oMath>
        <m:r>
          <w:rPr>
            <w:rFonts w:ascii="Cambria Math" w:hAnsi="Cambria Math"/>
          </w:rPr>
          <m:t>β=1</m:t>
        </m:r>
      </m:oMath>
      <w:r w:rsidR="006D14B3">
        <w:t xml:space="preserve">, </w:t>
      </w:r>
      <w:r w:rsidR="006D14B3" w:rsidRPr="006D14B3">
        <w:rPr>
          <w:i/>
          <w:iCs/>
        </w:rPr>
        <w:t>i.e.</w:t>
      </w:r>
      <w:r w:rsidR="006D14B3">
        <w:t>, a UE is configured to report all coefficients</w:t>
      </w:r>
      <w:r w:rsidR="00CC1287">
        <w:t xml:space="preserve"> corresponding to the </w:t>
      </w:r>
      <m:oMath>
        <m:r>
          <w:rPr>
            <w:rFonts w:ascii="Cambria Math" w:hAnsi="Cambria Math"/>
          </w:rPr>
          <m:t>2LM</m:t>
        </m:r>
      </m:oMath>
      <w:r w:rsidR="00CC1287">
        <w:t xml:space="preserve"> ports</w:t>
      </w:r>
      <w:r w:rsidR="00762196">
        <w:t xml:space="preserve">. In </w:t>
      </w:r>
      <w:r w:rsidR="001C06E0">
        <w:fldChar w:fldCharType="begin"/>
      </w:r>
      <w:r w:rsidR="001C06E0">
        <w:instrText xml:space="preserve"> REF _Ref61890508 \h </w:instrText>
      </w:r>
      <w:r w:rsidR="001C06E0">
        <w:fldChar w:fldCharType="separate"/>
      </w:r>
      <w:r w:rsidR="001C06E0">
        <w:t xml:space="preserve">Figure </w:t>
      </w:r>
      <w:r w:rsidR="001C06E0">
        <w:rPr>
          <w:noProof/>
        </w:rPr>
        <w:t>6</w:t>
      </w:r>
      <w:r w:rsidR="001C06E0">
        <w:fldChar w:fldCharType="end"/>
      </w:r>
      <w:r w:rsidR="001C06E0">
        <w:t>,</w:t>
      </w:r>
      <w:r w:rsidR="00762196">
        <w:t xml:space="preserve"> we note that UE-side port selection achieves better performance with larger feedback overhead due to the larger bitmap size. However, when taking the CSI-RS overhead in consideration,</w:t>
      </w:r>
      <w:r w:rsidR="001C06E0">
        <w:t xml:space="preserve"> in </w:t>
      </w:r>
      <w:r w:rsidR="001C06E0">
        <w:fldChar w:fldCharType="begin"/>
      </w:r>
      <w:r w:rsidR="001C06E0">
        <w:instrText xml:space="preserve"> REF _Ref61890510 \h </w:instrText>
      </w:r>
      <w:r w:rsidR="001C06E0">
        <w:fldChar w:fldCharType="separate"/>
      </w:r>
      <w:r w:rsidR="001C06E0">
        <w:t xml:space="preserve">Figure </w:t>
      </w:r>
      <w:r w:rsidR="001C06E0">
        <w:rPr>
          <w:noProof/>
        </w:rPr>
        <w:t>7</w:t>
      </w:r>
      <w:r w:rsidR="001C06E0">
        <w:fldChar w:fldCharType="end"/>
      </w:r>
      <w:r w:rsidR="001C06E0">
        <w:t>,</w:t>
      </w:r>
      <w:r w:rsidR="00762196">
        <w:t xml:space="preserve"> the two schemes show similar performance. For reference, we plot the performance of these two schemes under the assumption of perfect UL-DL channel reciprocity. In this case performance of the two schemes is virtually the same but gNB-side selection achieves a significantly lower UL overhead.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5"/>
      </w:tblGrid>
      <w:tr w:rsidR="008F101B" w14:paraId="40A6C4CB" w14:textId="77777777" w:rsidTr="001C3DEF">
        <w:tc>
          <w:tcPr>
            <w:tcW w:w="4814" w:type="dxa"/>
            <w:vAlign w:val="center"/>
          </w:tcPr>
          <w:p w14:paraId="5A4A2175" w14:textId="77777777" w:rsidR="00253502" w:rsidRDefault="00253502" w:rsidP="00253502">
            <w:pPr>
              <w:keepNext/>
              <w:jc w:val="center"/>
            </w:pPr>
            <w:r>
              <w:rPr>
                <w:noProof/>
              </w:rPr>
              <w:drawing>
                <wp:inline distT="0" distB="0" distL="0" distR="0" wp14:anchorId="642D6968" wp14:editId="5270ED38">
                  <wp:extent cx="2978604" cy="2235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NBPS_PR0_PR1.emf"/>
                          <pic:cNvPicPr/>
                        </pic:nvPicPr>
                        <pic:blipFill>
                          <a:blip r:embed="rId22">
                            <a:extLst>
                              <a:ext uri="{28A0092B-C50C-407E-A947-70E740481C1C}">
                                <a14:useLocalDpi xmlns:a14="http://schemas.microsoft.com/office/drawing/2010/main" val="0"/>
                              </a:ext>
                            </a:extLst>
                          </a:blip>
                          <a:stretch>
                            <a:fillRect/>
                          </a:stretch>
                        </pic:blipFill>
                        <pic:spPr>
                          <a:xfrm>
                            <a:off x="0" y="0"/>
                            <a:ext cx="2988914" cy="2242936"/>
                          </a:xfrm>
                          <a:prstGeom prst="rect">
                            <a:avLst/>
                          </a:prstGeom>
                        </pic:spPr>
                      </pic:pic>
                    </a:graphicData>
                  </a:graphic>
                </wp:inline>
              </w:drawing>
            </w:r>
          </w:p>
          <w:p w14:paraId="1954A3AF" w14:textId="66D5A837" w:rsidR="008F101B" w:rsidRDefault="00253502" w:rsidP="00253502">
            <w:pPr>
              <w:pStyle w:val="Caption"/>
              <w:jc w:val="center"/>
            </w:pPr>
            <w:bookmarkStart w:id="20" w:name="_Ref61890508"/>
            <w:r>
              <w:t xml:space="preserve">Figure </w:t>
            </w:r>
            <w:r>
              <w:fldChar w:fldCharType="begin"/>
            </w:r>
            <w:r>
              <w:instrText xml:space="preserve"> SEQ Figure \* ARABIC </w:instrText>
            </w:r>
            <w:r>
              <w:fldChar w:fldCharType="separate"/>
            </w:r>
            <w:r w:rsidR="00F920C2">
              <w:rPr>
                <w:noProof/>
              </w:rPr>
              <w:t>6</w:t>
            </w:r>
            <w:r>
              <w:fldChar w:fldCharType="end"/>
            </w:r>
            <w:bookmarkEnd w:id="20"/>
            <w:r>
              <w:t xml:space="preserve">. </w:t>
            </w:r>
            <w:r w:rsidR="001C06E0">
              <w:t>Comparison between gNB-side port selection (Alt 0) and UE-side port selection. CSI-RS overhead is not included in the throughput calculation.</w:t>
            </w:r>
          </w:p>
        </w:tc>
        <w:tc>
          <w:tcPr>
            <w:tcW w:w="4815" w:type="dxa"/>
            <w:vAlign w:val="center"/>
          </w:tcPr>
          <w:p w14:paraId="23060CF3" w14:textId="77777777" w:rsidR="00253502" w:rsidRDefault="00253502" w:rsidP="00253502">
            <w:pPr>
              <w:keepNext/>
              <w:jc w:val="center"/>
            </w:pPr>
            <w:r>
              <w:rPr>
                <w:noProof/>
              </w:rPr>
              <w:drawing>
                <wp:inline distT="0" distB="0" distL="0" distR="0" wp14:anchorId="26DBF98A" wp14:editId="5AC53606">
                  <wp:extent cx="2967355" cy="2226645"/>
                  <wp:effectExtent l="0" t="0" r="4445"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NBPS_PR0_PR1_CSIRSOH.emf"/>
                          <pic:cNvPicPr/>
                        </pic:nvPicPr>
                        <pic:blipFill>
                          <a:blip r:embed="rId23">
                            <a:extLst>
                              <a:ext uri="{28A0092B-C50C-407E-A947-70E740481C1C}">
                                <a14:useLocalDpi xmlns:a14="http://schemas.microsoft.com/office/drawing/2010/main" val="0"/>
                              </a:ext>
                            </a:extLst>
                          </a:blip>
                          <a:stretch>
                            <a:fillRect/>
                          </a:stretch>
                        </pic:blipFill>
                        <pic:spPr>
                          <a:xfrm>
                            <a:off x="0" y="0"/>
                            <a:ext cx="2969141" cy="2227985"/>
                          </a:xfrm>
                          <a:prstGeom prst="rect">
                            <a:avLst/>
                          </a:prstGeom>
                        </pic:spPr>
                      </pic:pic>
                    </a:graphicData>
                  </a:graphic>
                </wp:inline>
              </w:drawing>
            </w:r>
          </w:p>
          <w:p w14:paraId="5F1841F2" w14:textId="0D606E23" w:rsidR="008F101B" w:rsidRDefault="00253502" w:rsidP="00253502">
            <w:pPr>
              <w:pStyle w:val="Caption"/>
              <w:jc w:val="center"/>
            </w:pPr>
            <w:bookmarkStart w:id="21" w:name="_Ref61890510"/>
            <w:r>
              <w:t xml:space="preserve">Figure </w:t>
            </w:r>
            <w:r>
              <w:fldChar w:fldCharType="begin"/>
            </w:r>
            <w:r>
              <w:instrText xml:space="preserve"> SEQ Figure \* ARABIC </w:instrText>
            </w:r>
            <w:r>
              <w:fldChar w:fldCharType="separate"/>
            </w:r>
            <w:r w:rsidR="00F920C2">
              <w:rPr>
                <w:noProof/>
              </w:rPr>
              <w:t>7</w:t>
            </w:r>
            <w:r>
              <w:fldChar w:fldCharType="end"/>
            </w:r>
            <w:bookmarkEnd w:id="21"/>
            <w:r>
              <w:t xml:space="preserve">. </w:t>
            </w:r>
            <w:r w:rsidR="001C06E0">
              <w:t>Comparison between gNB-side port selection (Alt 0) and UE-side port selection. CSI-RS overhead is included in the throughput calculation.</w:t>
            </w:r>
          </w:p>
        </w:tc>
      </w:tr>
    </w:tbl>
    <w:p w14:paraId="71C43BDC" w14:textId="77777777" w:rsidR="00307C05" w:rsidRDefault="00307C05" w:rsidP="00435934"/>
    <w:p w14:paraId="221AFB14" w14:textId="333F7679" w:rsidR="00D26C18" w:rsidRDefault="00762196" w:rsidP="00435934">
      <w:r>
        <w:t xml:space="preserve">In </w:t>
      </w:r>
      <w:r w:rsidR="00965C3C">
        <w:fldChar w:fldCharType="begin"/>
      </w:r>
      <w:r w:rsidR="00965C3C">
        <w:instrText xml:space="preserve"> REF _Ref61891425 \h </w:instrText>
      </w:r>
      <w:r w:rsidR="00965C3C">
        <w:fldChar w:fldCharType="separate"/>
      </w:r>
      <w:r w:rsidR="00965C3C">
        <w:t xml:space="preserve">Figure </w:t>
      </w:r>
      <w:r w:rsidR="00965C3C">
        <w:rPr>
          <w:noProof/>
        </w:rPr>
        <w:t>8</w:t>
      </w:r>
      <w:r w:rsidR="00965C3C">
        <w:fldChar w:fldCharType="end"/>
      </w:r>
      <w:r w:rsidR="00965C3C">
        <w:t xml:space="preserve"> and </w:t>
      </w:r>
      <w:r w:rsidR="00965C3C">
        <w:fldChar w:fldCharType="begin"/>
      </w:r>
      <w:r w:rsidR="00965C3C">
        <w:instrText xml:space="preserve"> REF _Ref61891428 \h </w:instrText>
      </w:r>
      <w:r w:rsidR="00965C3C">
        <w:fldChar w:fldCharType="separate"/>
      </w:r>
      <w:r w:rsidR="00965C3C">
        <w:t xml:space="preserve">Figure </w:t>
      </w:r>
      <w:r w:rsidR="00965C3C">
        <w:rPr>
          <w:noProof/>
        </w:rPr>
        <w:t>9</w:t>
      </w:r>
      <w:r w:rsidR="00965C3C">
        <w:fldChar w:fldCharType="end"/>
      </w:r>
      <w:r>
        <w:t xml:space="preserve"> </w:t>
      </w:r>
      <w:r w:rsidR="00B834DD">
        <w:t xml:space="preserve">we compare </w:t>
      </w:r>
      <w:r w:rsidR="00B321BE">
        <w:t xml:space="preserve">schemes with many-to-one mapping of SD-FD pairs to ports against a scheme mapping single SD-FD pairs to ports. We use the notation </w:t>
      </w:r>
      <m:oMath>
        <m:r>
          <w:rPr>
            <w:rFonts w:ascii="Cambria Math" w:hAnsi="Cambria Math"/>
          </w:rPr>
          <m:t>(R,</m:t>
        </m:r>
        <m:sSub>
          <m:sSubPr>
            <m:ctrlPr>
              <w:rPr>
                <w:rFonts w:ascii="Cambria Math" w:hAnsi="Cambria Math"/>
                <w:i/>
              </w:rPr>
            </m:ctrlPr>
          </m:sSubPr>
          <m:e>
            <m:r>
              <w:rPr>
                <w:rFonts w:ascii="Cambria Math" w:hAnsi="Cambria Math"/>
              </w:rPr>
              <m:t>O</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f</m:t>
            </m:r>
          </m:sub>
        </m:sSub>
        <m:r>
          <w:rPr>
            <w:rFonts w:ascii="Cambria Math" w:hAnsi="Cambria Math"/>
          </w:rPr>
          <m:t>)</m:t>
        </m:r>
      </m:oMath>
      <w:r w:rsidR="00B321BE">
        <w:t xml:space="preserve"> to indicate</w:t>
      </w:r>
      <w:r w:rsidR="0004700D">
        <w:t>, respectively,</w:t>
      </w:r>
      <w:r w:rsidR="00B321BE">
        <w:t xml:space="preserve"> the number of PMI subbands per CQI subband, </w:t>
      </w:r>
      <m:oMath>
        <m:r>
          <w:rPr>
            <w:rFonts w:ascii="Cambria Math" w:hAnsi="Cambria Math"/>
          </w:rPr>
          <m:t>R</m:t>
        </m:r>
      </m:oMath>
      <w:r w:rsidR="00B321BE">
        <w:t xml:space="preserve">, the number of SD-FD pairs mapped in a single port, </w:t>
      </w:r>
      <m:oMath>
        <m:sSub>
          <m:sSubPr>
            <m:ctrlPr>
              <w:rPr>
                <w:rFonts w:ascii="Cambria Math" w:hAnsi="Cambria Math"/>
                <w:i/>
              </w:rPr>
            </m:ctrlPr>
          </m:sSubPr>
          <m:e>
            <m:r>
              <w:rPr>
                <w:rFonts w:ascii="Cambria Math" w:hAnsi="Cambria Math"/>
              </w:rPr>
              <m:t>O</m:t>
            </m:r>
          </m:e>
          <m:sub>
            <m:r>
              <w:rPr>
                <w:rFonts w:ascii="Cambria Math" w:hAnsi="Cambria Math"/>
              </w:rPr>
              <m:t>f</m:t>
            </m:r>
          </m:sub>
        </m:sSub>
      </m:oMath>
      <w:r w:rsidR="00B321BE">
        <w:t xml:space="preserve">, and the number of SD-FD pair </w:t>
      </w:r>
      <w:r w:rsidR="00B321BE">
        <w:lastRenderedPageBreak/>
        <w:t xml:space="preserve">repetitions within a CQI subband, </w:t>
      </w:r>
      <m:oMath>
        <m:sSub>
          <m:sSubPr>
            <m:ctrlPr>
              <w:rPr>
                <w:rFonts w:ascii="Cambria Math" w:hAnsi="Cambria Math"/>
                <w:i/>
              </w:rPr>
            </m:ctrlPr>
          </m:sSubPr>
          <m:e>
            <m:r>
              <w:rPr>
                <w:rFonts w:ascii="Cambria Math" w:hAnsi="Cambria Math"/>
              </w:rPr>
              <m:t>O</m:t>
            </m:r>
          </m:e>
          <m:sub>
            <m:r>
              <w:rPr>
                <w:rFonts w:ascii="Cambria Math" w:hAnsi="Cambria Math"/>
              </w:rPr>
              <m:t>R</m:t>
            </m:r>
          </m:sub>
        </m:sSub>
      </m:oMath>
      <w:r w:rsidR="00B321BE">
        <w:t xml:space="preserve">. Note that, say </w:t>
      </w: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SB</m:t>
            </m:r>
          </m:sup>
        </m:sSubSup>
      </m:oMath>
      <w:r w:rsidR="00B321BE">
        <w:t xml:space="preserve"> subband size in number of PRBs, </w:t>
      </w:r>
      <w:r w:rsidR="007B6ED5">
        <w:t xml:space="preserve">the following relationship holds between the three parameters: </w:t>
      </w: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SB</m:t>
            </m:r>
          </m:sup>
        </m:sSubSup>
        <m:r>
          <w:rPr>
            <w:rFonts w:ascii="Cambria Math" w:hAnsi="Cambria Math"/>
          </w:rPr>
          <m:t>=R</m:t>
        </m:r>
        <m:sSub>
          <m:sSubPr>
            <m:ctrlPr>
              <w:rPr>
                <w:rFonts w:ascii="Cambria Math" w:hAnsi="Cambria Math"/>
                <w:i/>
              </w:rPr>
            </m:ctrlPr>
          </m:sSubPr>
          <m:e>
            <m:r>
              <w:rPr>
                <w:rFonts w:ascii="Cambria Math" w:hAnsi="Cambria Math"/>
              </w:rPr>
              <m:t>O</m:t>
            </m:r>
          </m:e>
          <m:sub>
            <m:r>
              <w:rPr>
                <w:rFonts w:ascii="Cambria Math" w:hAnsi="Cambria Math"/>
              </w:rPr>
              <m:t>R</m:t>
            </m:r>
          </m:sub>
        </m:sSub>
        <m:sSub>
          <m:sSubPr>
            <m:ctrlPr>
              <w:rPr>
                <w:rFonts w:ascii="Cambria Math" w:hAnsi="Cambria Math"/>
                <w:i/>
              </w:rPr>
            </m:ctrlPr>
          </m:sSubPr>
          <m:e>
            <m:r>
              <w:rPr>
                <w:rFonts w:ascii="Cambria Math" w:hAnsi="Cambria Math"/>
              </w:rPr>
              <m:t>O</m:t>
            </m:r>
          </m:e>
          <m:sub>
            <m:r>
              <w:rPr>
                <w:rFonts w:ascii="Cambria Math" w:hAnsi="Cambria Math"/>
              </w:rPr>
              <m:t>f</m:t>
            </m:r>
          </m:sub>
        </m:sSub>
      </m:oMath>
      <w:r w:rsidR="007B6ED5">
        <w:t>.</w:t>
      </w:r>
      <w:r w:rsidR="0004700D">
        <w:t xml:space="preserve"> In these results, </w:t>
      </w: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SB</m:t>
            </m:r>
          </m:sup>
        </m:sSubSup>
        <m:r>
          <w:rPr>
            <w:rFonts w:ascii="Cambria Math" w:hAnsi="Cambria Math"/>
          </w:rPr>
          <m:t>=8</m:t>
        </m:r>
      </m:oMath>
      <w:r w:rsidR="0004700D">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5"/>
      </w:tblGrid>
      <w:tr w:rsidR="00611D9D" w14:paraId="261E239A" w14:textId="77777777" w:rsidTr="00965C3C">
        <w:tc>
          <w:tcPr>
            <w:tcW w:w="4814" w:type="dxa"/>
            <w:vAlign w:val="center"/>
          </w:tcPr>
          <w:p w14:paraId="2D41F4AC" w14:textId="77777777" w:rsidR="007C0603" w:rsidRDefault="007C0603" w:rsidP="007C0603">
            <w:pPr>
              <w:keepNext/>
              <w:jc w:val="center"/>
            </w:pPr>
            <w:r>
              <w:rPr>
                <w:noProof/>
              </w:rPr>
              <w:drawing>
                <wp:inline distT="0" distB="0" distL="0" distR="0" wp14:anchorId="13D441FC" wp14:editId="3816F260">
                  <wp:extent cx="2919730" cy="2190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iffR.emf"/>
                          <pic:cNvPicPr/>
                        </pic:nvPicPr>
                        <pic:blipFill>
                          <a:blip r:embed="rId24">
                            <a:extLst>
                              <a:ext uri="{28A0092B-C50C-407E-A947-70E740481C1C}">
                                <a14:useLocalDpi xmlns:a14="http://schemas.microsoft.com/office/drawing/2010/main" val="0"/>
                              </a:ext>
                            </a:extLst>
                          </a:blip>
                          <a:stretch>
                            <a:fillRect/>
                          </a:stretch>
                        </pic:blipFill>
                        <pic:spPr>
                          <a:xfrm>
                            <a:off x="0" y="0"/>
                            <a:ext cx="2919730" cy="2190750"/>
                          </a:xfrm>
                          <a:prstGeom prst="rect">
                            <a:avLst/>
                          </a:prstGeom>
                        </pic:spPr>
                      </pic:pic>
                    </a:graphicData>
                  </a:graphic>
                </wp:inline>
              </w:drawing>
            </w:r>
          </w:p>
          <w:p w14:paraId="2DF54B1E" w14:textId="2CC56B53" w:rsidR="00611D9D" w:rsidRDefault="007C0603" w:rsidP="007C0603">
            <w:pPr>
              <w:pStyle w:val="Caption"/>
              <w:jc w:val="center"/>
            </w:pPr>
            <w:bookmarkStart w:id="22" w:name="_Ref61891425"/>
            <w:r>
              <w:t xml:space="preserve">Figure </w:t>
            </w:r>
            <w:r>
              <w:fldChar w:fldCharType="begin"/>
            </w:r>
            <w:r>
              <w:instrText xml:space="preserve"> SEQ Figure \* ARABIC </w:instrText>
            </w:r>
            <w:r>
              <w:fldChar w:fldCharType="separate"/>
            </w:r>
            <w:r w:rsidR="00F920C2">
              <w:rPr>
                <w:noProof/>
              </w:rPr>
              <w:t>8</w:t>
            </w:r>
            <w:r>
              <w:fldChar w:fldCharType="end"/>
            </w:r>
            <w:bookmarkEnd w:id="22"/>
            <w:r>
              <w:t>. Comparison between many-to-one (</w:t>
            </w:r>
            <m:oMath>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f</m:t>
                  </m:r>
                </m:sub>
              </m:sSub>
              <m:r>
                <m:rPr>
                  <m:sty m:val="bi"/>
                </m:rPr>
                <w:rPr>
                  <w:rFonts w:ascii="Cambria Math" w:hAnsi="Cambria Math"/>
                </w:rPr>
                <m:t>&gt;1</m:t>
              </m:r>
            </m:oMath>
            <w:r>
              <w:t>) and one-to-one (</w:t>
            </w:r>
            <m:oMath>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f</m:t>
                  </m:r>
                </m:sub>
              </m:sSub>
              <m:r>
                <m:rPr>
                  <m:sty m:val="bi"/>
                </m:rPr>
                <w:rPr>
                  <w:rFonts w:ascii="Cambria Math" w:hAnsi="Cambria Math"/>
                </w:rPr>
                <m:t>=1</m:t>
              </m:r>
            </m:oMath>
            <w:r>
              <w:t>) mapping of SD-FD pairs to CSI-RS ports. CSI-RS overhead is not included in the throughput calculation.</w:t>
            </w:r>
          </w:p>
        </w:tc>
        <w:tc>
          <w:tcPr>
            <w:tcW w:w="4815" w:type="dxa"/>
            <w:vAlign w:val="center"/>
          </w:tcPr>
          <w:p w14:paraId="52A7805A" w14:textId="77777777" w:rsidR="007C0603" w:rsidRDefault="007C0603" w:rsidP="007C0603">
            <w:pPr>
              <w:keepNext/>
              <w:jc w:val="center"/>
            </w:pPr>
            <w:r>
              <w:rPr>
                <w:noProof/>
              </w:rPr>
              <w:drawing>
                <wp:inline distT="0" distB="0" distL="0" distR="0" wp14:anchorId="0D999A6A" wp14:editId="0BCA7966">
                  <wp:extent cx="2920216" cy="21913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iffR_CSIRSOH.emf"/>
                          <pic:cNvPicPr/>
                        </pic:nvPicPr>
                        <pic:blipFill>
                          <a:blip r:embed="rId25">
                            <a:extLst>
                              <a:ext uri="{28A0092B-C50C-407E-A947-70E740481C1C}">
                                <a14:useLocalDpi xmlns:a14="http://schemas.microsoft.com/office/drawing/2010/main" val="0"/>
                              </a:ext>
                            </a:extLst>
                          </a:blip>
                          <a:stretch>
                            <a:fillRect/>
                          </a:stretch>
                        </pic:blipFill>
                        <pic:spPr>
                          <a:xfrm>
                            <a:off x="0" y="0"/>
                            <a:ext cx="2920216" cy="2191385"/>
                          </a:xfrm>
                          <a:prstGeom prst="rect">
                            <a:avLst/>
                          </a:prstGeom>
                        </pic:spPr>
                      </pic:pic>
                    </a:graphicData>
                  </a:graphic>
                </wp:inline>
              </w:drawing>
            </w:r>
          </w:p>
          <w:p w14:paraId="364F9544" w14:textId="25E6EDF7" w:rsidR="00611D9D" w:rsidRDefault="007C0603" w:rsidP="007C0603">
            <w:pPr>
              <w:pStyle w:val="Caption"/>
              <w:jc w:val="center"/>
            </w:pPr>
            <w:bookmarkStart w:id="23" w:name="_Ref61891428"/>
            <w:r>
              <w:t xml:space="preserve">Figure </w:t>
            </w:r>
            <w:r>
              <w:fldChar w:fldCharType="begin"/>
            </w:r>
            <w:r>
              <w:instrText xml:space="preserve"> SEQ Figure \* ARABIC </w:instrText>
            </w:r>
            <w:r>
              <w:fldChar w:fldCharType="separate"/>
            </w:r>
            <w:r w:rsidR="00F920C2">
              <w:rPr>
                <w:noProof/>
              </w:rPr>
              <w:t>9</w:t>
            </w:r>
            <w:r>
              <w:fldChar w:fldCharType="end"/>
            </w:r>
            <w:bookmarkEnd w:id="23"/>
            <w:r>
              <w:t>. Comparison between many-to-one (</w:t>
            </w:r>
            <m:oMath>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f</m:t>
                  </m:r>
                </m:sub>
              </m:sSub>
              <m:r>
                <m:rPr>
                  <m:sty m:val="bi"/>
                </m:rPr>
                <w:rPr>
                  <w:rFonts w:ascii="Cambria Math" w:hAnsi="Cambria Math"/>
                </w:rPr>
                <m:t>&gt;1</m:t>
              </m:r>
            </m:oMath>
            <w:r>
              <w:t>) and one-to-one (</w:t>
            </w:r>
            <m:oMath>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f</m:t>
                  </m:r>
                </m:sub>
              </m:sSub>
              <m:r>
                <m:rPr>
                  <m:sty m:val="bi"/>
                </m:rPr>
                <w:rPr>
                  <w:rFonts w:ascii="Cambria Math" w:hAnsi="Cambria Math"/>
                </w:rPr>
                <m:t>=1</m:t>
              </m:r>
            </m:oMath>
            <w:r>
              <w:t>) mapping of SD-FD pairs to CSI-RS ports. CSI-RS overhead is included in the throughput calculation.</w:t>
            </w:r>
          </w:p>
        </w:tc>
      </w:tr>
    </w:tbl>
    <w:p w14:paraId="606C32D3" w14:textId="77777777" w:rsidR="00611D9D" w:rsidRDefault="00611D9D" w:rsidP="00435934"/>
    <w:p w14:paraId="17E59ABD" w14:textId="23D372DE" w:rsidR="00762196" w:rsidRDefault="00814EC8" w:rsidP="00435934">
      <w:r>
        <w:t xml:space="preserve">In </w:t>
      </w:r>
      <w:r w:rsidR="003601FF">
        <w:fldChar w:fldCharType="begin"/>
      </w:r>
      <w:r w:rsidR="003601FF">
        <w:instrText xml:space="preserve"> REF _Ref61892325 \h </w:instrText>
      </w:r>
      <w:r w:rsidR="003601FF">
        <w:fldChar w:fldCharType="separate"/>
      </w:r>
      <w:r w:rsidR="003601FF">
        <w:t xml:space="preserve">Figure </w:t>
      </w:r>
      <w:r w:rsidR="003601FF">
        <w:rPr>
          <w:noProof/>
        </w:rPr>
        <w:t>10</w:t>
      </w:r>
      <w:r w:rsidR="003601FF">
        <w:fldChar w:fldCharType="end"/>
      </w:r>
      <w:r w:rsidR="00FB332B">
        <w:t xml:space="preserve"> </w:t>
      </w:r>
      <w:r w:rsidR="003601FF">
        <w:t xml:space="preserve">and </w:t>
      </w:r>
      <w:r w:rsidR="003601FF">
        <w:fldChar w:fldCharType="begin"/>
      </w:r>
      <w:r w:rsidR="003601FF">
        <w:instrText xml:space="preserve"> REF _Ref61892327 \h </w:instrText>
      </w:r>
      <w:r w:rsidR="003601FF">
        <w:fldChar w:fldCharType="separate"/>
      </w:r>
      <w:r w:rsidR="003601FF">
        <w:t xml:space="preserve">Figure </w:t>
      </w:r>
      <w:r w:rsidR="003601FF">
        <w:rPr>
          <w:noProof/>
        </w:rPr>
        <w:t>11</w:t>
      </w:r>
      <w:r w:rsidR="003601FF">
        <w:fldChar w:fldCharType="end"/>
      </w:r>
      <w:r>
        <w:t xml:space="preserve"> we </w:t>
      </w:r>
      <w:r w:rsidR="00A34B0A">
        <w:t xml:space="preserve">compare schemes in which the UE is configured to calculate additional FD components besides the wideband component (FD component 0). </w:t>
      </w:r>
      <w:r w:rsidR="0004700D">
        <w:t xml:space="preserve">We use the notation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ν</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r>
          <w:rPr>
            <w:rFonts w:ascii="Cambria Math" w:hAnsi="Cambria Math"/>
          </w:rPr>
          <m:t>)</m:t>
        </m:r>
      </m:oMath>
      <w:r w:rsidR="0004700D">
        <w:t xml:space="preserve"> to indicate, respectively, the size of the FD component window configured by the gNB for each of the SD-FD pair, </w:t>
      </w:r>
      <m:oMath>
        <m:r>
          <w:rPr>
            <w:rFonts w:ascii="Cambria Math" w:hAnsi="Cambria Math"/>
          </w:rPr>
          <m:t>N</m:t>
        </m:r>
      </m:oMath>
      <w:r w:rsidR="0004700D">
        <w:t>, the size of the FD basis selected at the UE with</w:t>
      </w:r>
      <w:r w:rsidR="00E26D2B">
        <w:t>in</w:t>
      </w:r>
      <w:r w:rsidR="0004700D">
        <w:t xml:space="preserve"> each configured window, </w:t>
      </w:r>
      <m:oMath>
        <m:sSub>
          <m:sSubPr>
            <m:ctrlPr>
              <w:rPr>
                <w:rFonts w:ascii="Cambria Math" w:hAnsi="Cambria Math"/>
                <w:i/>
              </w:rPr>
            </m:ctrlPr>
          </m:sSubPr>
          <m:e>
            <m:r>
              <w:rPr>
                <w:rFonts w:ascii="Cambria Math" w:hAnsi="Cambria Math"/>
              </w:rPr>
              <m:t>M</m:t>
            </m:r>
          </m:e>
          <m:sub>
            <m:r>
              <w:rPr>
                <w:rFonts w:ascii="Cambria Math" w:hAnsi="Cambria Math"/>
              </w:rPr>
              <m:t>ν</m:t>
            </m:r>
          </m:sub>
        </m:sSub>
      </m:oMath>
      <w:r w:rsidR="0004700D">
        <w:t>, and the number of windows configured per SD beam, which equals the number of FD</w:t>
      </w:r>
      <w:r w:rsidR="00D15D30">
        <w:t xml:space="preserve"> </w:t>
      </w:r>
      <w:r w:rsidR="0004700D">
        <w:t xml:space="preserve">components used at the gNB to precode each SD beam,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04700D">
        <w:t xml:space="preserve">. The two parameters, </w:t>
      </w:r>
      <m:oMath>
        <m:r>
          <w:rPr>
            <w:rFonts w:ascii="Cambria Math" w:hAnsi="Cambria Math"/>
          </w:rPr>
          <m:t>N</m:t>
        </m:r>
      </m:oMath>
      <w:r w:rsidR="0004700D">
        <w:t xml:space="preserve"> and </w:t>
      </w:r>
      <m:oMath>
        <m:sSub>
          <m:sSubPr>
            <m:ctrlPr>
              <w:rPr>
                <w:rFonts w:ascii="Cambria Math" w:hAnsi="Cambria Math"/>
                <w:i/>
              </w:rPr>
            </m:ctrlPr>
          </m:sSubPr>
          <m:e>
            <m:r>
              <w:rPr>
                <w:rFonts w:ascii="Cambria Math" w:hAnsi="Cambria Math"/>
              </w:rPr>
              <m:t>M</m:t>
            </m:r>
          </m:e>
          <m:sub>
            <m:r>
              <w:rPr>
                <w:rFonts w:ascii="Cambria Math" w:hAnsi="Cambria Math"/>
              </w:rPr>
              <m:t>ν</m:t>
            </m:r>
          </m:sub>
        </m:sSub>
      </m:oMath>
      <w:r w:rsidR="0004700D">
        <w:t xml:space="preserve"> are defined in Alt 5 and 3.1</w:t>
      </w:r>
      <w:r w:rsidR="00E26D2B">
        <w:t xml:space="preserve"> of</w:t>
      </w:r>
      <w:r w:rsidR="0004700D">
        <w:t xml:space="preserve"> the agreement </w:t>
      </w:r>
      <w:r w:rsidR="00E26D2B">
        <w:t>whilst</w:t>
      </w:r>
      <w:r w:rsidR="0004700D">
        <w:t xml:space="preserve"> for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ν</m:t>
            </m:r>
          </m:sub>
        </m:sSub>
      </m:oMath>
      <w:r w:rsidR="0004700D">
        <w:t>, we obtain the special case of Alt 3.0.</w:t>
      </w:r>
      <w:r w:rsidR="00D15D30">
        <w:t xml:space="preserve"> In all cases, we map 2 SD-FD pairs per port, </w:t>
      </w:r>
      <w:r w:rsidR="00D15D30" w:rsidRPr="00D15D30">
        <w:rPr>
          <w:i/>
          <w:iCs/>
        </w:rPr>
        <w:t>i.e.</w:t>
      </w:r>
      <w:r w:rsidR="00D15D30">
        <w:t xml:space="preserve">, we use the mapping combination </w:t>
      </w:r>
      <m:oMath>
        <m:d>
          <m:dPr>
            <m:ctrlPr>
              <w:rPr>
                <w:rFonts w:ascii="Cambria Math" w:hAnsi="Cambria Math"/>
                <w:i/>
              </w:rPr>
            </m:ctrlPr>
          </m:dPr>
          <m:e>
            <m:r>
              <w:rPr>
                <w:rFonts w:ascii="Cambria Math" w:hAnsi="Cambria Math"/>
              </w:rPr>
              <m:t>R,</m:t>
            </m:r>
            <m:sSub>
              <m:sSubPr>
                <m:ctrlPr>
                  <w:rPr>
                    <w:rFonts w:ascii="Cambria Math" w:hAnsi="Cambria Math"/>
                    <w:i/>
                  </w:rPr>
                </m:ctrlPr>
              </m:sSubPr>
              <m:e>
                <m:r>
                  <w:rPr>
                    <w:rFonts w:ascii="Cambria Math" w:hAnsi="Cambria Math"/>
                  </w:rPr>
                  <m:t>O</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f</m:t>
                </m:r>
              </m:sub>
            </m:sSub>
          </m:e>
        </m:d>
        <m:r>
          <w:rPr>
            <w:rFonts w:ascii="Cambria Math" w:hAnsi="Cambria Math"/>
          </w:rPr>
          <m:t>=(4,1,2)</m:t>
        </m:r>
      </m:oMath>
      <w:r w:rsidR="00D15D30">
        <w:t>.</w:t>
      </w:r>
    </w:p>
    <w:p w14:paraId="01EA6F8A" w14:textId="65EDDF7F" w:rsidR="00E26D2B" w:rsidRDefault="00E26D2B" w:rsidP="00435934">
      <w:r>
        <w:t xml:space="preserve">Note that the configuration with </w:t>
      </w:r>
      <m:oMath>
        <m:r>
          <w:rPr>
            <w:rFonts w:ascii="Cambria Math" w:hAnsi="Cambria Math"/>
          </w:rPr>
          <m:t>N=1</m:t>
        </m:r>
      </m:oMath>
      <w:r>
        <w:t xml:space="preserve"> corresponds to schemes where only FD component 0 is reported. In this case there are </w:t>
      </w:r>
      <m:oMath>
        <m:sSub>
          <m:sSubPr>
            <m:ctrlPr>
              <w:rPr>
                <w:rFonts w:ascii="Cambria Math" w:hAnsi="Cambria Math"/>
                <w:i/>
              </w:rPr>
            </m:ctrlPr>
          </m:sSubPr>
          <m:e>
            <m:r>
              <w:rPr>
                <w:rFonts w:ascii="Cambria Math" w:hAnsi="Cambria Math"/>
              </w:rPr>
              <m:t>N</m:t>
            </m:r>
          </m:e>
          <m:sub>
            <m:r>
              <w:rPr>
                <w:rFonts w:ascii="Cambria Math" w:hAnsi="Cambria Math"/>
              </w:rPr>
              <m:t>w</m:t>
            </m:r>
          </m:sub>
        </m:sSub>
        <m:r>
          <w:rPr>
            <w:rFonts w:ascii="Cambria Math" w:hAnsi="Cambria Math"/>
          </w:rPr>
          <m:t>=4</m:t>
        </m:r>
      </m:oMath>
      <w:r>
        <w:t xml:space="preserve"> FD components per SD beam and a total of 32 SD-FD pairs, mapped to 16 ports (</w:t>
      </w:r>
      <m:oMath>
        <m:sSub>
          <m:sSubPr>
            <m:ctrlPr>
              <w:rPr>
                <w:rFonts w:ascii="Cambria Math" w:hAnsi="Cambria Math"/>
                <w:i/>
              </w:rPr>
            </m:ctrlPr>
          </m:sSubPr>
          <m:e>
            <m:r>
              <w:rPr>
                <w:rFonts w:ascii="Cambria Math" w:hAnsi="Cambria Math"/>
              </w:rPr>
              <m:t>O</m:t>
            </m:r>
          </m:e>
          <m:sub>
            <m:r>
              <w:rPr>
                <w:rFonts w:ascii="Cambria Math" w:hAnsi="Cambria Math"/>
              </w:rPr>
              <m:t>f</m:t>
            </m:r>
          </m:sub>
        </m:sSub>
        <m:r>
          <w:rPr>
            <w:rFonts w:ascii="Cambria Math" w:hAnsi="Cambria Math"/>
          </w:rPr>
          <m:t>=2</m:t>
        </m:r>
      </m:oMath>
      <w:r>
        <w:t xml:space="preserve">). </w:t>
      </w:r>
      <w:r w:rsidR="0010468A">
        <w:t xml:space="preserve">In comparison, the configuration with </w:t>
      </w:r>
      <m:oMath>
        <m:sSub>
          <m:sSubPr>
            <m:ctrlPr>
              <w:rPr>
                <w:rFonts w:ascii="Cambria Math" w:hAnsi="Cambria Math"/>
                <w:i/>
              </w:rPr>
            </m:ctrlPr>
          </m:sSubPr>
          <m:e>
            <m:r>
              <w:rPr>
                <w:rFonts w:ascii="Cambria Math" w:hAnsi="Cambria Math"/>
              </w:rPr>
              <m:t>N</m:t>
            </m:r>
          </m:e>
          <m:sub>
            <m:r>
              <w:rPr>
                <w:rFonts w:ascii="Cambria Math" w:hAnsi="Cambria Math"/>
              </w:rPr>
              <m:t>w</m:t>
            </m:r>
          </m:sub>
        </m:sSub>
        <m:r>
          <w:rPr>
            <w:rFonts w:ascii="Cambria Math" w:hAnsi="Cambria Math"/>
          </w:rPr>
          <m:t>=2</m:t>
        </m:r>
      </m:oMath>
      <w:r w:rsidR="0010468A">
        <w:t xml:space="preserve"> achieves similar throughput-overhead performance, but uses half as many FD components, for a total of 16 SD-FD pairs, mapped to 8 ports.</w:t>
      </w:r>
    </w:p>
    <w:p w14:paraId="71A3F070" w14:textId="4CADA600" w:rsidR="0010468A" w:rsidRDefault="0010468A" w:rsidP="00435934">
      <w:r>
        <w:t xml:space="preserve">We also note that the configuration with </w:t>
      </w:r>
      <m:oMath>
        <m:r>
          <w:rPr>
            <w:rFonts w:ascii="Cambria Math" w:hAnsi="Cambria Math"/>
          </w:rPr>
          <m:t>N=</m:t>
        </m:r>
        <m:sSub>
          <m:sSubPr>
            <m:ctrlPr>
              <w:rPr>
                <w:rFonts w:ascii="Cambria Math" w:hAnsi="Cambria Math"/>
                <w:i/>
              </w:rPr>
            </m:ctrlPr>
          </m:sSubPr>
          <m:e>
            <m:r>
              <w:rPr>
                <w:rFonts w:ascii="Cambria Math" w:hAnsi="Cambria Math"/>
              </w:rPr>
              <m:t>M</m:t>
            </m:r>
          </m:e>
          <m:sub>
            <m:r>
              <w:rPr>
                <w:rFonts w:ascii="Cambria Math" w:hAnsi="Cambria Math"/>
              </w:rPr>
              <m:t>ν</m:t>
            </m:r>
          </m:sub>
        </m:sSub>
      </m:oMath>
      <w:r>
        <w:t xml:space="preserve"> (Alt 3.0) achieve worse performance than the other combinations with </w:t>
      </w:r>
      <m:oMath>
        <m:r>
          <w:rPr>
            <w:rFonts w:ascii="Cambria Math" w:hAnsi="Cambria Math"/>
          </w:rPr>
          <m:t>N&gt;</m:t>
        </m:r>
        <m:sSub>
          <m:sSubPr>
            <m:ctrlPr>
              <w:rPr>
                <w:rFonts w:ascii="Cambria Math" w:hAnsi="Cambria Math"/>
                <w:i/>
              </w:rPr>
            </m:ctrlPr>
          </m:sSubPr>
          <m:e>
            <m:r>
              <w:rPr>
                <w:rFonts w:ascii="Cambria Math" w:hAnsi="Cambria Math"/>
              </w:rPr>
              <m:t>M</m:t>
            </m:r>
          </m:e>
          <m:sub>
            <m:r>
              <w:rPr>
                <w:rFonts w:ascii="Cambria Math" w:hAnsi="Cambria Math"/>
              </w:rPr>
              <m:t>ν</m:t>
            </m:r>
          </m:sub>
        </m:sSub>
      </m:oMath>
      <w:r>
        <w:t>.</w:t>
      </w:r>
    </w:p>
    <w:p w14:paraId="5F182F46" w14:textId="77777777" w:rsidR="00F82870" w:rsidRDefault="00F82870" w:rsidP="0043593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5"/>
      </w:tblGrid>
      <w:tr w:rsidR="00F82870" w14:paraId="364DDDF6" w14:textId="77777777" w:rsidTr="00F920C2">
        <w:tc>
          <w:tcPr>
            <w:tcW w:w="4814" w:type="dxa"/>
            <w:vAlign w:val="center"/>
          </w:tcPr>
          <w:p w14:paraId="6B6832A1" w14:textId="77777777" w:rsidR="00F920C2" w:rsidRDefault="00F920C2" w:rsidP="00F920C2">
            <w:pPr>
              <w:keepNext/>
              <w:jc w:val="center"/>
            </w:pPr>
            <w:r>
              <w:rPr>
                <w:noProof/>
              </w:rPr>
              <w:lastRenderedPageBreak/>
              <w:drawing>
                <wp:inline distT="0" distB="0" distL="0" distR="0" wp14:anchorId="4F601AD8" wp14:editId="06CEA4BB">
                  <wp:extent cx="2919730" cy="2190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diffMv_N.emf"/>
                          <pic:cNvPicPr/>
                        </pic:nvPicPr>
                        <pic:blipFill>
                          <a:blip r:embed="rId26">
                            <a:extLst>
                              <a:ext uri="{28A0092B-C50C-407E-A947-70E740481C1C}">
                                <a14:useLocalDpi xmlns:a14="http://schemas.microsoft.com/office/drawing/2010/main" val="0"/>
                              </a:ext>
                            </a:extLst>
                          </a:blip>
                          <a:stretch>
                            <a:fillRect/>
                          </a:stretch>
                        </pic:blipFill>
                        <pic:spPr>
                          <a:xfrm>
                            <a:off x="0" y="0"/>
                            <a:ext cx="2919730" cy="2190750"/>
                          </a:xfrm>
                          <a:prstGeom prst="rect">
                            <a:avLst/>
                          </a:prstGeom>
                        </pic:spPr>
                      </pic:pic>
                    </a:graphicData>
                  </a:graphic>
                </wp:inline>
              </w:drawing>
            </w:r>
          </w:p>
          <w:p w14:paraId="01B7BF6A" w14:textId="11DC7FC2" w:rsidR="00F82870" w:rsidRDefault="00F920C2" w:rsidP="00F920C2">
            <w:pPr>
              <w:pStyle w:val="Caption"/>
              <w:jc w:val="center"/>
            </w:pPr>
            <w:bookmarkStart w:id="24" w:name="_Ref61892325"/>
            <w:r>
              <w:t xml:space="preserve">Figure </w:t>
            </w:r>
            <w:r>
              <w:fldChar w:fldCharType="begin"/>
            </w:r>
            <w:r>
              <w:instrText xml:space="preserve"> SEQ Figure \* ARABIC </w:instrText>
            </w:r>
            <w:r>
              <w:fldChar w:fldCharType="separate"/>
            </w:r>
            <w:r>
              <w:rPr>
                <w:noProof/>
              </w:rPr>
              <w:t>10</w:t>
            </w:r>
            <w:r>
              <w:fldChar w:fldCharType="end"/>
            </w:r>
            <w:bookmarkEnd w:id="24"/>
            <w:r>
              <w:t>. Comparison between schemes in which the UE is configured to calculate additional FD components besides the wideband component. CSI-RS overhead is not included in the throughput calculation.</w:t>
            </w:r>
          </w:p>
        </w:tc>
        <w:tc>
          <w:tcPr>
            <w:tcW w:w="4815" w:type="dxa"/>
            <w:vAlign w:val="center"/>
          </w:tcPr>
          <w:p w14:paraId="5715E50E" w14:textId="77777777" w:rsidR="00F920C2" w:rsidRDefault="00F920C2" w:rsidP="00F920C2">
            <w:pPr>
              <w:keepNext/>
              <w:jc w:val="center"/>
            </w:pPr>
            <w:r>
              <w:rPr>
                <w:noProof/>
              </w:rPr>
              <w:drawing>
                <wp:inline distT="0" distB="0" distL="0" distR="0" wp14:anchorId="683BC467" wp14:editId="62CC77F0">
                  <wp:extent cx="2920216" cy="219138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diffMv_N_CSIRSOH.emf"/>
                          <pic:cNvPicPr/>
                        </pic:nvPicPr>
                        <pic:blipFill>
                          <a:blip r:embed="rId27">
                            <a:extLst>
                              <a:ext uri="{28A0092B-C50C-407E-A947-70E740481C1C}">
                                <a14:useLocalDpi xmlns:a14="http://schemas.microsoft.com/office/drawing/2010/main" val="0"/>
                              </a:ext>
                            </a:extLst>
                          </a:blip>
                          <a:stretch>
                            <a:fillRect/>
                          </a:stretch>
                        </pic:blipFill>
                        <pic:spPr>
                          <a:xfrm>
                            <a:off x="0" y="0"/>
                            <a:ext cx="2920216" cy="2191385"/>
                          </a:xfrm>
                          <a:prstGeom prst="rect">
                            <a:avLst/>
                          </a:prstGeom>
                        </pic:spPr>
                      </pic:pic>
                    </a:graphicData>
                  </a:graphic>
                </wp:inline>
              </w:drawing>
            </w:r>
          </w:p>
          <w:p w14:paraId="013701D4" w14:textId="52A66978" w:rsidR="00F82870" w:rsidRDefault="00F920C2" w:rsidP="00F920C2">
            <w:pPr>
              <w:pStyle w:val="Caption"/>
              <w:jc w:val="center"/>
            </w:pPr>
            <w:bookmarkStart w:id="25" w:name="_Ref61892327"/>
            <w:r>
              <w:t xml:space="preserve">Figure </w:t>
            </w:r>
            <w:r>
              <w:fldChar w:fldCharType="begin"/>
            </w:r>
            <w:r>
              <w:instrText xml:space="preserve"> SEQ Figure \* ARABIC </w:instrText>
            </w:r>
            <w:r>
              <w:fldChar w:fldCharType="separate"/>
            </w:r>
            <w:r>
              <w:rPr>
                <w:noProof/>
              </w:rPr>
              <w:t>11</w:t>
            </w:r>
            <w:r>
              <w:fldChar w:fldCharType="end"/>
            </w:r>
            <w:bookmarkEnd w:id="25"/>
            <w:r>
              <w:t>. Comparison between schemes in which the UE is configured to calculate additional FD components besides the wideband component. CSI-RS overhead is included in the throughput calculation.</w:t>
            </w:r>
          </w:p>
        </w:tc>
      </w:tr>
    </w:tbl>
    <w:p w14:paraId="6545B931" w14:textId="77777777" w:rsidR="005900FE" w:rsidRDefault="005900FE" w:rsidP="00435934"/>
    <w:p w14:paraId="0D9C7893" w14:textId="0282FE18" w:rsidR="00435934" w:rsidRDefault="00435934" w:rsidP="00290021">
      <w:pPr>
        <w:keepNext/>
      </w:pPr>
    </w:p>
    <w:p w14:paraId="5D5A5535" w14:textId="19FDBF04" w:rsidR="008478B4" w:rsidRPr="00A67E44" w:rsidRDefault="008478B4" w:rsidP="00A67E44"/>
    <w:p w14:paraId="36CC0B75" w14:textId="579510DC" w:rsidR="000E1FAC" w:rsidRPr="002D6B2B" w:rsidRDefault="000E1FAC" w:rsidP="005558B8">
      <w:pPr>
        <w:pStyle w:val="Heading1"/>
      </w:pPr>
      <w:bookmarkStart w:id="26" w:name="_Ref54348033"/>
      <w:r w:rsidRPr="002D6B2B">
        <w:t>3</w:t>
      </w:r>
      <w:r w:rsidRPr="002D6B2B">
        <w:tab/>
      </w:r>
      <w:r w:rsidR="00021C0A">
        <w:t xml:space="preserve">M-TRP </w:t>
      </w:r>
      <w:r w:rsidR="005558B8">
        <w:t xml:space="preserve">CSI reporting </w:t>
      </w:r>
      <w:r w:rsidR="00021C0A">
        <w:t>enhancement</w:t>
      </w:r>
      <w:bookmarkEnd w:id="26"/>
    </w:p>
    <w:p w14:paraId="32FF5B61" w14:textId="6F258ADC" w:rsidR="00341A00" w:rsidRDefault="00341A00" w:rsidP="00341A00">
      <w:pPr>
        <w:overflowPunct/>
        <w:autoSpaceDE/>
        <w:autoSpaceDN/>
        <w:adjustRightInd/>
        <w:textAlignment w:val="auto"/>
      </w:pPr>
      <w:r w:rsidRPr="002D6B2B">
        <w:t>In</w:t>
      </w:r>
      <w:r>
        <w:t xml:space="preserve"> RAN1#103-e </w:t>
      </w:r>
      <w:r>
        <w:fldChar w:fldCharType="begin"/>
      </w:r>
      <w:r>
        <w:instrText xml:space="preserve"> REF _Ref59455851 \r \h </w:instrText>
      </w:r>
      <w:r>
        <w:fldChar w:fldCharType="separate"/>
      </w:r>
      <w:r w:rsidR="00307C05">
        <w:t>[2]</w:t>
      </w:r>
      <w:r>
        <w:fldChar w:fldCharType="end"/>
      </w:r>
      <w:r>
        <w:t xml:space="preserve">, it was agreed to prioritise CSI enhancement to support NC-JT measurement and reporting with a single CSI Reporting Setting. It was also agreed that, in a CSI Reporting Setting, CSI-RS resources for channel measurement (CMRs) are associated to different TRPs/TCI states at resource level and are configured in the same resource set. </w:t>
      </w:r>
    </w:p>
    <w:p w14:paraId="09616019" w14:textId="77777777" w:rsidR="00341A00" w:rsidRPr="00341A00" w:rsidRDefault="00341A00" w:rsidP="00341A00">
      <w:pPr>
        <w:overflowPunct/>
        <w:autoSpaceDE/>
        <w:autoSpaceDN/>
        <w:adjustRightInd/>
        <w:spacing w:after="0"/>
        <w:textAlignment w:val="auto"/>
        <w:rPr>
          <w:rFonts w:asciiTheme="minorHAnsi" w:eastAsiaTheme="minorHAnsi" w:hAnsiTheme="minorHAnsi" w:cstheme="minorHAnsi"/>
          <w:b/>
          <w:bCs/>
          <w:i/>
          <w:iCs/>
        </w:rPr>
      </w:pPr>
      <w:r w:rsidRPr="00341A00">
        <w:rPr>
          <w:rFonts w:asciiTheme="minorHAnsi" w:eastAsiaTheme="minorHAnsi" w:hAnsiTheme="minorHAnsi" w:cstheme="minorHAnsi"/>
          <w:b/>
          <w:bCs/>
          <w:i/>
          <w:iCs/>
          <w:highlight w:val="green"/>
        </w:rPr>
        <w:t>Agreement</w:t>
      </w:r>
    </w:p>
    <w:p w14:paraId="77B059F9" w14:textId="77777777" w:rsidR="00341A00" w:rsidRPr="00341A00" w:rsidRDefault="00341A00" w:rsidP="00341A00">
      <w:pPr>
        <w:overflowPunct/>
        <w:autoSpaceDE/>
        <w:autoSpaceDN/>
        <w:adjustRightInd/>
        <w:spacing w:after="0"/>
        <w:textAlignment w:val="auto"/>
        <w:rPr>
          <w:rFonts w:asciiTheme="minorHAnsi" w:eastAsiaTheme="minorHAnsi" w:hAnsiTheme="minorHAnsi" w:cstheme="minorHAnsi"/>
          <w:i/>
          <w:iCs/>
        </w:rPr>
      </w:pPr>
    </w:p>
    <w:p w14:paraId="43789CD1" w14:textId="77777777" w:rsidR="00341A00" w:rsidRPr="00341A00" w:rsidRDefault="00341A00" w:rsidP="00341A00">
      <w:pPr>
        <w:overflowPunct/>
        <w:autoSpaceDE/>
        <w:autoSpaceDN/>
        <w:adjustRightInd/>
        <w:spacing w:after="0"/>
        <w:textAlignment w:val="auto"/>
        <w:rPr>
          <w:rFonts w:asciiTheme="minorHAnsi" w:eastAsiaTheme="minorHAnsi" w:hAnsiTheme="minorHAnsi" w:cstheme="minorHAnsi"/>
          <w:i/>
          <w:iCs/>
        </w:rPr>
      </w:pPr>
      <w:r w:rsidRPr="00341A00">
        <w:rPr>
          <w:rFonts w:asciiTheme="minorHAnsi" w:eastAsiaTheme="minorHAnsi" w:hAnsiTheme="minorHAnsi" w:cstheme="minorHAnsi"/>
          <w:i/>
          <w:iCs/>
        </w:rPr>
        <w:t xml:space="preserve">For CSI measurement associated to a reporting setting CSI-ReportConfig for NCJT, [at least for multi-DCI based and single-DCI based schemes (scheme 1a)], NZP CSI-RS resources for channel measurement are associated to different TRPs/TCI states at resource level </w:t>
      </w:r>
    </w:p>
    <w:p w14:paraId="0524E568" w14:textId="77777777" w:rsidR="00341A00" w:rsidRPr="00341A00" w:rsidRDefault="00341A00" w:rsidP="00341A00">
      <w:pPr>
        <w:pStyle w:val="ListParagraph"/>
        <w:numPr>
          <w:ilvl w:val="0"/>
          <w:numId w:val="16"/>
        </w:numPr>
        <w:rPr>
          <w:rFonts w:asciiTheme="minorHAnsi" w:eastAsiaTheme="minorHAnsi" w:hAnsiTheme="minorHAnsi" w:cstheme="minorHAnsi"/>
          <w:i/>
          <w:iCs/>
          <w:szCs w:val="20"/>
        </w:rPr>
      </w:pPr>
      <w:r w:rsidRPr="00341A00">
        <w:rPr>
          <w:rFonts w:asciiTheme="minorHAnsi" w:eastAsiaTheme="minorHAnsi" w:hAnsiTheme="minorHAnsi" w:cstheme="minorHAnsi"/>
          <w:i/>
          <w:iCs/>
          <w:szCs w:val="20"/>
        </w:rPr>
        <w:t>CMRs corresponding to different TRPs respectively shall be configured within the same resource set (i.e. scheme 1-2) and have the same number of ports among CMRs.</w:t>
      </w:r>
    </w:p>
    <w:p w14:paraId="73817456" w14:textId="77777777" w:rsidR="00341A00" w:rsidRPr="00341A00" w:rsidRDefault="00341A00" w:rsidP="00341A00">
      <w:pPr>
        <w:pStyle w:val="ListParagraph"/>
        <w:numPr>
          <w:ilvl w:val="0"/>
          <w:numId w:val="16"/>
        </w:numPr>
        <w:rPr>
          <w:rFonts w:asciiTheme="minorHAnsi" w:eastAsiaTheme="minorHAnsi" w:hAnsiTheme="minorHAnsi" w:cstheme="minorHAnsi"/>
          <w:i/>
          <w:iCs/>
          <w:szCs w:val="20"/>
        </w:rPr>
      </w:pPr>
      <w:r w:rsidRPr="00341A00">
        <w:rPr>
          <w:rFonts w:asciiTheme="minorHAnsi" w:eastAsiaTheme="minorHAnsi" w:hAnsiTheme="minorHAnsi" w:cstheme="minorHAnsi"/>
          <w:i/>
          <w:iCs/>
          <w:szCs w:val="20"/>
        </w:rPr>
        <w:t xml:space="preserve">At least ‘typeI-SinglePanel’ codebook is supported </w:t>
      </w:r>
    </w:p>
    <w:p w14:paraId="4858F1DD" w14:textId="77777777" w:rsidR="00341A00" w:rsidRPr="00341A00" w:rsidRDefault="00341A00" w:rsidP="00341A00">
      <w:pPr>
        <w:numPr>
          <w:ilvl w:val="1"/>
          <w:numId w:val="15"/>
        </w:numPr>
        <w:overflowPunct/>
        <w:autoSpaceDE/>
        <w:autoSpaceDN/>
        <w:adjustRightInd/>
        <w:spacing w:after="0"/>
        <w:textAlignment w:val="auto"/>
        <w:rPr>
          <w:rFonts w:asciiTheme="minorHAnsi" w:eastAsiaTheme="minorHAnsi" w:hAnsiTheme="minorHAnsi" w:cstheme="minorHAnsi"/>
          <w:i/>
          <w:iCs/>
        </w:rPr>
      </w:pPr>
      <w:r w:rsidRPr="00341A00">
        <w:rPr>
          <w:rFonts w:asciiTheme="minorHAnsi" w:eastAsiaTheme="minorHAnsi" w:hAnsiTheme="minorHAnsi" w:cstheme="minorHAnsi"/>
          <w:i/>
          <w:iCs/>
        </w:rPr>
        <w:t xml:space="preserve">FFS: Other codebook types </w:t>
      </w:r>
    </w:p>
    <w:p w14:paraId="17439769" w14:textId="77777777" w:rsidR="00341A00" w:rsidRPr="00341A00" w:rsidRDefault="00341A00" w:rsidP="00341A00">
      <w:pPr>
        <w:pStyle w:val="ListParagraph"/>
        <w:numPr>
          <w:ilvl w:val="0"/>
          <w:numId w:val="15"/>
        </w:numPr>
        <w:rPr>
          <w:rFonts w:asciiTheme="minorHAnsi" w:eastAsiaTheme="minorHAnsi" w:hAnsiTheme="minorHAnsi" w:cstheme="minorHAnsi"/>
          <w:i/>
          <w:iCs/>
          <w:szCs w:val="20"/>
        </w:rPr>
      </w:pPr>
      <w:r w:rsidRPr="00341A00">
        <w:rPr>
          <w:rFonts w:asciiTheme="minorHAnsi" w:eastAsiaTheme="minorHAnsi" w:hAnsiTheme="minorHAnsi" w:cstheme="minorHAnsi"/>
          <w:i/>
          <w:iCs/>
          <w:szCs w:val="20"/>
        </w:rPr>
        <w:t xml:space="preserve">Note that RAN1 shall strive to finalize NCJT CSI enhancement with single reporting setting firstly. </w:t>
      </w:r>
    </w:p>
    <w:p w14:paraId="17144EBF" w14:textId="77777777" w:rsidR="00341A00" w:rsidRPr="00341A00" w:rsidRDefault="00341A00" w:rsidP="00341A00">
      <w:pPr>
        <w:pStyle w:val="ListParagraph"/>
        <w:numPr>
          <w:ilvl w:val="0"/>
          <w:numId w:val="15"/>
        </w:numPr>
        <w:rPr>
          <w:rFonts w:asciiTheme="minorHAnsi" w:eastAsiaTheme="minorHAnsi" w:hAnsiTheme="minorHAnsi" w:cstheme="minorHAnsi"/>
          <w:i/>
          <w:iCs/>
          <w:szCs w:val="20"/>
        </w:rPr>
      </w:pPr>
      <w:r w:rsidRPr="00341A00">
        <w:rPr>
          <w:rFonts w:asciiTheme="minorHAnsi" w:eastAsiaTheme="minorHAnsi" w:hAnsiTheme="minorHAnsi" w:cstheme="minorHAnsi"/>
          <w:i/>
          <w:iCs/>
          <w:szCs w:val="20"/>
        </w:rPr>
        <w:t>The support of larger than 32 ports across two CMRs is optional for a UE supporting Rel. 17 mTRP CSI</w:t>
      </w:r>
    </w:p>
    <w:p w14:paraId="011DA053" w14:textId="77777777" w:rsidR="00341A00" w:rsidRPr="009C01AC" w:rsidRDefault="00341A00" w:rsidP="00341A00">
      <w:pPr>
        <w:overflowPunct/>
        <w:autoSpaceDE/>
        <w:autoSpaceDN/>
        <w:adjustRightInd/>
        <w:spacing w:after="0"/>
        <w:textAlignment w:val="auto"/>
        <w:rPr>
          <w:rFonts w:asciiTheme="minorHAnsi" w:eastAsiaTheme="minorHAnsi" w:hAnsiTheme="minorHAnsi" w:cstheme="minorHAnsi"/>
          <w:sz w:val="16"/>
          <w:szCs w:val="16"/>
        </w:rPr>
      </w:pPr>
    </w:p>
    <w:p w14:paraId="689C46B3" w14:textId="77777777" w:rsidR="00341A00" w:rsidRDefault="00341A00" w:rsidP="00341A00">
      <w:pPr>
        <w:overflowPunct/>
        <w:spacing w:after="0"/>
        <w:textAlignment w:val="auto"/>
        <w:rPr>
          <w:rFonts w:eastAsiaTheme="minorHAnsi"/>
        </w:rPr>
      </w:pPr>
      <w:r>
        <w:rPr>
          <w:rFonts w:eastAsiaTheme="minorHAnsi"/>
        </w:rPr>
        <w:t xml:space="preserve">The TCI state containing the information on the QCL source and type is associated to each resource in a resource set in different ways depending on the time characteristics of the resource set. For periodic and aperiodic resources, the TCI state is RRC configured: in </w:t>
      </w:r>
      <w:r w:rsidRPr="00FB2B8F">
        <w:rPr>
          <w:rFonts w:eastAsiaTheme="minorHAnsi"/>
          <w:i/>
          <w:iCs/>
        </w:rPr>
        <w:t>qcl-InfoPeriodicCSI-RS</w:t>
      </w:r>
      <w:r>
        <w:rPr>
          <w:rFonts w:eastAsiaTheme="minorHAnsi"/>
        </w:rPr>
        <w:t xml:space="preserve"> of the </w:t>
      </w:r>
      <w:r w:rsidRPr="00FB2B8F">
        <w:rPr>
          <w:rFonts w:eastAsiaTheme="minorHAnsi"/>
          <w:i/>
          <w:iCs/>
        </w:rPr>
        <w:t>NZP-CSI-RS-Resource</w:t>
      </w:r>
      <w:r>
        <w:rPr>
          <w:rFonts w:eastAsiaTheme="minorHAnsi"/>
        </w:rPr>
        <w:t xml:space="preserve"> IE, for periodic resources and in </w:t>
      </w:r>
      <w:r w:rsidRPr="00FB2B8F">
        <w:rPr>
          <w:rFonts w:eastAsiaTheme="minorHAnsi"/>
          <w:i/>
          <w:iCs/>
        </w:rPr>
        <w:t>qcl-info</w:t>
      </w:r>
      <w:r>
        <w:rPr>
          <w:rFonts w:eastAsiaTheme="minorHAnsi"/>
        </w:rPr>
        <w:t xml:space="preserve"> of the </w:t>
      </w:r>
      <w:r w:rsidRPr="00FB2B8F">
        <w:rPr>
          <w:rFonts w:eastAsiaTheme="minorHAnsi"/>
          <w:i/>
          <w:iCs/>
        </w:rPr>
        <w:t>CSI-AssociatedReportConfigInfo</w:t>
      </w:r>
      <w:r>
        <w:rPr>
          <w:rFonts w:eastAsiaTheme="minorHAnsi"/>
        </w:rPr>
        <w:t xml:space="preserve"> IE of an aperiodic trigger state, for aperiodic resources. In case of semi-persistent CSI-RS/IM resources, the TCI state ID is indicated in the corresponding resource set activation </w:t>
      </w:r>
      <w:r w:rsidRPr="002F602C">
        <w:rPr>
          <w:rFonts w:eastAsiaTheme="minorHAnsi"/>
        </w:rPr>
        <w:t>MAC CE</w:t>
      </w:r>
      <w:r>
        <w:rPr>
          <w:rFonts w:eastAsiaTheme="minorHAnsi"/>
        </w:rPr>
        <w:t>. In all cases, current TCI state information does not contain a TRP association.</w:t>
      </w:r>
    </w:p>
    <w:p w14:paraId="4E5123DC" w14:textId="3C93B51F" w:rsidR="00341A00" w:rsidRDefault="00341A00" w:rsidP="00341A00">
      <w:pPr>
        <w:overflowPunct/>
        <w:spacing w:after="0"/>
        <w:textAlignment w:val="auto"/>
        <w:rPr>
          <w:rFonts w:eastAsiaTheme="minorHAnsi"/>
        </w:rPr>
      </w:pPr>
    </w:p>
    <w:p w14:paraId="3BE4BA5D" w14:textId="77777777" w:rsidR="00711759" w:rsidRDefault="00711759" w:rsidP="00CF36CC">
      <w:pPr>
        <w:overflowPunct/>
        <w:textAlignment w:val="auto"/>
        <w:rPr>
          <w:rFonts w:eastAsiaTheme="minorHAnsi"/>
        </w:rPr>
      </w:pPr>
    </w:p>
    <w:p w14:paraId="28E56EF3" w14:textId="670BE648" w:rsidR="0068001E" w:rsidRDefault="0068001E" w:rsidP="0068001E">
      <w:pPr>
        <w:pStyle w:val="Heading2"/>
      </w:pPr>
      <w:r>
        <w:t>3.1</w:t>
      </w:r>
      <w:r>
        <w:tab/>
        <w:t>TRP association to CMR resources</w:t>
      </w:r>
    </w:p>
    <w:p w14:paraId="50AD7F76" w14:textId="77777777" w:rsidR="00411820" w:rsidRDefault="00411820" w:rsidP="00411820">
      <w:pPr>
        <w:overflowPunct/>
        <w:textAlignment w:val="auto"/>
        <w:rPr>
          <w:rFonts w:eastAsiaTheme="minorEastAsia"/>
        </w:rPr>
      </w:pPr>
      <w:r w:rsidRPr="2254ADDB">
        <w:rPr>
          <w:rFonts w:eastAsiaTheme="minorEastAsia"/>
        </w:rPr>
        <w:t>For CSI measurement of an NC-JT hypothesis, a UE needs to know the association between CMRs and TRPs or be able to differentiate between CMR resources that are associated to different TRPs</w:t>
      </w:r>
      <w:r>
        <w:rPr>
          <w:rFonts w:eastAsiaTheme="minorEastAsia"/>
        </w:rPr>
        <w:t>,</w:t>
      </w:r>
      <w:r w:rsidRPr="2254ADDB">
        <w:rPr>
          <w:rFonts w:eastAsiaTheme="minorEastAsia"/>
        </w:rPr>
        <w:t xml:space="preserve">  which is a perquisite in order to be able to identify which CMRs can be paired to ensure the two measured resources are associated to different TRPs. If only </w:t>
      </w:r>
      <w:r w:rsidRPr="2254ADDB">
        <w:rPr>
          <w:rFonts w:eastAsiaTheme="minorEastAsia"/>
        </w:rPr>
        <w:lastRenderedPageBreak/>
        <w:t>two resources are configured in a resource set and the QCL source in their respective TCI state is different, a UE can assume that each resource is associated to a different TRP. However, in general, there can be up to 8 CSI-RS resources in a set,</w:t>
      </w:r>
      <w:r>
        <w:rPr>
          <w:rFonts w:eastAsiaTheme="minorEastAsia"/>
        </w:rPr>
        <w:t xml:space="preserve"> each with a different TCI state.</w:t>
      </w:r>
      <w:r w:rsidRPr="2254ADDB">
        <w:rPr>
          <w:rFonts w:eastAsiaTheme="minorEastAsia"/>
        </w:rPr>
        <w:t xml:space="preserve"> </w:t>
      </w:r>
      <w:r>
        <w:rPr>
          <w:rFonts w:eastAsiaTheme="minorEastAsia"/>
        </w:rPr>
        <w:t>H</w:t>
      </w:r>
      <w:r w:rsidRPr="2254ADDB">
        <w:rPr>
          <w:rFonts w:eastAsiaTheme="minorEastAsia"/>
        </w:rPr>
        <w:t xml:space="preserve">ence there can be </w:t>
      </w:r>
      <w:r>
        <w:rPr>
          <w:rFonts w:eastAsiaTheme="minorEastAsia"/>
        </w:rPr>
        <w:t>up to 8</w:t>
      </w:r>
      <w:r w:rsidRPr="2254ADDB">
        <w:rPr>
          <w:rFonts w:eastAsiaTheme="minorEastAsia"/>
        </w:rPr>
        <w:t xml:space="preserve"> </w:t>
      </w:r>
      <w:r>
        <w:rPr>
          <w:rFonts w:eastAsiaTheme="minorEastAsia"/>
        </w:rPr>
        <w:t xml:space="preserve">different QCL sources </w:t>
      </w:r>
      <w:r w:rsidRPr="2254ADDB">
        <w:rPr>
          <w:rFonts w:eastAsiaTheme="minorEastAsia"/>
        </w:rPr>
        <w:t>in the TCI state information associated to these resources</w:t>
      </w:r>
      <w:r>
        <w:rPr>
          <w:rFonts w:eastAsiaTheme="minorEastAsia"/>
        </w:rPr>
        <w:t>, but only two TRP can be transmitting these resources</w:t>
      </w:r>
      <w:r w:rsidRPr="2254ADDB">
        <w:rPr>
          <w:rFonts w:eastAsiaTheme="minorEastAsia"/>
        </w:rPr>
        <w:t>. In this case, we think the NZP-CSI-RS resources</w:t>
      </w:r>
      <w:r>
        <w:rPr>
          <w:rFonts w:eastAsiaTheme="minorEastAsia"/>
        </w:rPr>
        <w:t xml:space="preserve"> for channel measurements</w:t>
      </w:r>
      <w:r w:rsidRPr="2254ADDB">
        <w:rPr>
          <w:rFonts w:eastAsiaTheme="minorEastAsia"/>
        </w:rPr>
        <w:t xml:space="preserve"> can be grouped, directly or indirectly</w:t>
      </w:r>
      <w:r>
        <w:rPr>
          <w:rFonts w:eastAsiaTheme="minorEastAsia"/>
        </w:rPr>
        <w:t>,</w:t>
      </w:r>
      <w:r w:rsidRPr="2254ADDB">
        <w:rPr>
          <w:rFonts w:eastAsiaTheme="minorEastAsia"/>
        </w:rPr>
        <w:t xml:space="preserve"> through their SSB-block source, such that each group is assumed to be associated to a different TRP.</w:t>
      </w:r>
    </w:p>
    <w:p w14:paraId="2AFFC1E3" w14:textId="1FAEB3B2" w:rsidR="00411820" w:rsidRPr="00EF7193" w:rsidRDefault="00411820" w:rsidP="00411820">
      <w:pPr>
        <w:overflowPunct/>
        <w:textAlignment w:val="auto"/>
        <w:rPr>
          <w:rFonts w:eastAsiaTheme="minorEastAsia"/>
          <w:b/>
          <w:bCs/>
        </w:rPr>
      </w:pPr>
      <w:r w:rsidRPr="2254ADDB">
        <w:rPr>
          <w:rFonts w:eastAsiaTheme="minorEastAsia"/>
          <w:b/>
          <w:bCs/>
        </w:rPr>
        <w:t>Observation</w:t>
      </w:r>
      <w:r w:rsidR="00577FD4">
        <w:rPr>
          <w:rFonts w:eastAsiaTheme="minorEastAsia"/>
          <w:b/>
          <w:bCs/>
        </w:rPr>
        <w:t xml:space="preserve"> 10</w:t>
      </w:r>
      <w:r w:rsidRPr="2254ADDB">
        <w:rPr>
          <w:rFonts w:eastAsiaTheme="minorEastAsia"/>
          <w:b/>
          <w:bCs/>
        </w:rPr>
        <w:t>. When up to 8 CSI-RS resources are configured in a set and more than two QCL sources in the TCI state information are associated to these resources, a UE needs additional configuration</w:t>
      </w:r>
      <w:r>
        <w:rPr>
          <w:rFonts w:eastAsiaTheme="minorEastAsia"/>
          <w:b/>
          <w:bCs/>
        </w:rPr>
        <w:t>/indication</w:t>
      </w:r>
      <w:r w:rsidRPr="2254ADDB">
        <w:rPr>
          <w:rFonts w:eastAsiaTheme="minorEastAsia"/>
          <w:b/>
          <w:bCs/>
        </w:rPr>
        <w:t xml:space="preserve"> to determine the association between CMRs and TRPs and/or which CMR pairs to measure for the NC-JT hypotheses.</w:t>
      </w:r>
    </w:p>
    <w:p w14:paraId="30BDEA26" w14:textId="77777777" w:rsidR="00411820" w:rsidRDefault="00411820" w:rsidP="00411820">
      <w:pPr>
        <w:overflowPunct/>
        <w:textAlignment w:val="auto"/>
        <w:rPr>
          <w:rFonts w:eastAsiaTheme="minorHAnsi"/>
        </w:rPr>
      </w:pPr>
      <w:r>
        <w:rPr>
          <w:rFonts w:eastAsiaTheme="minorHAnsi"/>
        </w:rPr>
        <w:t>In the group-based beam reporting discussion for M-TRP enhancement, two example methods have been proposed for grouping CSI-RS resources:</w:t>
      </w:r>
    </w:p>
    <w:p w14:paraId="00CC6EA1" w14:textId="77777777" w:rsidR="00411820" w:rsidRPr="00A81564" w:rsidRDefault="00411820" w:rsidP="00411820">
      <w:pPr>
        <w:overflowPunct/>
        <w:textAlignment w:val="auto"/>
        <w:rPr>
          <w:rFonts w:eastAsiaTheme="minorHAnsi"/>
          <w:i/>
          <w:iCs/>
        </w:rPr>
      </w:pPr>
      <w:r w:rsidRPr="00A81564">
        <w:rPr>
          <w:rFonts w:eastAsiaTheme="minorHAnsi"/>
          <w:i/>
          <w:iCs/>
        </w:rPr>
        <w:t xml:space="preserve">Example proposals for option1/2 of proposal 1-1. Note these examples are not exhaustive or exclusive. </w:t>
      </w:r>
    </w:p>
    <w:p w14:paraId="3DBCBA28" w14:textId="77777777" w:rsidR="00411820" w:rsidRPr="00A81564" w:rsidRDefault="00411820" w:rsidP="00411820">
      <w:pPr>
        <w:numPr>
          <w:ilvl w:val="0"/>
          <w:numId w:val="17"/>
        </w:numPr>
        <w:overflowPunct/>
        <w:textAlignment w:val="auto"/>
        <w:rPr>
          <w:rFonts w:eastAsiaTheme="minorHAnsi"/>
          <w:i/>
          <w:iCs/>
        </w:rPr>
      </w:pPr>
      <w:r w:rsidRPr="00A81564">
        <w:rPr>
          <w:rFonts w:eastAsiaTheme="minorHAnsi"/>
          <w:i/>
          <w:iCs/>
        </w:rPr>
        <w:t>Option-1:</w:t>
      </w:r>
    </w:p>
    <w:p w14:paraId="0C3E55B2" w14:textId="77777777" w:rsidR="00411820" w:rsidRPr="00A81564" w:rsidRDefault="00411820" w:rsidP="00411820">
      <w:pPr>
        <w:numPr>
          <w:ilvl w:val="1"/>
          <w:numId w:val="17"/>
        </w:numPr>
        <w:overflowPunct/>
        <w:textAlignment w:val="auto"/>
        <w:rPr>
          <w:rFonts w:eastAsiaTheme="minorHAnsi"/>
          <w:i/>
          <w:iCs/>
        </w:rPr>
      </w:pPr>
      <w:r w:rsidRPr="00A81564">
        <w:rPr>
          <w:rFonts w:eastAsiaTheme="minorHAnsi"/>
          <w:i/>
          <w:iCs/>
        </w:rPr>
        <w:t xml:space="preserve">Example 1: </w:t>
      </w:r>
      <w:bookmarkStart w:id="27" w:name="_Hlk54176006"/>
      <w:r w:rsidRPr="00A81564">
        <w:rPr>
          <w:rFonts w:eastAsiaTheme="minorHAnsi"/>
          <w:i/>
          <w:iCs/>
        </w:rPr>
        <w:t>introduce higher-layer configured indices (labelled SSI, for discussion purpose only) configured to CMR resources, where UE is requested to report beams with the same or different SSIs within a reported group</w:t>
      </w:r>
      <w:bookmarkEnd w:id="27"/>
    </w:p>
    <w:p w14:paraId="4E6A3F57" w14:textId="77777777" w:rsidR="00411820" w:rsidRPr="00A81564" w:rsidRDefault="00411820" w:rsidP="00411820">
      <w:pPr>
        <w:numPr>
          <w:ilvl w:val="1"/>
          <w:numId w:val="17"/>
        </w:numPr>
        <w:overflowPunct/>
        <w:textAlignment w:val="auto"/>
        <w:rPr>
          <w:rFonts w:eastAsiaTheme="minorHAnsi"/>
          <w:i/>
          <w:iCs/>
        </w:rPr>
      </w:pPr>
      <w:r w:rsidRPr="00A81564">
        <w:rPr>
          <w:rFonts w:eastAsiaTheme="minorHAnsi"/>
          <w:i/>
          <w:iCs/>
        </w:rPr>
        <w:t>Example 2: One CSI resource setting can be configured with multiple CSI-RS resource sets (each of which corresponds to a TRP transparently), with a restriction/requirement for group based report.  E.g.-1 the maximum number of CSI-RS in a set to be reported in a group, e.g.,1, 2 or 4. E.g.-2, , each set should be with at least one CSI-RS resource to be reported, if multiple CSI-RS resources reported in a group.</w:t>
      </w:r>
    </w:p>
    <w:p w14:paraId="5D0CD6DA" w14:textId="77777777" w:rsidR="00411820" w:rsidRDefault="00411820" w:rsidP="00411820">
      <w:pPr>
        <w:overflowPunct/>
        <w:textAlignment w:val="auto"/>
        <w:rPr>
          <w:rFonts w:eastAsiaTheme="minorHAnsi"/>
        </w:rPr>
      </w:pPr>
      <w:r>
        <w:rPr>
          <w:rFonts w:eastAsiaTheme="minorHAnsi"/>
        </w:rPr>
        <w:t>Because of the CSI agreement on the resource-level association of different TRPs/TCI states, only Example 1 is relevant. Accordingly, it is possible to introduce higher-layer configured indices to group CMRs/SSBs, where different groups indicate different TRP association, such that a UE can determine an NC-JT hypothesis by measuring two CMRs with different CMR group association or with two QCL sources in different SSB groups.</w:t>
      </w:r>
    </w:p>
    <w:p w14:paraId="509B58C3" w14:textId="25D10422" w:rsidR="00411820" w:rsidRPr="0016322E" w:rsidRDefault="00411820" w:rsidP="00411820">
      <w:pPr>
        <w:overflowPunct/>
        <w:textAlignment w:val="auto"/>
        <w:rPr>
          <w:rFonts w:eastAsiaTheme="minorHAnsi"/>
          <w:b/>
          <w:bCs/>
        </w:rPr>
      </w:pPr>
      <w:r w:rsidRPr="0016322E">
        <w:rPr>
          <w:rFonts w:eastAsiaTheme="minorHAnsi"/>
          <w:b/>
          <w:bCs/>
        </w:rPr>
        <w:t>Observation</w:t>
      </w:r>
      <w:r w:rsidR="00FC7DC2">
        <w:rPr>
          <w:rFonts w:eastAsiaTheme="minorHAnsi"/>
          <w:b/>
          <w:bCs/>
        </w:rPr>
        <w:t xml:space="preserve"> 11</w:t>
      </w:r>
      <w:r w:rsidRPr="0016322E">
        <w:rPr>
          <w:rFonts w:eastAsiaTheme="minorHAnsi"/>
          <w:b/>
          <w:bCs/>
        </w:rPr>
        <w:t xml:space="preserve">. It is possible to introduce higher-layer </w:t>
      </w:r>
      <w:r>
        <w:rPr>
          <w:rFonts w:eastAsiaTheme="minorHAnsi"/>
          <w:b/>
          <w:bCs/>
        </w:rPr>
        <w:t xml:space="preserve">configuration </w:t>
      </w:r>
      <w:r w:rsidRPr="0016322E">
        <w:rPr>
          <w:rFonts w:eastAsiaTheme="minorHAnsi"/>
          <w:b/>
          <w:bCs/>
        </w:rPr>
        <w:t>indices configured to group CMR resources</w:t>
      </w:r>
      <w:r>
        <w:rPr>
          <w:rFonts w:eastAsiaTheme="minorHAnsi"/>
          <w:b/>
          <w:bCs/>
        </w:rPr>
        <w:t xml:space="preserve"> associated to the same TRP</w:t>
      </w:r>
      <w:r w:rsidRPr="0016322E">
        <w:rPr>
          <w:rFonts w:eastAsiaTheme="minorHAnsi"/>
          <w:b/>
          <w:bCs/>
        </w:rPr>
        <w:t>.</w:t>
      </w:r>
    </w:p>
    <w:p w14:paraId="72A91C6F" w14:textId="43B20733" w:rsidR="00411820" w:rsidRDefault="00411820" w:rsidP="00411820">
      <w:pPr>
        <w:overflowPunct/>
        <w:textAlignment w:val="auto"/>
        <w:rPr>
          <w:iCs/>
          <w:color w:val="000000"/>
          <w:lang w:eastAsia="zh-CN"/>
        </w:rPr>
      </w:pPr>
      <w:r>
        <w:rPr>
          <w:rFonts w:eastAsiaTheme="minorHAnsi"/>
        </w:rPr>
        <w:t xml:space="preserve">Alternatively, it is also possible to introduce TRP grouping only for SSBs and use QCL chain to determine the association of a CMR resource to different TRPs. The </w:t>
      </w:r>
      <w:r w:rsidRPr="00F12ACF">
        <w:rPr>
          <w:iCs/>
          <w:color w:val="000000"/>
          <w:lang w:eastAsia="zh-CN"/>
        </w:rPr>
        <w:t>QCL-framework defines relationships between QCL source RSs and target signals and channels to be received in DL or transmitted in UL</w:t>
      </w:r>
      <w:r>
        <w:rPr>
          <w:iCs/>
          <w:color w:val="000000"/>
          <w:lang w:eastAsia="zh-CN"/>
        </w:rPr>
        <w:t xml:space="preserve">. </w:t>
      </w:r>
      <w:r w:rsidRPr="00A76B5C">
        <w:rPr>
          <w:iCs/>
          <w:color w:val="000000"/>
          <w:lang w:eastAsia="zh-CN"/>
        </w:rPr>
        <w:fldChar w:fldCharType="begin"/>
      </w:r>
      <w:r w:rsidRPr="007D05C4">
        <w:rPr>
          <w:iCs/>
          <w:color w:val="000000"/>
          <w:lang w:eastAsia="zh-CN"/>
        </w:rPr>
        <w:instrText xml:space="preserve"> REF _Ref60665068 \h </w:instrText>
      </w:r>
      <w:r w:rsidRPr="005217DB">
        <w:rPr>
          <w:iCs/>
          <w:color w:val="000000"/>
          <w:lang w:eastAsia="zh-CN"/>
        </w:rPr>
        <w:instrText xml:space="preserve"> \* MERGEFORMAT </w:instrText>
      </w:r>
      <w:r w:rsidRPr="00A76B5C">
        <w:rPr>
          <w:iCs/>
          <w:color w:val="000000"/>
          <w:lang w:eastAsia="zh-CN"/>
        </w:rPr>
      </w:r>
      <w:r w:rsidRPr="00A76B5C">
        <w:rPr>
          <w:iCs/>
          <w:color w:val="000000"/>
          <w:lang w:eastAsia="zh-CN"/>
        </w:rPr>
        <w:fldChar w:fldCharType="separate"/>
      </w:r>
      <w:r w:rsidR="00307C05">
        <w:t xml:space="preserve">Figure </w:t>
      </w:r>
      <w:r w:rsidR="00307C05">
        <w:rPr>
          <w:noProof/>
        </w:rPr>
        <w:t>6</w:t>
      </w:r>
      <w:r w:rsidRPr="00A76B5C">
        <w:rPr>
          <w:iCs/>
          <w:color w:val="000000"/>
          <w:lang w:eastAsia="zh-CN"/>
        </w:rPr>
        <w:fldChar w:fldCharType="end"/>
      </w:r>
      <w:r>
        <w:rPr>
          <w:iCs/>
          <w:color w:val="000000"/>
          <w:lang w:eastAsia="zh-CN"/>
        </w:rPr>
        <w:t xml:space="preserve"> </w:t>
      </w:r>
      <w:r w:rsidRPr="00F12ACF">
        <w:rPr>
          <w:iCs/>
          <w:color w:val="000000"/>
          <w:lang w:eastAsia="zh-CN"/>
        </w:rPr>
        <w:t xml:space="preserve">shows an example of spatial relationships (QCL-typeD) for NZP-CSI-RS and SSB resources. </w:t>
      </w:r>
      <w:r>
        <w:rPr>
          <w:iCs/>
          <w:color w:val="000000"/>
          <w:lang w:eastAsia="zh-CN"/>
        </w:rPr>
        <w:t>In the figure</w:t>
      </w:r>
      <w:r w:rsidRPr="00F12ACF">
        <w:rPr>
          <w:iCs/>
          <w:color w:val="000000"/>
          <w:lang w:eastAsia="zh-CN"/>
        </w:rPr>
        <w:t xml:space="preserve">, the start point of the arrow defines </w:t>
      </w:r>
      <w:r>
        <w:rPr>
          <w:iCs/>
          <w:color w:val="000000"/>
          <w:lang w:eastAsia="zh-CN"/>
        </w:rPr>
        <w:t>the QCL source, whereas</w:t>
      </w:r>
      <w:r w:rsidRPr="00F12ACF">
        <w:rPr>
          <w:iCs/>
          <w:color w:val="000000"/>
          <w:lang w:eastAsia="zh-CN"/>
        </w:rPr>
        <w:t xml:space="preserve"> the end </w:t>
      </w:r>
      <w:r>
        <w:rPr>
          <w:iCs/>
          <w:color w:val="000000"/>
          <w:lang w:eastAsia="zh-CN"/>
        </w:rPr>
        <w:t>point indicates the QCL target resource</w:t>
      </w:r>
      <w:r w:rsidRPr="00F12ACF">
        <w:rPr>
          <w:iCs/>
          <w:color w:val="000000"/>
          <w:lang w:eastAsia="zh-CN"/>
        </w:rPr>
        <w:t xml:space="preserve">. </w:t>
      </w:r>
      <w:r>
        <w:rPr>
          <w:iCs/>
          <w:color w:val="000000"/>
          <w:lang w:eastAsia="zh-CN"/>
        </w:rPr>
        <w:t xml:space="preserve">For a CMR, by </w:t>
      </w:r>
      <w:r w:rsidRPr="00F12ACF">
        <w:rPr>
          <w:iCs/>
          <w:color w:val="000000"/>
          <w:lang w:eastAsia="zh-CN"/>
        </w:rPr>
        <w:t>following the</w:t>
      </w:r>
      <w:r>
        <w:rPr>
          <w:iCs/>
          <w:color w:val="000000"/>
          <w:lang w:eastAsia="zh-CN"/>
        </w:rPr>
        <w:t xml:space="preserve"> QCL-TypeD chain up to a root SSB source, a UE can determine the TRP association by grouping only SSB blocks.</w:t>
      </w:r>
    </w:p>
    <w:p w14:paraId="5CB4C83B" w14:textId="77777777" w:rsidR="00411820" w:rsidRDefault="00411820" w:rsidP="00411820">
      <w:pPr>
        <w:keepNext/>
        <w:overflowPunct/>
        <w:jc w:val="center"/>
        <w:textAlignment w:val="auto"/>
      </w:pPr>
      <w:r>
        <w:rPr>
          <w:rFonts w:eastAsiaTheme="minorHAnsi"/>
          <w:noProof/>
        </w:rPr>
        <w:drawing>
          <wp:inline distT="0" distB="0" distL="0" distR="0" wp14:anchorId="1665EC5F" wp14:editId="5F29B294">
            <wp:extent cx="5303213" cy="127301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QCL_chain.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303213" cy="1273011"/>
                    </a:xfrm>
                    <a:prstGeom prst="rect">
                      <a:avLst/>
                    </a:prstGeom>
                  </pic:spPr>
                </pic:pic>
              </a:graphicData>
            </a:graphic>
          </wp:inline>
        </w:drawing>
      </w:r>
    </w:p>
    <w:p w14:paraId="1E726DA8" w14:textId="52F57B20" w:rsidR="00411820" w:rsidRDefault="00411820" w:rsidP="00411820">
      <w:pPr>
        <w:pStyle w:val="Caption"/>
        <w:jc w:val="center"/>
        <w:rPr>
          <w:rFonts w:eastAsiaTheme="minorHAnsi"/>
        </w:rPr>
      </w:pPr>
      <w:bookmarkStart w:id="28" w:name="_Ref60665068"/>
      <w:r>
        <w:t xml:space="preserve">Figure </w:t>
      </w:r>
      <w:r>
        <w:fldChar w:fldCharType="begin"/>
      </w:r>
      <w:r>
        <w:instrText xml:space="preserve"> SEQ Figure \* ARABIC </w:instrText>
      </w:r>
      <w:r>
        <w:fldChar w:fldCharType="separate"/>
      </w:r>
      <w:r w:rsidR="00F920C2">
        <w:rPr>
          <w:noProof/>
        </w:rPr>
        <w:t>12</w:t>
      </w:r>
      <w:r>
        <w:fldChar w:fldCharType="end"/>
      </w:r>
      <w:bookmarkEnd w:id="28"/>
      <w:r>
        <w:t xml:space="preserve">. Example </w:t>
      </w:r>
      <w:r w:rsidRPr="00C008A2">
        <w:t>of spatial relations (QCL-</w:t>
      </w:r>
      <w:r w:rsidR="00503070">
        <w:t>t</w:t>
      </w:r>
      <w:r w:rsidRPr="00C008A2">
        <w:t xml:space="preserve">ypeD) defined in TS 38.214 for </w:t>
      </w:r>
      <w:r w:rsidRPr="00C008A2">
        <w:rPr>
          <w:lang w:val="en-US"/>
        </w:rPr>
        <w:t>NZP-</w:t>
      </w:r>
      <w:r w:rsidRPr="00C008A2">
        <w:t>CSI-RS and SSB resources.</w:t>
      </w:r>
    </w:p>
    <w:p w14:paraId="26E580ED" w14:textId="77777777" w:rsidR="00411820" w:rsidRDefault="00411820" w:rsidP="00411820">
      <w:pPr>
        <w:overflowPunct/>
        <w:textAlignment w:val="auto"/>
        <w:rPr>
          <w:rFonts w:eastAsiaTheme="minorHAnsi"/>
        </w:rPr>
      </w:pPr>
    </w:p>
    <w:p w14:paraId="4D8FD518" w14:textId="33A3EF11" w:rsidR="00411820" w:rsidRPr="0016322E" w:rsidRDefault="00411820" w:rsidP="00411820">
      <w:pPr>
        <w:overflowPunct/>
        <w:textAlignment w:val="auto"/>
        <w:rPr>
          <w:rFonts w:eastAsiaTheme="minorHAnsi"/>
          <w:b/>
          <w:bCs/>
        </w:rPr>
      </w:pPr>
      <w:r w:rsidRPr="0016322E">
        <w:rPr>
          <w:rFonts w:eastAsiaTheme="minorHAnsi"/>
          <w:b/>
          <w:bCs/>
        </w:rPr>
        <w:t>Observation</w:t>
      </w:r>
      <w:r w:rsidR="00FC7DC2">
        <w:rPr>
          <w:rFonts w:eastAsiaTheme="minorHAnsi"/>
          <w:b/>
          <w:bCs/>
        </w:rPr>
        <w:t xml:space="preserve"> 12</w:t>
      </w:r>
      <w:r w:rsidRPr="0016322E">
        <w:rPr>
          <w:rFonts w:eastAsiaTheme="minorHAnsi"/>
          <w:b/>
          <w:bCs/>
        </w:rPr>
        <w:t>. It is possible to use the QCL</w:t>
      </w:r>
      <w:r>
        <w:rPr>
          <w:rFonts w:eastAsiaTheme="minorHAnsi"/>
          <w:b/>
          <w:bCs/>
        </w:rPr>
        <w:t>-typeD source</w:t>
      </w:r>
      <w:r w:rsidRPr="0016322E">
        <w:rPr>
          <w:rFonts w:eastAsiaTheme="minorHAnsi"/>
          <w:b/>
          <w:bCs/>
        </w:rPr>
        <w:t xml:space="preserve"> chain and grouping of SSB resources such that CMRs associated to SSB sources in different groups are understood to be associated to different TRPs.  </w:t>
      </w:r>
    </w:p>
    <w:p w14:paraId="21EEE11F" w14:textId="77777777" w:rsidR="00411820" w:rsidRDefault="00411820" w:rsidP="00411820">
      <w:pPr>
        <w:overflowPunct/>
        <w:textAlignment w:val="auto"/>
        <w:rPr>
          <w:rFonts w:eastAsiaTheme="minorHAnsi"/>
        </w:rPr>
      </w:pPr>
      <w:r>
        <w:rPr>
          <w:rFonts w:eastAsiaTheme="minorHAnsi"/>
        </w:rPr>
        <w:t>Therefore, by introducing higher-layer configuration of SSB or CMR resource grouping, it is possible for a UE to establish which TCI states in a resource set are associated to different TRPs and hence determine the possible pairing of resources for NC-JT measurements.</w:t>
      </w:r>
    </w:p>
    <w:p w14:paraId="643F2F36" w14:textId="77777777" w:rsidR="00411820" w:rsidRDefault="00411820" w:rsidP="00411820">
      <w:pPr>
        <w:keepNext/>
        <w:overflowPunct/>
        <w:textAlignment w:val="auto"/>
      </w:pPr>
      <w:r>
        <w:rPr>
          <w:rFonts w:eastAsiaTheme="minorHAnsi"/>
          <w:noProof/>
        </w:rPr>
        <w:lastRenderedPageBreak/>
        <w:drawing>
          <wp:inline distT="0" distB="0" distL="0" distR="0" wp14:anchorId="5DB4CF33" wp14:editId="7C7DC5E5">
            <wp:extent cx="6120765" cy="276098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TRP_association_to_CMR.emf"/>
                    <pic:cNvPicPr/>
                  </pic:nvPicPr>
                  <pic:blipFill>
                    <a:blip r:embed="rId29" cstate="print">
                      <a:extLst>
                        <a:ext uri="{28A0092B-C50C-407E-A947-70E740481C1C}">
                          <a14:useLocalDpi xmlns:a14="http://schemas.microsoft.com/office/drawing/2010/main" val="0"/>
                        </a:ext>
                      </a:extLst>
                    </a:blip>
                    <a:stretch>
                      <a:fillRect/>
                    </a:stretch>
                  </pic:blipFill>
                  <pic:spPr>
                    <a:xfrm>
                      <a:off x="0" y="0"/>
                      <a:ext cx="6120765" cy="2760980"/>
                    </a:xfrm>
                    <a:prstGeom prst="rect">
                      <a:avLst/>
                    </a:prstGeom>
                  </pic:spPr>
                </pic:pic>
              </a:graphicData>
            </a:graphic>
          </wp:inline>
        </w:drawing>
      </w:r>
    </w:p>
    <w:p w14:paraId="6703195C" w14:textId="36C3B57C" w:rsidR="00411820" w:rsidRDefault="00411820" w:rsidP="00411820">
      <w:pPr>
        <w:pStyle w:val="Caption"/>
        <w:jc w:val="center"/>
        <w:rPr>
          <w:rFonts w:eastAsiaTheme="minorHAnsi"/>
        </w:rPr>
      </w:pPr>
      <w:r>
        <w:t xml:space="preserve">Figure </w:t>
      </w:r>
      <w:r>
        <w:fldChar w:fldCharType="begin"/>
      </w:r>
      <w:r>
        <w:instrText xml:space="preserve"> SEQ Figure \* ARABIC </w:instrText>
      </w:r>
      <w:r>
        <w:fldChar w:fldCharType="separate"/>
      </w:r>
      <w:r w:rsidR="00F920C2">
        <w:rPr>
          <w:noProof/>
        </w:rPr>
        <w:t>13</w:t>
      </w:r>
      <w:r>
        <w:fldChar w:fldCharType="end"/>
      </w:r>
      <w:r>
        <w:t>. Possible methods for associating a TRP to CMR resources. Alt 1 is by CMR resource grouping, Alt2 is by SSB grouping and QCL chain.</w:t>
      </w:r>
    </w:p>
    <w:p w14:paraId="7CF0CA17" w14:textId="77777777" w:rsidR="00411820" w:rsidRDefault="00411820" w:rsidP="00411820">
      <w:pPr>
        <w:overflowPunct/>
        <w:spacing w:after="0"/>
        <w:textAlignment w:val="auto"/>
        <w:rPr>
          <w:rFonts w:eastAsiaTheme="minorHAnsi"/>
          <w:b/>
          <w:bCs/>
          <w:iCs/>
        </w:rPr>
      </w:pPr>
    </w:p>
    <w:p w14:paraId="3C85D53C" w14:textId="7366B72F" w:rsidR="00411820" w:rsidRPr="00C04B56" w:rsidRDefault="00411820" w:rsidP="00411820">
      <w:pPr>
        <w:overflowPunct/>
        <w:spacing w:after="0"/>
        <w:textAlignment w:val="auto"/>
        <w:rPr>
          <w:rFonts w:eastAsiaTheme="minorHAnsi"/>
          <w:b/>
          <w:bCs/>
          <w:iCs/>
        </w:rPr>
      </w:pPr>
      <w:r w:rsidRPr="00C04B56">
        <w:rPr>
          <w:rFonts w:eastAsiaTheme="minorHAnsi"/>
          <w:b/>
          <w:bCs/>
          <w:iCs/>
        </w:rPr>
        <w:t>Proposal</w:t>
      </w:r>
      <w:r w:rsidR="00FC7DC2">
        <w:rPr>
          <w:rFonts w:eastAsiaTheme="minorHAnsi"/>
          <w:b/>
          <w:bCs/>
          <w:iCs/>
        </w:rPr>
        <w:t xml:space="preserve"> 5</w:t>
      </w:r>
      <w:r w:rsidRPr="00C04B56">
        <w:rPr>
          <w:rFonts w:eastAsiaTheme="minorHAnsi"/>
          <w:b/>
          <w:bCs/>
          <w:iCs/>
        </w:rPr>
        <w:t>. I</w:t>
      </w:r>
      <w:r w:rsidRPr="0016322E">
        <w:rPr>
          <w:rFonts w:eastAsiaTheme="minorHAnsi"/>
          <w:b/>
          <w:bCs/>
          <w:iCs/>
        </w:rPr>
        <w:t xml:space="preserve">ntroduce higher-layer configuration for grouping resources such that </w:t>
      </w:r>
      <w:r w:rsidRPr="00C04B56">
        <w:rPr>
          <w:rFonts w:eastAsiaTheme="minorHAnsi"/>
          <w:b/>
          <w:bCs/>
          <w:iCs/>
        </w:rPr>
        <w:t xml:space="preserve">a </w:t>
      </w:r>
      <w:r w:rsidRPr="0016322E">
        <w:rPr>
          <w:rFonts w:eastAsiaTheme="minorHAnsi"/>
          <w:b/>
          <w:bCs/>
          <w:iCs/>
        </w:rPr>
        <w:t>TRP</w:t>
      </w:r>
      <w:r w:rsidRPr="00C04B56">
        <w:rPr>
          <w:rFonts w:eastAsiaTheme="minorHAnsi"/>
          <w:b/>
          <w:bCs/>
          <w:iCs/>
        </w:rPr>
        <w:t xml:space="preserve"> association is known for each CMR resource</w:t>
      </w:r>
      <w:r w:rsidRPr="0016322E">
        <w:rPr>
          <w:rFonts w:eastAsiaTheme="minorHAnsi"/>
          <w:b/>
          <w:bCs/>
          <w:iCs/>
        </w:rPr>
        <w:t>. The grouping of C</w:t>
      </w:r>
      <w:r w:rsidRPr="00C04B56">
        <w:rPr>
          <w:rFonts w:eastAsiaTheme="minorHAnsi"/>
          <w:b/>
          <w:bCs/>
          <w:iCs/>
        </w:rPr>
        <w:t>MR</w:t>
      </w:r>
      <w:r w:rsidRPr="0016322E">
        <w:rPr>
          <w:rFonts w:eastAsiaTheme="minorHAnsi"/>
          <w:b/>
          <w:bCs/>
          <w:iCs/>
        </w:rPr>
        <w:t xml:space="preserve"> resources can be understood by the UE based on </w:t>
      </w:r>
      <w:r w:rsidRPr="00C04B56">
        <w:rPr>
          <w:rFonts w:eastAsiaTheme="minorHAnsi"/>
          <w:b/>
          <w:bCs/>
          <w:iCs/>
        </w:rPr>
        <w:t>either</w:t>
      </w:r>
      <w:r w:rsidRPr="0016322E">
        <w:rPr>
          <w:rFonts w:eastAsiaTheme="minorHAnsi"/>
          <w:b/>
          <w:bCs/>
          <w:iCs/>
        </w:rPr>
        <w:t xml:space="preserve"> of the following methods</w:t>
      </w:r>
      <w:r w:rsidRPr="00C04B56">
        <w:rPr>
          <w:rFonts w:eastAsiaTheme="minorHAnsi"/>
          <w:b/>
          <w:bCs/>
          <w:iCs/>
        </w:rPr>
        <w:t>:</w:t>
      </w:r>
    </w:p>
    <w:p w14:paraId="75522274" w14:textId="77777777" w:rsidR="00411820" w:rsidRPr="00C04B56" w:rsidRDefault="00411820" w:rsidP="00411820">
      <w:pPr>
        <w:pStyle w:val="ListParagraph"/>
        <w:numPr>
          <w:ilvl w:val="0"/>
          <w:numId w:val="18"/>
        </w:numPr>
        <w:contextualSpacing w:val="0"/>
        <w:rPr>
          <w:rFonts w:eastAsiaTheme="minorHAnsi"/>
          <w:b/>
          <w:bCs/>
          <w:iCs/>
          <w:szCs w:val="20"/>
        </w:rPr>
      </w:pPr>
      <w:r w:rsidRPr="00C04B56">
        <w:rPr>
          <w:rFonts w:eastAsiaTheme="minorHAnsi"/>
          <w:b/>
          <w:bCs/>
          <w:iCs/>
          <w:szCs w:val="20"/>
        </w:rPr>
        <w:t>Alt-1: grouping (or TRP association) of CMR resources.</w:t>
      </w:r>
    </w:p>
    <w:p w14:paraId="6B00BD2A" w14:textId="77777777" w:rsidR="00411820" w:rsidRPr="00C04B56" w:rsidRDefault="00411820" w:rsidP="00411820">
      <w:pPr>
        <w:pStyle w:val="ListParagraph"/>
        <w:numPr>
          <w:ilvl w:val="0"/>
          <w:numId w:val="18"/>
        </w:numPr>
        <w:contextualSpacing w:val="0"/>
        <w:rPr>
          <w:rFonts w:eastAsiaTheme="minorHAnsi"/>
          <w:b/>
          <w:bCs/>
          <w:iCs/>
          <w:szCs w:val="20"/>
        </w:rPr>
      </w:pPr>
      <w:r w:rsidRPr="00C04B56">
        <w:rPr>
          <w:rFonts w:eastAsiaTheme="minorHAnsi"/>
          <w:b/>
          <w:bCs/>
          <w:iCs/>
          <w:szCs w:val="20"/>
        </w:rPr>
        <w:t>Alt-2: grouping (or TRP association) of SSB res</w:t>
      </w:r>
      <w:r>
        <w:rPr>
          <w:rFonts w:eastAsiaTheme="minorHAnsi"/>
          <w:b/>
          <w:bCs/>
          <w:iCs/>
          <w:szCs w:val="20"/>
        </w:rPr>
        <w:t>o</w:t>
      </w:r>
      <w:r w:rsidRPr="00C04B56">
        <w:rPr>
          <w:rFonts w:eastAsiaTheme="minorHAnsi"/>
          <w:b/>
          <w:bCs/>
          <w:iCs/>
          <w:szCs w:val="20"/>
        </w:rPr>
        <w:t>urces and QCL-</w:t>
      </w:r>
      <w:r>
        <w:rPr>
          <w:rFonts w:eastAsiaTheme="minorHAnsi"/>
          <w:b/>
          <w:bCs/>
          <w:iCs/>
          <w:szCs w:val="20"/>
        </w:rPr>
        <w:t>T</w:t>
      </w:r>
      <w:r w:rsidRPr="00C04B56">
        <w:rPr>
          <w:rFonts w:eastAsiaTheme="minorHAnsi"/>
          <w:b/>
          <w:bCs/>
          <w:iCs/>
          <w:szCs w:val="20"/>
        </w:rPr>
        <w:t xml:space="preserve">ypeD chain is used to determine the TRP association of a CMR. </w:t>
      </w:r>
    </w:p>
    <w:p w14:paraId="4E8E495F" w14:textId="43A1ACF6" w:rsidR="0068001E" w:rsidRDefault="0068001E" w:rsidP="0068001E"/>
    <w:p w14:paraId="2C751EFA" w14:textId="77777777" w:rsidR="0068001E" w:rsidRPr="0068001E" w:rsidRDefault="0068001E" w:rsidP="0068001E"/>
    <w:p w14:paraId="24322CD9" w14:textId="41B3A13F" w:rsidR="0068001E" w:rsidRDefault="0068001E">
      <w:pPr>
        <w:pStyle w:val="Heading2"/>
      </w:pPr>
      <w:r>
        <w:t>3.2</w:t>
      </w:r>
      <w:r>
        <w:tab/>
        <w:t>CMR pairing restriction for NC-JT measurement</w:t>
      </w:r>
      <w:r w:rsidR="00EA055C">
        <w:t xml:space="preserve"> and reporting</w:t>
      </w:r>
    </w:p>
    <w:p w14:paraId="765EBA6F" w14:textId="77777777" w:rsidR="00411820" w:rsidRDefault="00411820" w:rsidP="00411820">
      <w:pPr>
        <w:overflowPunct/>
        <w:textAlignment w:val="auto"/>
        <w:rPr>
          <w:rFonts w:eastAsiaTheme="minorEastAsia"/>
        </w:rPr>
      </w:pPr>
      <w:r w:rsidRPr="2254ADDB">
        <w:rPr>
          <w:rFonts w:eastAsiaTheme="minorEastAsia"/>
        </w:rPr>
        <w:t xml:space="preserve">Another issue related to the association of CMR resources to NC-JT hypotheses is the pairing of CMRs. In general, there can be up to 8 CSI-RS resources in a set with 4 resources associated to each of the two TRPs, hence there may be up to 16 possible NC-JT transmission hypotheses. Moreover, depending on the introduction of resource grouping, as elaborated above, a UE may or may not know the </w:t>
      </w:r>
      <w:r>
        <w:rPr>
          <w:rFonts w:eastAsiaTheme="minorEastAsia"/>
        </w:rPr>
        <w:t>CMR-</w:t>
      </w:r>
      <w:r w:rsidRPr="2254ADDB">
        <w:rPr>
          <w:rFonts w:eastAsiaTheme="minorEastAsia"/>
        </w:rPr>
        <w:t xml:space="preserve">TRP association. </w:t>
      </w:r>
      <w:r>
        <w:rPr>
          <w:rFonts w:eastAsiaTheme="minorEastAsia"/>
        </w:rPr>
        <w:t>In both cases, a</w:t>
      </w:r>
      <w:r w:rsidRPr="2254ADDB">
        <w:rPr>
          <w:rFonts w:eastAsiaTheme="minorEastAsia"/>
        </w:rPr>
        <w:t xml:space="preserve"> mechanism for the network to explicitly indicate the pairing of CMRs to be measured under the NC-JT hypotheses would be beneficial to restrict the possible combinations, and/or to determine the TRP association in the absence of resource grouping. This mechanism of pairing restriction also allows to define the bit-width and codepoint association between the CRI and CMR combinations in case of NC-JT reporting. For example, let us consider a UE capable of </w:t>
      </w:r>
      <w:r>
        <w:rPr>
          <w:rFonts w:eastAsiaTheme="minorEastAsia"/>
        </w:rPr>
        <w:t xml:space="preserve">5 </w:t>
      </w:r>
      <w:r w:rsidRPr="2254ADDB">
        <w:rPr>
          <w:rFonts w:eastAsiaTheme="minorEastAsia"/>
        </w:rPr>
        <w:t>simultaneous CSI calculations</w:t>
      </w:r>
      <w:r>
        <w:rPr>
          <w:rFonts w:eastAsiaTheme="minorEastAsia"/>
        </w:rPr>
        <w:t xml:space="preserve"> (</w:t>
      </w:r>
      <w:r w:rsidRPr="005217DB">
        <w:rPr>
          <w:rFonts w:eastAsiaTheme="minorEastAsia"/>
          <w:i/>
          <w:iCs/>
        </w:rPr>
        <w:t>simultaneousCSI-ReportsPerCC</w:t>
      </w:r>
      <w:r>
        <w:rPr>
          <w:rFonts w:eastAsiaTheme="minorEastAsia"/>
        </w:rPr>
        <w:t>=5)</w:t>
      </w:r>
      <w:r w:rsidRPr="2254ADDB">
        <w:rPr>
          <w:rFonts w:eastAsiaTheme="minorEastAsia"/>
        </w:rPr>
        <w:t xml:space="preserve"> and a CSI Reporting Setting with 4 CSI-RS resources, two for each TRP. The UE may be configured to calculate CSIs for both single-TRP and NC-JT transmission hypotheses. In this case, 4 calculations would be needed for the single TRP measurement hypotheses and only 2 CSI calculations remain available for NC-JT. Therefore, the network may want to restrict the possible NC-JT combinations from 4 to </w:t>
      </w:r>
      <w:r>
        <w:rPr>
          <w:rFonts w:eastAsiaTheme="minorEastAsia"/>
        </w:rPr>
        <w:t>one</w:t>
      </w:r>
      <w:r w:rsidRPr="2254ADDB">
        <w:rPr>
          <w:rFonts w:eastAsiaTheme="minorEastAsia"/>
        </w:rPr>
        <w:t>.</w:t>
      </w:r>
    </w:p>
    <w:p w14:paraId="2B231A27" w14:textId="6AE25FA8" w:rsidR="00411820" w:rsidRDefault="00411820" w:rsidP="00411820">
      <w:pPr>
        <w:overflowPunct/>
        <w:textAlignment w:val="auto"/>
        <w:rPr>
          <w:rFonts w:eastAsiaTheme="minorHAnsi"/>
        </w:rPr>
      </w:pPr>
      <w:r w:rsidRPr="00A76B5C">
        <w:rPr>
          <w:rFonts w:eastAsiaTheme="minorHAnsi"/>
        </w:rPr>
        <w:fldChar w:fldCharType="begin"/>
      </w:r>
      <w:r w:rsidRPr="007D05C4">
        <w:rPr>
          <w:rFonts w:eastAsiaTheme="minorHAnsi"/>
        </w:rPr>
        <w:instrText xml:space="preserve"> REF _Ref60682084 \h </w:instrText>
      </w:r>
      <w:r w:rsidRPr="005217DB">
        <w:rPr>
          <w:rFonts w:eastAsiaTheme="minorHAnsi"/>
        </w:rPr>
        <w:instrText xml:space="preserve"> \* MERGEFORMAT </w:instrText>
      </w:r>
      <w:r w:rsidRPr="00A76B5C">
        <w:rPr>
          <w:rFonts w:eastAsiaTheme="minorHAnsi"/>
        </w:rPr>
      </w:r>
      <w:r w:rsidRPr="00A76B5C">
        <w:rPr>
          <w:rFonts w:eastAsiaTheme="minorHAnsi"/>
        </w:rPr>
        <w:fldChar w:fldCharType="separate"/>
      </w:r>
      <w:r w:rsidR="00307C05">
        <w:t xml:space="preserve">Figure </w:t>
      </w:r>
      <w:r w:rsidR="00307C05">
        <w:rPr>
          <w:noProof/>
        </w:rPr>
        <w:t>8</w:t>
      </w:r>
      <w:r w:rsidRPr="00A76B5C">
        <w:rPr>
          <w:rFonts w:eastAsiaTheme="minorHAnsi"/>
        </w:rPr>
        <w:fldChar w:fldCharType="end"/>
      </w:r>
      <w:r>
        <w:rPr>
          <w:rFonts w:eastAsiaTheme="minorHAnsi"/>
        </w:rPr>
        <w:t xml:space="preserve"> illustrates this example, in which the CMR pairing restriction is indicated by means of a 2x2 bitmap where each bit is associated to a possible CMR pair. The figure also shows the CRI codepoints associated with this pairing restriction for the three alternative CSI reporting configurations described in the following agreement:</w:t>
      </w:r>
    </w:p>
    <w:p w14:paraId="7CAF1E4F" w14:textId="77777777" w:rsidR="00411820" w:rsidRPr="00341A00" w:rsidRDefault="00411820" w:rsidP="00411820">
      <w:pPr>
        <w:overflowPunct/>
        <w:autoSpaceDE/>
        <w:autoSpaceDN/>
        <w:adjustRightInd/>
        <w:spacing w:after="0"/>
        <w:textAlignment w:val="auto"/>
        <w:rPr>
          <w:rFonts w:asciiTheme="minorHAnsi" w:eastAsiaTheme="minorHAnsi" w:hAnsiTheme="minorHAnsi" w:cstheme="minorHAnsi"/>
          <w:b/>
          <w:bCs/>
          <w:i/>
          <w:iCs/>
        </w:rPr>
      </w:pPr>
      <w:r w:rsidRPr="00341A00">
        <w:rPr>
          <w:rFonts w:asciiTheme="minorHAnsi" w:eastAsiaTheme="minorHAnsi" w:hAnsiTheme="minorHAnsi" w:cstheme="minorHAnsi"/>
          <w:b/>
          <w:bCs/>
          <w:i/>
          <w:iCs/>
          <w:highlight w:val="green"/>
        </w:rPr>
        <w:t>Agreement</w:t>
      </w:r>
    </w:p>
    <w:p w14:paraId="652ABC3A" w14:textId="77777777" w:rsidR="00411820" w:rsidRPr="00341A00" w:rsidRDefault="00411820" w:rsidP="00411820">
      <w:pPr>
        <w:overflowPunct/>
        <w:autoSpaceDE/>
        <w:autoSpaceDN/>
        <w:adjustRightInd/>
        <w:spacing w:after="0"/>
        <w:textAlignment w:val="auto"/>
        <w:rPr>
          <w:rFonts w:asciiTheme="minorHAnsi" w:eastAsiaTheme="minorHAnsi" w:hAnsiTheme="minorHAnsi" w:cstheme="minorHAnsi"/>
          <w:i/>
          <w:iCs/>
        </w:rPr>
      </w:pPr>
    </w:p>
    <w:p w14:paraId="3383DCE8" w14:textId="77777777" w:rsidR="00411820" w:rsidRPr="00341A00" w:rsidRDefault="00411820" w:rsidP="00411820">
      <w:pPr>
        <w:spacing w:after="0"/>
        <w:rPr>
          <w:rFonts w:asciiTheme="minorHAnsi" w:eastAsiaTheme="minorHAnsi" w:hAnsiTheme="minorHAnsi" w:cstheme="minorHAnsi"/>
          <w:i/>
          <w:iCs/>
          <w:lang w:val="en-US"/>
        </w:rPr>
      </w:pPr>
      <w:r w:rsidRPr="00341A00">
        <w:rPr>
          <w:rFonts w:asciiTheme="minorHAnsi" w:eastAsiaTheme="minorHAnsi" w:hAnsiTheme="minorHAnsi" w:cstheme="minorHAnsi"/>
          <w:i/>
          <w:iCs/>
        </w:rPr>
        <w:t xml:space="preserve">For a CSI </w:t>
      </w:r>
      <w:r w:rsidRPr="00341A00">
        <w:rPr>
          <w:rFonts w:asciiTheme="minorHAnsi" w:eastAsiaTheme="minorHAnsi" w:hAnsiTheme="minorHAnsi" w:cstheme="minorHAnsi"/>
          <w:i/>
          <w:iCs/>
          <w:lang w:val="en-US"/>
        </w:rPr>
        <w:t xml:space="preserve">reporting setting, support one or more of the following UE reporting mechanism: </w:t>
      </w:r>
    </w:p>
    <w:p w14:paraId="64BE6FF8" w14:textId="77777777" w:rsidR="00411820" w:rsidRPr="00341A00" w:rsidRDefault="00411820" w:rsidP="00411820">
      <w:pPr>
        <w:pStyle w:val="ListParagraph"/>
        <w:numPr>
          <w:ilvl w:val="0"/>
          <w:numId w:val="22"/>
        </w:numPr>
        <w:rPr>
          <w:rFonts w:asciiTheme="minorHAnsi" w:eastAsiaTheme="minorHAnsi" w:hAnsiTheme="minorHAnsi" w:cstheme="minorHAnsi"/>
          <w:i/>
          <w:iCs/>
          <w:szCs w:val="20"/>
        </w:rPr>
      </w:pPr>
      <w:r w:rsidRPr="00341A00">
        <w:rPr>
          <w:rFonts w:asciiTheme="minorHAnsi" w:eastAsiaTheme="minorHAnsi" w:hAnsiTheme="minorHAnsi" w:cstheme="minorHAnsi"/>
          <w:i/>
          <w:iCs/>
          <w:szCs w:val="20"/>
          <w:lang w:val="en-US"/>
        </w:rPr>
        <w:t xml:space="preserve">Alt 1: the UE can be expected to report one CSI associated with the best single-TRP measurement hypothesis and one CSI associated with the best NCJT measurement hypothesis, if configured  </w:t>
      </w:r>
    </w:p>
    <w:p w14:paraId="78DA6611" w14:textId="77777777" w:rsidR="00411820" w:rsidRPr="00341A00" w:rsidRDefault="00411820" w:rsidP="00411820">
      <w:pPr>
        <w:numPr>
          <w:ilvl w:val="1"/>
          <w:numId w:val="19"/>
        </w:numPr>
        <w:overflowPunct/>
        <w:spacing w:after="0"/>
        <w:textAlignment w:val="auto"/>
        <w:rPr>
          <w:rFonts w:asciiTheme="minorHAnsi" w:eastAsiaTheme="minorHAnsi" w:hAnsiTheme="minorHAnsi" w:cstheme="minorHAnsi"/>
          <w:i/>
          <w:iCs/>
        </w:rPr>
      </w:pPr>
      <w:r w:rsidRPr="00341A00">
        <w:rPr>
          <w:rFonts w:asciiTheme="minorHAnsi" w:eastAsiaTheme="minorHAnsi" w:hAnsiTheme="minorHAnsi" w:cstheme="minorHAnsi"/>
          <w:i/>
          <w:iCs/>
          <w:lang w:val="en-US"/>
        </w:rPr>
        <w:t>FFS omission of CSI associated with NCJT measurement hypothesis</w:t>
      </w:r>
    </w:p>
    <w:p w14:paraId="6D8A865F" w14:textId="77777777" w:rsidR="00411820" w:rsidRPr="00341A00" w:rsidRDefault="00411820" w:rsidP="00411820">
      <w:pPr>
        <w:pStyle w:val="ListParagraph"/>
        <w:numPr>
          <w:ilvl w:val="0"/>
          <w:numId w:val="19"/>
        </w:numPr>
        <w:rPr>
          <w:rFonts w:asciiTheme="minorHAnsi" w:eastAsiaTheme="minorHAnsi" w:hAnsiTheme="minorHAnsi" w:cstheme="minorHAnsi"/>
          <w:i/>
          <w:iCs/>
          <w:szCs w:val="20"/>
        </w:rPr>
      </w:pPr>
      <w:r w:rsidRPr="00341A00">
        <w:rPr>
          <w:rFonts w:asciiTheme="minorHAnsi" w:eastAsiaTheme="minorHAnsi" w:hAnsiTheme="minorHAnsi" w:cstheme="minorHAnsi"/>
          <w:i/>
          <w:iCs/>
          <w:szCs w:val="20"/>
          <w:lang w:val="en-US"/>
        </w:rPr>
        <w:t>Alt 2: the UE can be expected to report one CSI associated with the best one among NCJT and/or single-TRP measurement hypotheses, if configured</w:t>
      </w:r>
    </w:p>
    <w:p w14:paraId="7651CF70" w14:textId="77777777" w:rsidR="00411820" w:rsidRPr="00341A00" w:rsidRDefault="00411820" w:rsidP="00411820">
      <w:pPr>
        <w:numPr>
          <w:ilvl w:val="1"/>
          <w:numId w:val="20"/>
        </w:numPr>
        <w:overflowPunct/>
        <w:spacing w:after="0"/>
        <w:textAlignment w:val="auto"/>
        <w:rPr>
          <w:rFonts w:asciiTheme="minorHAnsi" w:eastAsiaTheme="minorHAnsi" w:hAnsiTheme="minorHAnsi" w:cstheme="minorHAnsi"/>
          <w:i/>
          <w:iCs/>
        </w:rPr>
      </w:pPr>
      <w:r w:rsidRPr="00341A00">
        <w:rPr>
          <w:rFonts w:asciiTheme="minorHAnsi" w:eastAsiaTheme="minorHAnsi" w:hAnsiTheme="minorHAnsi" w:cstheme="minorHAnsi"/>
          <w:i/>
          <w:iCs/>
          <w:lang w:val="en-US"/>
        </w:rPr>
        <w:lastRenderedPageBreak/>
        <w:t>FFS how to report recommended measurement hypothesis associated with that CSI report</w:t>
      </w:r>
    </w:p>
    <w:p w14:paraId="3B8FEF4D" w14:textId="77777777" w:rsidR="00411820" w:rsidRPr="00341A00" w:rsidRDefault="00411820" w:rsidP="00411820">
      <w:pPr>
        <w:pStyle w:val="ListParagraph"/>
        <w:numPr>
          <w:ilvl w:val="0"/>
          <w:numId w:val="23"/>
        </w:numPr>
        <w:rPr>
          <w:rFonts w:asciiTheme="minorHAnsi" w:eastAsiaTheme="minorHAnsi" w:hAnsiTheme="minorHAnsi" w:cstheme="minorHAnsi"/>
          <w:i/>
          <w:iCs/>
          <w:szCs w:val="20"/>
        </w:rPr>
      </w:pPr>
      <w:r w:rsidRPr="00341A00">
        <w:rPr>
          <w:rFonts w:asciiTheme="minorHAnsi" w:eastAsiaTheme="minorHAnsi" w:hAnsiTheme="minorHAnsi" w:cstheme="minorHAnsi"/>
          <w:i/>
          <w:iCs/>
          <w:szCs w:val="20"/>
          <w:lang w:val="en-US"/>
        </w:rPr>
        <w:t xml:space="preserve">Alt 3:  the UE can be expected to report two CSIs associated with the two best single-TRP measurement hypotheses associated with CMRs from two TRPs and one CSI associated with the best NCJT measurement hypothesis, if configured  </w:t>
      </w:r>
    </w:p>
    <w:p w14:paraId="1BDC414E" w14:textId="77777777" w:rsidR="00411820" w:rsidRPr="00341A00" w:rsidRDefault="00411820" w:rsidP="00411820">
      <w:pPr>
        <w:numPr>
          <w:ilvl w:val="1"/>
          <w:numId w:val="21"/>
        </w:numPr>
        <w:overflowPunct/>
        <w:spacing w:after="0"/>
        <w:textAlignment w:val="auto"/>
        <w:rPr>
          <w:rFonts w:asciiTheme="minorHAnsi" w:eastAsiaTheme="minorHAnsi" w:hAnsiTheme="minorHAnsi" w:cstheme="minorHAnsi"/>
          <w:i/>
          <w:iCs/>
        </w:rPr>
      </w:pPr>
      <w:r w:rsidRPr="00341A00">
        <w:rPr>
          <w:rFonts w:asciiTheme="minorHAnsi" w:eastAsiaTheme="minorHAnsi" w:hAnsiTheme="minorHAnsi" w:cstheme="minorHAnsi"/>
          <w:i/>
          <w:iCs/>
          <w:lang w:val="en-US"/>
        </w:rPr>
        <w:t>FFS omission of CSI associated with NCJT measurement hypothesis</w:t>
      </w:r>
    </w:p>
    <w:p w14:paraId="6BC20920" w14:textId="77777777" w:rsidR="00411820" w:rsidRPr="00341A00" w:rsidRDefault="00411820" w:rsidP="00411820">
      <w:pPr>
        <w:numPr>
          <w:ilvl w:val="1"/>
          <w:numId w:val="21"/>
        </w:numPr>
        <w:overflowPunct/>
        <w:spacing w:after="0"/>
        <w:textAlignment w:val="auto"/>
        <w:rPr>
          <w:rFonts w:asciiTheme="minorHAnsi" w:eastAsiaTheme="minorHAnsi" w:hAnsiTheme="minorHAnsi" w:cstheme="minorHAnsi"/>
          <w:i/>
          <w:iCs/>
        </w:rPr>
      </w:pPr>
      <w:r w:rsidRPr="00341A00">
        <w:rPr>
          <w:rFonts w:asciiTheme="minorHAnsi" w:eastAsiaTheme="minorHAnsi" w:hAnsiTheme="minorHAnsi" w:cstheme="minorHAnsi"/>
          <w:i/>
          <w:iCs/>
          <w:lang w:val="en-US"/>
        </w:rPr>
        <w:t>Whether/How to report a subset of the CSI report quantities</w:t>
      </w:r>
    </w:p>
    <w:p w14:paraId="0DE50EE2" w14:textId="77777777" w:rsidR="00411820" w:rsidRPr="00341A00" w:rsidRDefault="00411820" w:rsidP="00411820">
      <w:pPr>
        <w:overflowPunct/>
        <w:spacing w:after="0"/>
        <w:textAlignment w:val="auto"/>
        <w:rPr>
          <w:rFonts w:asciiTheme="minorHAnsi" w:eastAsiaTheme="minorHAnsi" w:hAnsiTheme="minorHAnsi" w:cstheme="minorHAnsi"/>
          <w:i/>
          <w:iCs/>
        </w:rPr>
      </w:pPr>
      <w:r w:rsidRPr="00341A00">
        <w:rPr>
          <w:rFonts w:asciiTheme="minorHAnsi" w:eastAsiaTheme="minorHAnsi" w:hAnsiTheme="minorHAnsi" w:cstheme="minorHAnsi"/>
          <w:i/>
          <w:iCs/>
          <w:lang w:val="en-US"/>
        </w:rPr>
        <w:t xml:space="preserve">FFS: CSI reporting configuration details </w:t>
      </w:r>
    </w:p>
    <w:p w14:paraId="2778AA20" w14:textId="77777777" w:rsidR="00411820" w:rsidRPr="00341A00" w:rsidRDefault="00411820" w:rsidP="00411820">
      <w:pPr>
        <w:overflowPunct/>
        <w:spacing w:after="0"/>
        <w:textAlignment w:val="auto"/>
        <w:rPr>
          <w:rFonts w:asciiTheme="minorHAnsi" w:eastAsiaTheme="minorHAnsi" w:hAnsiTheme="minorHAnsi" w:cstheme="minorHAnsi"/>
          <w:i/>
          <w:iCs/>
        </w:rPr>
      </w:pPr>
      <w:r w:rsidRPr="00341A00">
        <w:rPr>
          <w:rFonts w:asciiTheme="minorHAnsi" w:eastAsiaTheme="minorHAnsi" w:hAnsiTheme="minorHAnsi" w:cstheme="minorHAnsi"/>
          <w:i/>
          <w:iCs/>
          <w:lang w:val="en-US"/>
        </w:rPr>
        <w:t>Note supporting which one or more mechanisms is to be determined in RAN1#104-e</w:t>
      </w:r>
      <w:r w:rsidRPr="00341A00">
        <w:rPr>
          <w:rFonts w:asciiTheme="minorHAnsi" w:eastAsiaTheme="minorHAnsi" w:hAnsiTheme="minorHAnsi" w:cstheme="minorHAnsi"/>
          <w:i/>
          <w:iCs/>
        </w:rPr>
        <w:t xml:space="preserve"> </w:t>
      </w:r>
    </w:p>
    <w:p w14:paraId="5B23660A" w14:textId="77777777" w:rsidR="00411820" w:rsidRDefault="00411820" w:rsidP="00411820">
      <w:pPr>
        <w:overflowPunct/>
        <w:spacing w:after="0"/>
        <w:textAlignment w:val="auto"/>
        <w:rPr>
          <w:rFonts w:asciiTheme="minorHAnsi" w:eastAsiaTheme="minorHAnsi" w:hAnsiTheme="minorHAnsi" w:cstheme="minorHAnsi"/>
          <w:sz w:val="16"/>
          <w:szCs w:val="16"/>
        </w:rPr>
      </w:pPr>
    </w:p>
    <w:p w14:paraId="780E745B" w14:textId="77777777" w:rsidR="00411820" w:rsidRPr="00A151C2" w:rsidRDefault="00411820" w:rsidP="00411820">
      <w:pPr>
        <w:overflowPunct/>
        <w:textAlignment w:val="auto"/>
        <w:rPr>
          <w:rFonts w:eastAsiaTheme="minorHAnsi"/>
        </w:rPr>
      </w:pPr>
      <w:r>
        <w:rPr>
          <w:rFonts w:eastAsiaTheme="minorHAnsi"/>
        </w:rPr>
        <w:t>Note that in all three alternatives, the combined bit-width of the CRIs equals three bits.</w:t>
      </w:r>
    </w:p>
    <w:p w14:paraId="5D92C862" w14:textId="77777777" w:rsidR="00411820" w:rsidRDefault="00411820" w:rsidP="00411820">
      <w:pPr>
        <w:overflowPunct/>
        <w:spacing w:after="0"/>
        <w:textAlignment w:val="auto"/>
      </w:pPr>
      <w:r>
        <w:rPr>
          <w:rFonts w:eastAsiaTheme="minorHAnsi"/>
          <w:noProof/>
        </w:rPr>
        <w:drawing>
          <wp:inline distT="0" distB="0" distL="0" distR="0" wp14:anchorId="4F3A3056" wp14:editId="065D3C5F">
            <wp:extent cx="6120004" cy="3101983"/>
            <wp:effectExtent l="0" t="0" r="0"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MR_pairing.emf"/>
                    <pic:cNvPicPr/>
                  </pic:nvPicPr>
                  <pic:blipFill>
                    <a:blip r:embed="rId30" cstate="print">
                      <a:extLst>
                        <a:ext uri="{28A0092B-C50C-407E-A947-70E740481C1C}">
                          <a14:useLocalDpi xmlns:a14="http://schemas.microsoft.com/office/drawing/2010/main" val="0"/>
                        </a:ext>
                      </a:extLst>
                    </a:blip>
                    <a:stretch>
                      <a:fillRect/>
                    </a:stretch>
                  </pic:blipFill>
                  <pic:spPr>
                    <a:xfrm>
                      <a:off x="0" y="0"/>
                      <a:ext cx="6120004" cy="3101983"/>
                    </a:xfrm>
                    <a:prstGeom prst="rect">
                      <a:avLst/>
                    </a:prstGeom>
                  </pic:spPr>
                </pic:pic>
              </a:graphicData>
            </a:graphic>
          </wp:inline>
        </w:drawing>
      </w:r>
    </w:p>
    <w:p w14:paraId="631E4538" w14:textId="149A54CA" w:rsidR="00411820" w:rsidRDefault="00411820" w:rsidP="00411820">
      <w:pPr>
        <w:pStyle w:val="Caption"/>
        <w:jc w:val="center"/>
        <w:rPr>
          <w:rFonts w:eastAsiaTheme="minorHAnsi"/>
        </w:rPr>
      </w:pPr>
      <w:bookmarkStart w:id="29" w:name="_Ref60682084"/>
      <w:r>
        <w:t xml:space="preserve">Figure </w:t>
      </w:r>
      <w:r>
        <w:fldChar w:fldCharType="begin"/>
      </w:r>
      <w:r>
        <w:instrText xml:space="preserve"> SEQ Figure \* ARABIC </w:instrText>
      </w:r>
      <w:r>
        <w:fldChar w:fldCharType="separate"/>
      </w:r>
      <w:r w:rsidR="00F920C2">
        <w:rPr>
          <w:noProof/>
        </w:rPr>
        <w:t>14</w:t>
      </w:r>
      <w:r>
        <w:fldChar w:fldCharType="end"/>
      </w:r>
      <w:bookmarkEnd w:id="29"/>
      <w:r>
        <w:t>. Example of CMR pairing restriction for NC-JT measurement hypotheses. The CMR pairing also determines the CRI codepoint association used to report the measurement hypothesis under the three different CSI reporting alternatives.</w:t>
      </w:r>
    </w:p>
    <w:p w14:paraId="1B526B95" w14:textId="77777777" w:rsidR="00411820" w:rsidRDefault="00411820" w:rsidP="00411820">
      <w:pPr>
        <w:overflowPunct/>
        <w:textAlignment w:val="auto"/>
        <w:rPr>
          <w:rFonts w:eastAsiaTheme="minorHAnsi"/>
        </w:rPr>
      </w:pPr>
    </w:p>
    <w:p w14:paraId="233DC076" w14:textId="5762E00C" w:rsidR="00411820" w:rsidRPr="00411820" w:rsidRDefault="00411820" w:rsidP="00411820">
      <w:pPr>
        <w:overflowPunct/>
        <w:textAlignment w:val="auto"/>
        <w:rPr>
          <w:rFonts w:eastAsiaTheme="minorEastAsia"/>
          <w:b/>
          <w:bCs/>
        </w:rPr>
      </w:pPr>
      <w:r w:rsidRPr="2254ADDB">
        <w:rPr>
          <w:rFonts w:eastAsiaTheme="minorEastAsia"/>
          <w:b/>
          <w:bCs/>
        </w:rPr>
        <w:t>Proposal</w:t>
      </w:r>
      <w:r w:rsidR="00F1272F">
        <w:rPr>
          <w:rFonts w:eastAsiaTheme="minorEastAsia"/>
          <w:b/>
          <w:bCs/>
        </w:rPr>
        <w:t xml:space="preserve"> 6</w:t>
      </w:r>
      <w:r w:rsidRPr="2254ADDB">
        <w:rPr>
          <w:rFonts w:eastAsiaTheme="minorEastAsia"/>
          <w:b/>
          <w:bCs/>
        </w:rPr>
        <w:t>. Support network indication of the CMR pairing to restrict the NC-JT measurement hypotheses when more than 2 CMR resources are configured in a resource set.</w:t>
      </w:r>
    </w:p>
    <w:p w14:paraId="7AE29084" w14:textId="77777777" w:rsidR="00411820" w:rsidRPr="00411820" w:rsidRDefault="00411820" w:rsidP="00411820"/>
    <w:p w14:paraId="60CF0E90" w14:textId="7C9A0E70" w:rsidR="00411820" w:rsidRDefault="00411820">
      <w:pPr>
        <w:pStyle w:val="Heading2"/>
      </w:pPr>
      <w:r>
        <w:t>3.3</w:t>
      </w:r>
      <w:r>
        <w:tab/>
        <w:t>Number of configurable CSIs in a single report</w:t>
      </w:r>
    </w:p>
    <w:p w14:paraId="3D28D5E6" w14:textId="6148C30F" w:rsidR="00411820" w:rsidRDefault="00A050DC" w:rsidP="00411820">
      <w:r>
        <w:t xml:space="preserve">In RAN1#103-e, three possible combinations of CSIs were listed in the agreement reported above and illustrated on the </w:t>
      </w:r>
      <w:r w:rsidR="00084FB0">
        <w:t>right</w:t>
      </w:r>
      <w:r>
        <w:t xml:space="preserve">-hand side of </w:t>
      </w:r>
      <w:r w:rsidR="00084FB0">
        <w:fldChar w:fldCharType="begin"/>
      </w:r>
      <w:r w:rsidR="00084FB0">
        <w:instrText xml:space="preserve"> REF _Ref60682084 \h </w:instrText>
      </w:r>
      <w:r w:rsidR="00084FB0">
        <w:fldChar w:fldCharType="separate"/>
      </w:r>
      <w:r w:rsidR="00307C05">
        <w:t xml:space="preserve">Figure </w:t>
      </w:r>
      <w:r w:rsidR="00307C05">
        <w:rPr>
          <w:noProof/>
        </w:rPr>
        <w:t>8</w:t>
      </w:r>
      <w:r w:rsidR="00084FB0">
        <w:fldChar w:fldCharType="end"/>
      </w:r>
      <w:r w:rsidR="00524232">
        <w:t>. Alt. 3, combined with Alt. 1 provides the most flexible mechanism allowing the network to configure</w:t>
      </w:r>
      <w:r w:rsidR="00FB7439">
        <w:t xml:space="preserve"> the following three reports</w:t>
      </w:r>
    </w:p>
    <w:p w14:paraId="6136B045" w14:textId="77777777" w:rsidR="00FB7439" w:rsidRDefault="00FB7439" w:rsidP="00FB7439">
      <w:pPr>
        <w:pStyle w:val="ListParagraph"/>
        <w:numPr>
          <w:ilvl w:val="0"/>
          <w:numId w:val="23"/>
        </w:numPr>
      </w:pPr>
      <w:r>
        <w:t>3 CSIs: two best single TRP measurements, one for TRP 0 and one for TRP 1 and 1 best NC-JT measurement</w:t>
      </w:r>
    </w:p>
    <w:p w14:paraId="5C9FAFA3" w14:textId="77777777" w:rsidR="00FB7439" w:rsidRDefault="00FB7439" w:rsidP="00FB7439">
      <w:pPr>
        <w:pStyle w:val="ListParagraph"/>
        <w:numPr>
          <w:ilvl w:val="0"/>
          <w:numId w:val="23"/>
        </w:numPr>
      </w:pPr>
      <w:r>
        <w:t>2 CSIs: two best single TRP measurements, one for TRP 0 and one for TRP 1</w:t>
      </w:r>
    </w:p>
    <w:p w14:paraId="27FC6DA4" w14:textId="768E2807" w:rsidR="00FB7439" w:rsidRDefault="00FB7439" w:rsidP="00FB7439">
      <w:pPr>
        <w:pStyle w:val="ListParagraph"/>
        <w:numPr>
          <w:ilvl w:val="0"/>
          <w:numId w:val="23"/>
        </w:numPr>
      </w:pPr>
      <w:r>
        <w:t>2 CSIs: one best single TRP measurement, one best NC-JT measurement</w:t>
      </w:r>
    </w:p>
    <w:p w14:paraId="736E15C1" w14:textId="6D303773" w:rsidR="00FB7439" w:rsidRDefault="00FB7439" w:rsidP="00FB7439"/>
    <w:p w14:paraId="337C916B" w14:textId="7FC52757" w:rsidR="00FB7439" w:rsidRPr="00F96C24" w:rsidRDefault="00FB7439" w:rsidP="00FB7439">
      <w:pPr>
        <w:rPr>
          <w:b/>
          <w:bCs/>
        </w:rPr>
      </w:pPr>
      <w:r w:rsidRPr="00F96C24">
        <w:rPr>
          <w:b/>
          <w:bCs/>
        </w:rPr>
        <w:t>Proposal</w:t>
      </w:r>
      <w:r w:rsidR="00A72740">
        <w:rPr>
          <w:b/>
          <w:bCs/>
        </w:rPr>
        <w:t xml:space="preserve"> 7</w:t>
      </w:r>
      <w:r w:rsidRPr="00F96C24">
        <w:rPr>
          <w:b/>
          <w:bCs/>
        </w:rPr>
        <w:t>. For the number of reported CSIs in a single Reporting Setting, support a combination of Alt 3 and Alt 1 with three possible configurations:</w:t>
      </w:r>
    </w:p>
    <w:p w14:paraId="1A68052B" w14:textId="623130D1" w:rsidR="00F96C24" w:rsidRPr="00F96C24" w:rsidRDefault="00F96C24" w:rsidP="00F96C24">
      <w:pPr>
        <w:pStyle w:val="ListParagraph"/>
        <w:numPr>
          <w:ilvl w:val="0"/>
          <w:numId w:val="46"/>
        </w:numPr>
        <w:rPr>
          <w:b/>
          <w:bCs/>
        </w:rPr>
      </w:pPr>
      <w:r w:rsidRPr="00F96C24">
        <w:rPr>
          <w:b/>
          <w:bCs/>
        </w:rPr>
        <w:t>3 CSIs: two best single TRP measurements, one for TRP 0 and one for TRP 1, and 1 best NC-JT measurement</w:t>
      </w:r>
    </w:p>
    <w:p w14:paraId="27A39AFE" w14:textId="77777777" w:rsidR="00F96C24" w:rsidRPr="00F96C24" w:rsidRDefault="00F96C24" w:rsidP="00F96C24">
      <w:pPr>
        <w:pStyle w:val="ListParagraph"/>
        <w:numPr>
          <w:ilvl w:val="0"/>
          <w:numId w:val="46"/>
        </w:numPr>
        <w:rPr>
          <w:b/>
          <w:bCs/>
        </w:rPr>
      </w:pPr>
      <w:r w:rsidRPr="00F96C24">
        <w:rPr>
          <w:b/>
          <w:bCs/>
        </w:rPr>
        <w:t>2 CSIs: two best single TRP measurements, one for TRP 0 and one for TRP 1</w:t>
      </w:r>
    </w:p>
    <w:p w14:paraId="64AC4B86" w14:textId="2DB70B17" w:rsidR="00F96C24" w:rsidRPr="00F96C24" w:rsidRDefault="00F96C24" w:rsidP="00F96C24">
      <w:pPr>
        <w:pStyle w:val="ListParagraph"/>
        <w:numPr>
          <w:ilvl w:val="0"/>
          <w:numId w:val="46"/>
        </w:numPr>
        <w:rPr>
          <w:b/>
          <w:bCs/>
        </w:rPr>
      </w:pPr>
      <w:r w:rsidRPr="00F96C24">
        <w:rPr>
          <w:b/>
          <w:bCs/>
        </w:rPr>
        <w:t>2 CSIs: one best single TRP measurement, one best NC-JT measurement</w:t>
      </w:r>
    </w:p>
    <w:p w14:paraId="6DCC2A9D" w14:textId="5BE9CD79" w:rsidR="00FB7439" w:rsidRPr="00411820" w:rsidRDefault="00FB7439" w:rsidP="00FB7439">
      <w:r>
        <w:t xml:space="preserve"> </w:t>
      </w:r>
    </w:p>
    <w:p w14:paraId="4D174E19" w14:textId="697E49CD" w:rsidR="00411820" w:rsidRDefault="00411820">
      <w:pPr>
        <w:pStyle w:val="Heading2"/>
      </w:pPr>
      <w:r>
        <w:lastRenderedPageBreak/>
        <w:t>3.4</w:t>
      </w:r>
      <w:r>
        <w:tab/>
        <w:t>Other open issues on resource configuration and CSI quantities</w:t>
      </w:r>
    </w:p>
    <w:p w14:paraId="7ADB7041" w14:textId="77777777" w:rsidR="00411820" w:rsidRDefault="00411820" w:rsidP="00411820">
      <w:pPr>
        <w:overflowPunct/>
        <w:textAlignment w:val="auto"/>
        <w:rPr>
          <w:rFonts w:eastAsiaTheme="minorHAnsi"/>
        </w:rPr>
      </w:pPr>
      <w:r>
        <w:rPr>
          <w:rFonts w:eastAsiaTheme="minorHAnsi"/>
        </w:rPr>
        <w:t>Another configuration aspect that needs to be addressed is the current limitation in the maximum number of ports supported per CMR, when a UE is configured with multiple CSI-RS resources per set and CRI reporting. From Sec. 5.2.1.4.2 of 38.214: “</w:t>
      </w:r>
      <w:r>
        <w:rPr>
          <w:rFonts w:eastAsia="Batang"/>
        </w:rPr>
        <w:t xml:space="preserve">If </w:t>
      </w:r>
      <m:oMath>
        <m:sSub>
          <m:sSubPr>
            <m:ctrlPr>
              <w:rPr>
                <w:rFonts w:ascii="Cambria Math" w:eastAsia="Batang" w:hAnsi="Cambria Math"/>
                <w:i/>
              </w:rPr>
            </m:ctrlPr>
          </m:sSubPr>
          <m:e>
            <m:r>
              <w:rPr>
                <w:rFonts w:ascii="Cambria Math" w:eastAsia="Batang" w:hAnsi="Cambria Math"/>
              </w:rPr>
              <m:t>K</m:t>
            </m:r>
          </m:e>
          <m:sub>
            <m:r>
              <w:rPr>
                <w:rFonts w:ascii="Cambria Math" w:eastAsia="Batang" w:hAnsi="Cambria Math"/>
              </w:rPr>
              <m:t>s</m:t>
            </m:r>
          </m:sub>
        </m:sSub>
        <m:r>
          <w:rPr>
            <w:rFonts w:ascii="Cambria Math" w:eastAsia="Batang" w:hAnsi="Cambria Math"/>
          </w:rPr>
          <m:t>=2</m:t>
        </m:r>
      </m:oMath>
      <w:r>
        <w:rPr>
          <w:rFonts w:eastAsia="Batang"/>
        </w:rPr>
        <w:t xml:space="preserve"> CSI-RS resources are configured, each resource shall contain at most 16 CSI-RS ports. If </w:t>
      </w:r>
      <m:oMath>
        <m:r>
          <w:rPr>
            <w:rFonts w:ascii="Cambria Math" w:eastAsia="Batang" w:hAnsi="Cambria Math"/>
          </w:rPr>
          <m:t>2&lt;</m:t>
        </m:r>
        <m:sSub>
          <m:sSubPr>
            <m:ctrlPr>
              <w:rPr>
                <w:rFonts w:ascii="Cambria Math" w:eastAsia="Batang" w:hAnsi="Cambria Math"/>
                <w:i/>
              </w:rPr>
            </m:ctrlPr>
          </m:sSubPr>
          <m:e>
            <m:r>
              <w:rPr>
                <w:rFonts w:ascii="Cambria Math" w:eastAsia="Batang" w:hAnsi="Cambria Math"/>
              </w:rPr>
              <m:t>K</m:t>
            </m:r>
          </m:e>
          <m:sub>
            <m:r>
              <w:rPr>
                <w:rFonts w:ascii="Cambria Math" w:eastAsia="Batang" w:hAnsi="Cambria Math"/>
              </w:rPr>
              <m:t>s</m:t>
            </m:r>
          </m:sub>
        </m:sSub>
        <m:r>
          <w:rPr>
            <w:rFonts w:ascii="Cambria Math" w:eastAsia="Batang" w:hAnsi="Cambria Math"/>
          </w:rPr>
          <m:t>≤8</m:t>
        </m:r>
      </m:oMath>
      <w:r>
        <w:rPr>
          <w:rFonts w:eastAsia="Batang"/>
        </w:rPr>
        <w:t xml:space="preserve"> CSI-RS resources are configured, each resource shall contain at most 8 CSI-RS ports</w:t>
      </w:r>
      <w:r>
        <w:rPr>
          <w:rFonts w:eastAsiaTheme="minorHAnsi"/>
        </w:rPr>
        <w:t>”. Therefore, with the existing port number restriction, CSI measurement for M-TRP is limited to 16 ports per TRP, including single-TRP measurement hypotheses. We propose to extend this limit to 32 ports per resource.</w:t>
      </w:r>
    </w:p>
    <w:p w14:paraId="4F6E6725" w14:textId="638C798E" w:rsidR="00411820" w:rsidRPr="00953092" w:rsidRDefault="00411820" w:rsidP="00411820">
      <w:pPr>
        <w:overflowPunct/>
        <w:textAlignment w:val="auto"/>
        <w:rPr>
          <w:rFonts w:eastAsiaTheme="minorHAnsi"/>
          <w:b/>
          <w:bCs/>
        </w:rPr>
      </w:pPr>
      <w:r w:rsidRPr="00953092">
        <w:rPr>
          <w:rFonts w:eastAsiaTheme="minorHAnsi"/>
          <w:b/>
          <w:bCs/>
        </w:rPr>
        <w:t>Proposal</w:t>
      </w:r>
      <w:r w:rsidR="0097331F">
        <w:rPr>
          <w:rFonts w:eastAsiaTheme="minorHAnsi"/>
          <w:b/>
          <w:bCs/>
        </w:rPr>
        <w:t xml:space="preserve"> 8</w:t>
      </w:r>
      <w:r w:rsidRPr="00953092">
        <w:rPr>
          <w:rFonts w:eastAsiaTheme="minorHAnsi"/>
          <w:b/>
          <w:bCs/>
        </w:rPr>
        <w:t>. For M-TRP CSI measurement, support extension of the maximum number of ports per CSI-RS resource to 32.</w:t>
      </w:r>
    </w:p>
    <w:p w14:paraId="5977E842" w14:textId="4ADEF36C" w:rsidR="00411820" w:rsidRDefault="00411820" w:rsidP="00411820">
      <w:pPr>
        <w:overflowPunct/>
        <w:textAlignment w:val="auto"/>
        <w:rPr>
          <w:rFonts w:eastAsiaTheme="minorHAnsi"/>
        </w:rPr>
      </w:pPr>
      <w:r>
        <w:rPr>
          <w:rFonts w:eastAsiaTheme="minorHAnsi"/>
        </w:rPr>
        <w:t>As agreed in RAN1#103-e, UE’s support of NC-JT measurement, in case of CMRs configured with 32 ports each, is to be considered optional, subject to UE’s capability.</w:t>
      </w:r>
    </w:p>
    <w:p w14:paraId="7362DAB3" w14:textId="77777777" w:rsidR="00411820" w:rsidRDefault="00411820" w:rsidP="00411820">
      <w:pPr>
        <w:overflowPunct/>
        <w:textAlignment w:val="auto"/>
        <w:rPr>
          <w:rFonts w:eastAsiaTheme="minorHAnsi"/>
        </w:rPr>
      </w:pPr>
      <w:r>
        <w:rPr>
          <w:rFonts w:eastAsiaTheme="minorHAnsi"/>
        </w:rPr>
        <w:t>In regard to the CSI quantities reported for an NC-JT measurement hypothesis and single CSI Reporting Setting a number of FFS points remain in the following agreement</w:t>
      </w:r>
    </w:p>
    <w:p w14:paraId="326D08E7" w14:textId="77777777" w:rsidR="00411820" w:rsidRPr="00341A00" w:rsidRDefault="00411820" w:rsidP="00411820">
      <w:pPr>
        <w:overflowPunct/>
        <w:autoSpaceDE/>
        <w:autoSpaceDN/>
        <w:adjustRightInd/>
        <w:spacing w:after="0"/>
        <w:textAlignment w:val="auto"/>
        <w:rPr>
          <w:rFonts w:asciiTheme="minorHAnsi" w:eastAsiaTheme="minorHAnsi" w:hAnsiTheme="minorHAnsi" w:cstheme="minorHAnsi"/>
          <w:b/>
          <w:bCs/>
          <w:i/>
          <w:iCs/>
        </w:rPr>
      </w:pPr>
      <w:r w:rsidRPr="00341A00">
        <w:rPr>
          <w:rFonts w:asciiTheme="minorHAnsi" w:eastAsiaTheme="minorHAnsi" w:hAnsiTheme="minorHAnsi" w:cstheme="minorHAnsi"/>
          <w:b/>
          <w:bCs/>
          <w:i/>
          <w:iCs/>
          <w:highlight w:val="green"/>
        </w:rPr>
        <w:t>Agreement</w:t>
      </w:r>
    </w:p>
    <w:p w14:paraId="1BFB53C5" w14:textId="77777777" w:rsidR="00411820" w:rsidRPr="00341A00" w:rsidRDefault="00411820" w:rsidP="00411820">
      <w:pPr>
        <w:overflowPunct/>
        <w:autoSpaceDE/>
        <w:autoSpaceDN/>
        <w:adjustRightInd/>
        <w:spacing w:after="0"/>
        <w:textAlignment w:val="auto"/>
        <w:rPr>
          <w:rFonts w:asciiTheme="minorHAnsi" w:eastAsiaTheme="minorHAnsi" w:hAnsiTheme="minorHAnsi" w:cstheme="minorHAnsi"/>
          <w:i/>
          <w:iCs/>
        </w:rPr>
      </w:pPr>
    </w:p>
    <w:p w14:paraId="13C97BD8" w14:textId="77777777" w:rsidR="00411820" w:rsidRPr="00341A00" w:rsidRDefault="00411820" w:rsidP="00411820">
      <w:pPr>
        <w:spacing w:after="0"/>
        <w:rPr>
          <w:rFonts w:asciiTheme="minorHAnsi" w:eastAsiaTheme="minorHAnsi" w:hAnsiTheme="minorHAnsi" w:cstheme="minorHAnsi"/>
          <w:i/>
          <w:iCs/>
          <w:lang w:val="en-US"/>
        </w:rPr>
      </w:pPr>
      <w:r w:rsidRPr="00341A00">
        <w:rPr>
          <w:rFonts w:asciiTheme="minorHAnsi" w:eastAsiaTheme="minorHAnsi" w:hAnsiTheme="minorHAnsi" w:cstheme="minorHAnsi"/>
          <w:i/>
          <w:iCs/>
        </w:rPr>
        <w:t xml:space="preserve">For a CSI report </w:t>
      </w:r>
      <w:r w:rsidRPr="00341A00">
        <w:rPr>
          <w:rFonts w:asciiTheme="minorHAnsi" w:eastAsiaTheme="minorHAnsi" w:hAnsiTheme="minorHAnsi" w:cstheme="minorHAnsi"/>
          <w:i/>
          <w:iCs/>
          <w:lang w:val="en-US"/>
        </w:rPr>
        <w:t xml:space="preserve">associated with a Multi-TRP/panel NCJT measurement hypothesis configured by single CSI reporting setting, the UE is expected to report </w:t>
      </w:r>
    </w:p>
    <w:p w14:paraId="33A0C7B0" w14:textId="77777777" w:rsidR="00411820" w:rsidRPr="00341A00" w:rsidRDefault="00411820" w:rsidP="00411820">
      <w:pPr>
        <w:pStyle w:val="ListParagraph"/>
        <w:numPr>
          <w:ilvl w:val="0"/>
          <w:numId w:val="27"/>
        </w:numPr>
        <w:rPr>
          <w:rFonts w:asciiTheme="minorHAnsi" w:eastAsiaTheme="minorHAnsi" w:hAnsiTheme="minorHAnsi" w:cstheme="minorHAnsi"/>
          <w:i/>
          <w:iCs/>
          <w:szCs w:val="20"/>
        </w:rPr>
      </w:pPr>
      <w:r w:rsidRPr="00341A00">
        <w:rPr>
          <w:rFonts w:asciiTheme="minorHAnsi" w:eastAsiaTheme="minorHAnsi" w:hAnsiTheme="minorHAnsi" w:cstheme="minorHAnsi"/>
          <w:i/>
          <w:iCs/>
          <w:szCs w:val="20"/>
          <w:lang w:val="en-US"/>
        </w:rPr>
        <w:t>two RIs, two PMIs, two LIs and one CQI per codeword, for single-DCI based NCJT when the maximal transmission layers is less than or equal to 4</w:t>
      </w:r>
    </w:p>
    <w:p w14:paraId="3A1989F2" w14:textId="77777777" w:rsidR="00411820" w:rsidRPr="00341A00" w:rsidRDefault="00411820" w:rsidP="00411820">
      <w:pPr>
        <w:numPr>
          <w:ilvl w:val="1"/>
          <w:numId w:val="26"/>
        </w:numPr>
        <w:overflowPunct/>
        <w:spacing w:after="0"/>
        <w:textAlignment w:val="auto"/>
        <w:rPr>
          <w:rFonts w:asciiTheme="minorHAnsi" w:eastAsiaTheme="minorHAnsi" w:hAnsiTheme="minorHAnsi" w:cstheme="minorHAnsi"/>
          <w:i/>
          <w:iCs/>
        </w:rPr>
      </w:pPr>
      <w:r w:rsidRPr="00341A00">
        <w:rPr>
          <w:rFonts w:asciiTheme="minorHAnsi" w:eastAsiaTheme="minorHAnsi" w:hAnsiTheme="minorHAnsi" w:cstheme="minorHAnsi"/>
          <w:i/>
          <w:iCs/>
          <w:lang w:val="en-US"/>
        </w:rPr>
        <w:t>FFS: Maximal transmission layers larger than 4</w:t>
      </w:r>
    </w:p>
    <w:p w14:paraId="00CDEF0C" w14:textId="77777777" w:rsidR="00411820" w:rsidRPr="00341A00" w:rsidRDefault="00411820" w:rsidP="00411820">
      <w:pPr>
        <w:numPr>
          <w:ilvl w:val="1"/>
          <w:numId w:val="26"/>
        </w:numPr>
        <w:overflowPunct/>
        <w:spacing w:after="0"/>
        <w:textAlignment w:val="auto"/>
        <w:rPr>
          <w:rFonts w:asciiTheme="minorHAnsi" w:eastAsiaTheme="minorHAnsi" w:hAnsiTheme="minorHAnsi" w:cstheme="minorHAnsi"/>
          <w:i/>
          <w:iCs/>
        </w:rPr>
      </w:pPr>
      <w:r w:rsidRPr="00341A00">
        <w:rPr>
          <w:rFonts w:asciiTheme="minorHAnsi" w:eastAsiaTheme="minorHAnsi" w:hAnsiTheme="minorHAnsi" w:cstheme="minorHAnsi"/>
          <w:i/>
          <w:iCs/>
          <w:lang w:val="en-US"/>
        </w:rPr>
        <w:t>FFS: Whether/how a subset of above reporting quantities are allowed to be configured to the UE</w:t>
      </w:r>
    </w:p>
    <w:p w14:paraId="77584293" w14:textId="77777777" w:rsidR="00411820" w:rsidRPr="00341A00" w:rsidRDefault="00411820" w:rsidP="00411820">
      <w:pPr>
        <w:pStyle w:val="ListParagraph"/>
        <w:numPr>
          <w:ilvl w:val="0"/>
          <w:numId w:val="26"/>
        </w:numPr>
        <w:rPr>
          <w:rFonts w:asciiTheme="minorHAnsi" w:eastAsiaTheme="minorHAnsi" w:hAnsiTheme="minorHAnsi" w:cstheme="minorHAnsi"/>
          <w:i/>
          <w:iCs/>
          <w:szCs w:val="20"/>
        </w:rPr>
      </w:pPr>
      <w:r w:rsidRPr="00341A00">
        <w:rPr>
          <w:rFonts w:asciiTheme="minorHAnsi" w:eastAsiaTheme="minorHAnsi" w:hAnsiTheme="minorHAnsi" w:cstheme="minorHAnsi"/>
          <w:i/>
          <w:iCs/>
          <w:szCs w:val="20"/>
          <w:lang w:val="en-US"/>
        </w:rPr>
        <w:t xml:space="preserve">FFS: whether/how to support two RIs, two PMIs, two LIs and two CQIs, for multi-DCI based NCJT </w:t>
      </w:r>
    </w:p>
    <w:p w14:paraId="0FFEE97B" w14:textId="77777777" w:rsidR="00411820" w:rsidRPr="00341A00" w:rsidRDefault="00411820" w:rsidP="00411820">
      <w:pPr>
        <w:pStyle w:val="ListParagraph"/>
        <w:numPr>
          <w:ilvl w:val="0"/>
          <w:numId w:val="26"/>
        </w:numPr>
        <w:rPr>
          <w:rFonts w:asciiTheme="minorHAnsi" w:eastAsiaTheme="minorHAnsi" w:hAnsiTheme="minorHAnsi" w:cstheme="minorHAnsi"/>
          <w:i/>
          <w:iCs/>
          <w:szCs w:val="20"/>
        </w:rPr>
      </w:pPr>
      <w:r w:rsidRPr="00341A00">
        <w:rPr>
          <w:rFonts w:asciiTheme="minorHAnsi" w:eastAsiaTheme="minorHAnsi" w:hAnsiTheme="minorHAnsi" w:cstheme="minorHAnsi"/>
          <w:i/>
          <w:iCs/>
          <w:szCs w:val="20"/>
          <w:lang w:val="en-US"/>
        </w:rPr>
        <w:t xml:space="preserve">FFS: whether/how to support CRI(s) to be reported in a CSI </w:t>
      </w:r>
    </w:p>
    <w:p w14:paraId="414FDE3D" w14:textId="77777777" w:rsidR="00411820" w:rsidRPr="00341A00" w:rsidRDefault="00411820" w:rsidP="00411820">
      <w:pPr>
        <w:pStyle w:val="ListParagraph"/>
        <w:numPr>
          <w:ilvl w:val="0"/>
          <w:numId w:val="26"/>
        </w:numPr>
        <w:rPr>
          <w:rFonts w:asciiTheme="minorHAnsi" w:eastAsiaTheme="minorHAnsi" w:hAnsiTheme="minorHAnsi" w:cstheme="minorHAnsi"/>
          <w:i/>
          <w:iCs/>
          <w:szCs w:val="20"/>
        </w:rPr>
      </w:pPr>
      <w:r w:rsidRPr="00341A00">
        <w:rPr>
          <w:rFonts w:asciiTheme="minorHAnsi" w:eastAsiaTheme="minorHAnsi" w:hAnsiTheme="minorHAnsi" w:cstheme="minorHAnsi"/>
          <w:i/>
          <w:iCs/>
          <w:szCs w:val="20"/>
          <w:lang w:val="en-US"/>
        </w:rPr>
        <w:t>FFS: restrictions among reported CSI quantities, e.g. among reported RIs and PMIs</w:t>
      </w:r>
    </w:p>
    <w:p w14:paraId="300D99BC" w14:textId="77777777" w:rsidR="00411820" w:rsidRPr="00341A00" w:rsidRDefault="00411820" w:rsidP="00411820">
      <w:pPr>
        <w:pStyle w:val="ListParagraph"/>
        <w:numPr>
          <w:ilvl w:val="0"/>
          <w:numId w:val="26"/>
        </w:numPr>
        <w:rPr>
          <w:rFonts w:asciiTheme="minorHAnsi" w:eastAsiaTheme="minorHAnsi" w:hAnsiTheme="minorHAnsi" w:cstheme="minorHAnsi"/>
          <w:i/>
          <w:iCs/>
          <w:szCs w:val="20"/>
        </w:rPr>
      </w:pPr>
      <w:r w:rsidRPr="00341A00">
        <w:rPr>
          <w:rFonts w:asciiTheme="minorHAnsi" w:eastAsiaTheme="minorHAnsi" w:hAnsiTheme="minorHAnsi" w:cstheme="minorHAnsi"/>
          <w:i/>
          <w:iCs/>
          <w:szCs w:val="20"/>
          <w:lang w:val="en-US"/>
        </w:rPr>
        <w:t>FFS: whether/how to support non-PMI based port-selection</w:t>
      </w:r>
    </w:p>
    <w:p w14:paraId="14CF9764" w14:textId="77777777" w:rsidR="00411820" w:rsidRPr="00341A00" w:rsidRDefault="00411820" w:rsidP="00411820">
      <w:pPr>
        <w:pStyle w:val="ListParagraph"/>
        <w:numPr>
          <w:ilvl w:val="0"/>
          <w:numId w:val="26"/>
        </w:numPr>
        <w:rPr>
          <w:rFonts w:asciiTheme="minorHAnsi" w:eastAsiaTheme="minorHAnsi" w:hAnsiTheme="minorHAnsi" w:cstheme="minorHAnsi"/>
          <w:i/>
          <w:iCs/>
          <w:szCs w:val="20"/>
        </w:rPr>
      </w:pPr>
      <w:r w:rsidRPr="00341A00">
        <w:rPr>
          <w:rFonts w:asciiTheme="minorHAnsi" w:eastAsiaTheme="minorHAnsi" w:hAnsiTheme="minorHAnsi" w:cstheme="minorHAnsi"/>
          <w:i/>
          <w:iCs/>
          <w:szCs w:val="20"/>
          <w:lang w:val="en-US"/>
        </w:rPr>
        <w:t>FFS: whether/how to support single value of reported LI</w:t>
      </w:r>
    </w:p>
    <w:p w14:paraId="7AEFA5DA" w14:textId="77777777" w:rsidR="00411820" w:rsidRPr="00341A00" w:rsidRDefault="00411820" w:rsidP="00411820">
      <w:pPr>
        <w:overflowPunct/>
        <w:spacing w:after="0"/>
        <w:textAlignment w:val="auto"/>
        <w:rPr>
          <w:rFonts w:asciiTheme="minorHAnsi" w:eastAsiaTheme="minorHAnsi" w:hAnsiTheme="minorHAnsi" w:cstheme="minorHAnsi"/>
          <w:i/>
          <w:iCs/>
        </w:rPr>
      </w:pPr>
      <w:r w:rsidRPr="00341A00">
        <w:rPr>
          <w:rFonts w:asciiTheme="minorHAnsi" w:eastAsiaTheme="minorHAnsi" w:hAnsiTheme="minorHAnsi" w:cstheme="minorHAnsi"/>
          <w:i/>
          <w:iCs/>
          <w:lang w:val="en-US"/>
        </w:rPr>
        <w:t>Note that other NCJT CSI measurement/reporting enhancement for other scenarios is not precluded, e.g. for HST-SFN</w:t>
      </w:r>
    </w:p>
    <w:p w14:paraId="56BA83D2" w14:textId="77777777" w:rsidR="00411820" w:rsidRDefault="00411820" w:rsidP="00411820">
      <w:pPr>
        <w:overflowPunct/>
        <w:textAlignment w:val="auto"/>
        <w:rPr>
          <w:rFonts w:eastAsiaTheme="minorHAnsi"/>
        </w:rPr>
      </w:pPr>
    </w:p>
    <w:p w14:paraId="4C5FF138" w14:textId="6D7FCCE7" w:rsidR="00411820" w:rsidRDefault="00411820" w:rsidP="00411820">
      <w:pPr>
        <w:overflowPunct/>
        <w:textAlignment w:val="auto"/>
        <w:rPr>
          <w:rFonts w:eastAsiaTheme="minorHAnsi"/>
        </w:rPr>
      </w:pPr>
      <w:r>
        <w:rPr>
          <w:rFonts w:eastAsiaTheme="minorHAnsi"/>
        </w:rPr>
        <w:t xml:space="preserve">As elaborated before, CRI can be used to report the measured hypothesis a CSI refers to, for both single-TRP and NC-JT measurement hypotheses. For an NC-JT CSI, a CRI definition needs to be extended to include a pair of CMRs, one for each TRP. If more than two CMRs are configured in the resource set, we think network indication may be needed to restrict the possible number of pair combinations. Once these CMR pairs are known to the UE, the association of CRI codepoints to a single CMR or pair of CMRs can follow the ordering of the network indication (for NC-JT CSIs) and/or the natural ordering of the configured CMRs. The bit-width of a CRI is determined by the reporting mechanism. As illustrated in the example of </w:t>
      </w:r>
      <w:r>
        <w:rPr>
          <w:rFonts w:eastAsiaTheme="minorHAnsi"/>
        </w:rPr>
        <w:fldChar w:fldCharType="begin"/>
      </w:r>
      <w:r>
        <w:rPr>
          <w:rFonts w:eastAsiaTheme="minorHAnsi"/>
        </w:rPr>
        <w:instrText xml:space="preserve"> REF _Ref60682084 \h </w:instrText>
      </w:r>
      <w:r>
        <w:rPr>
          <w:rFonts w:eastAsiaTheme="minorHAnsi"/>
        </w:rPr>
      </w:r>
      <w:r>
        <w:rPr>
          <w:rFonts w:eastAsiaTheme="minorHAnsi"/>
        </w:rPr>
        <w:fldChar w:fldCharType="separate"/>
      </w:r>
      <w:r w:rsidR="00307C05">
        <w:t xml:space="preserve">Figure </w:t>
      </w:r>
      <w:r w:rsidR="00307C05">
        <w:rPr>
          <w:noProof/>
        </w:rPr>
        <w:t>8</w:t>
      </w:r>
      <w:r>
        <w:rPr>
          <w:rFonts w:eastAsiaTheme="minorHAnsi"/>
        </w:rPr>
        <w:fldChar w:fldCharType="end"/>
      </w:r>
      <w:r>
        <w:rPr>
          <w:rFonts w:eastAsiaTheme="minorHAnsi"/>
        </w:rPr>
        <w:t>, the value range of the CRI for each of the alternative reporting mechanisms is determined by the resource set configuration and by the network indication, if applicable.</w:t>
      </w:r>
    </w:p>
    <w:p w14:paraId="17B5DAB2" w14:textId="12D166D9" w:rsidR="00411820" w:rsidRPr="0052640A" w:rsidRDefault="00411820" w:rsidP="00411820">
      <w:pPr>
        <w:overflowPunct/>
        <w:textAlignment w:val="auto"/>
        <w:rPr>
          <w:rFonts w:eastAsiaTheme="minorHAnsi"/>
          <w:b/>
          <w:bCs/>
        </w:rPr>
      </w:pPr>
      <w:r w:rsidRPr="0052640A">
        <w:rPr>
          <w:rFonts w:eastAsiaTheme="minorHAnsi"/>
          <w:b/>
          <w:bCs/>
        </w:rPr>
        <w:t>Proposal</w:t>
      </w:r>
      <w:r w:rsidR="00FC6793">
        <w:rPr>
          <w:rFonts w:eastAsiaTheme="minorHAnsi"/>
          <w:b/>
          <w:bCs/>
        </w:rPr>
        <w:t xml:space="preserve"> 9</w:t>
      </w:r>
      <w:r w:rsidRPr="0052640A">
        <w:rPr>
          <w:rFonts w:eastAsiaTheme="minorHAnsi"/>
          <w:b/>
          <w:bCs/>
        </w:rPr>
        <w:t xml:space="preserve">. </w:t>
      </w:r>
      <w:r>
        <w:rPr>
          <w:rFonts w:eastAsiaTheme="minorHAnsi"/>
          <w:b/>
          <w:bCs/>
        </w:rPr>
        <w:t>When an NC-JT CSI is included in a multi-TRP report, s</w:t>
      </w:r>
      <w:r w:rsidRPr="0052640A">
        <w:rPr>
          <w:rFonts w:eastAsiaTheme="minorHAnsi"/>
          <w:b/>
          <w:bCs/>
        </w:rPr>
        <w:t>upport extension of the CRI definition to include the CMR pairs</w:t>
      </w:r>
      <w:r>
        <w:rPr>
          <w:rFonts w:eastAsiaTheme="minorHAnsi"/>
          <w:b/>
          <w:bCs/>
        </w:rPr>
        <w:t xml:space="preserve"> configured/indicated by the network</w:t>
      </w:r>
      <w:r w:rsidRPr="0052640A">
        <w:rPr>
          <w:rFonts w:eastAsiaTheme="minorHAnsi"/>
          <w:b/>
          <w:bCs/>
        </w:rPr>
        <w:t xml:space="preserve"> for NC-JT measurements.</w:t>
      </w:r>
    </w:p>
    <w:p w14:paraId="2CE22613" w14:textId="20179D22" w:rsidR="00411820" w:rsidRDefault="00411820" w:rsidP="00F96C24">
      <w:pPr>
        <w:overflowPunct/>
        <w:textAlignment w:val="auto"/>
        <w:rPr>
          <w:rFonts w:eastAsiaTheme="minorHAnsi"/>
          <w:b/>
          <w:bCs/>
        </w:rPr>
      </w:pPr>
      <w:r w:rsidRPr="00711759">
        <w:rPr>
          <w:rFonts w:eastAsiaTheme="minorHAnsi"/>
          <w:b/>
          <w:bCs/>
        </w:rPr>
        <w:t>Proposal</w:t>
      </w:r>
      <w:r w:rsidR="00FC6793">
        <w:rPr>
          <w:rFonts w:eastAsiaTheme="minorHAnsi"/>
          <w:b/>
          <w:bCs/>
        </w:rPr>
        <w:t xml:space="preserve"> 10</w:t>
      </w:r>
      <w:r w:rsidRPr="00711759">
        <w:rPr>
          <w:rFonts w:eastAsiaTheme="minorHAnsi"/>
          <w:b/>
          <w:bCs/>
        </w:rPr>
        <w:t>. For NC-JT CSI, support restriction of the combination</w:t>
      </w:r>
      <w:r w:rsidRPr="00791AFA">
        <w:rPr>
          <w:rFonts w:eastAsiaTheme="minorHAnsi"/>
          <w:b/>
          <w:bCs/>
        </w:rPr>
        <w:t xml:space="preserve"> of reported RIs to the following sets: {1,1},</w:t>
      </w:r>
      <w:r>
        <w:rPr>
          <w:rFonts w:eastAsiaTheme="minorHAnsi"/>
          <w:b/>
          <w:bCs/>
        </w:rPr>
        <w:t xml:space="preserve"> </w:t>
      </w:r>
      <w:r w:rsidRPr="00791AFA">
        <w:rPr>
          <w:rFonts w:eastAsiaTheme="minorHAnsi"/>
          <w:b/>
          <w:bCs/>
        </w:rPr>
        <w:t>{1,2},</w:t>
      </w:r>
      <w:r>
        <w:rPr>
          <w:rFonts w:eastAsiaTheme="minorHAnsi"/>
          <w:b/>
          <w:bCs/>
        </w:rPr>
        <w:t xml:space="preserve"> </w:t>
      </w:r>
      <w:r w:rsidRPr="00791AFA">
        <w:rPr>
          <w:rFonts w:eastAsiaTheme="minorHAnsi"/>
          <w:b/>
          <w:bCs/>
        </w:rPr>
        <w:t>{2,1},</w:t>
      </w:r>
      <w:r>
        <w:rPr>
          <w:rFonts w:eastAsiaTheme="minorHAnsi"/>
          <w:b/>
          <w:bCs/>
        </w:rPr>
        <w:t xml:space="preserve"> </w:t>
      </w:r>
      <w:r w:rsidRPr="00791AFA">
        <w:rPr>
          <w:rFonts w:eastAsiaTheme="minorHAnsi"/>
          <w:b/>
          <w:bCs/>
        </w:rPr>
        <w:t>{2,2}</w:t>
      </w:r>
      <w:r>
        <w:rPr>
          <w:rFonts w:eastAsiaTheme="minorHAnsi"/>
          <w:b/>
          <w:bCs/>
        </w:rPr>
        <w:t>.</w:t>
      </w:r>
    </w:p>
    <w:p w14:paraId="39974B3A" w14:textId="77777777" w:rsidR="00F96C24" w:rsidRPr="00F96C24" w:rsidRDefault="00F96C24" w:rsidP="00F96C24">
      <w:pPr>
        <w:overflowPunct/>
        <w:textAlignment w:val="auto"/>
        <w:rPr>
          <w:rFonts w:eastAsiaTheme="minorHAnsi"/>
          <w:b/>
          <w:bCs/>
        </w:rPr>
      </w:pPr>
    </w:p>
    <w:p w14:paraId="62A2B218" w14:textId="5ADEF63A" w:rsidR="00411820" w:rsidRDefault="00411820">
      <w:pPr>
        <w:pStyle w:val="Heading2"/>
      </w:pPr>
      <w:r>
        <w:t>3.5</w:t>
      </w:r>
      <w:r>
        <w:tab/>
        <w:t>On multi-DCI based NC-JT measurements</w:t>
      </w:r>
    </w:p>
    <w:p w14:paraId="252E8D2B" w14:textId="77777777" w:rsidR="00B20DFF" w:rsidRDefault="00B20DFF" w:rsidP="00B20DFF">
      <w:pPr>
        <w:overflowPunct/>
        <w:textAlignment w:val="auto"/>
        <w:rPr>
          <w:rFonts w:eastAsiaTheme="minorHAnsi"/>
        </w:rPr>
      </w:pPr>
      <w:r>
        <w:rPr>
          <w:rFonts w:eastAsiaTheme="minorHAnsi"/>
        </w:rPr>
        <w:t>Regarding CSI measurement for multi-DCI based NC-JT, the following working assumption was agreed in RAN1#103-e, where two alternative options were provided for the TRP association to NZP CSI-RS resources:</w:t>
      </w:r>
    </w:p>
    <w:p w14:paraId="05EA7B3F" w14:textId="77777777" w:rsidR="00B20DFF" w:rsidRPr="00341A00" w:rsidRDefault="00B20DFF" w:rsidP="00B20DFF">
      <w:pPr>
        <w:overflowPunct/>
        <w:autoSpaceDE/>
        <w:autoSpaceDN/>
        <w:adjustRightInd/>
        <w:spacing w:after="0"/>
        <w:textAlignment w:val="auto"/>
        <w:rPr>
          <w:rFonts w:asciiTheme="minorHAnsi" w:eastAsia="Times New Roman" w:hAnsiTheme="minorHAnsi" w:cstheme="minorHAnsi"/>
          <w:i/>
          <w:iCs/>
          <w:lang w:eastAsia="en-GB"/>
        </w:rPr>
      </w:pPr>
      <w:r w:rsidRPr="00341A00">
        <w:rPr>
          <w:rFonts w:asciiTheme="minorHAnsi" w:eastAsiaTheme="minorEastAsia" w:hAnsiTheme="minorHAnsi" w:cstheme="minorHAnsi"/>
          <w:b/>
          <w:bCs/>
          <w:i/>
          <w:iCs/>
          <w:color w:val="000000" w:themeColor="text1"/>
          <w:kern w:val="24"/>
          <w:highlight w:val="darkYellow"/>
          <w:lang w:eastAsia="en-GB"/>
        </w:rPr>
        <w:t>Working assumption</w:t>
      </w:r>
    </w:p>
    <w:p w14:paraId="0F86E473" w14:textId="77777777" w:rsidR="00B20DFF" w:rsidRPr="00341A00" w:rsidRDefault="00B20DFF" w:rsidP="00B20DFF">
      <w:pPr>
        <w:overflowPunct/>
        <w:autoSpaceDE/>
        <w:autoSpaceDN/>
        <w:adjustRightInd/>
        <w:spacing w:after="0"/>
        <w:textAlignment w:val="auto"/>
        <w:rPr>
          <w:rFonts w:asciiTheme="minorHAnsi" w:eastAsiaTheme="minorEastAsia" w:hAnsiTheme="minorHAnsi" w:cstheme="minorHAnsi"/>
          <w:i/>
          <w:iCs/>
          <w:color w:val="000000" w:themeColor="text1"/>
          <w:kern w:val="24"/>
          <w:lang w:val="en-US" w:eastAsia="en-GB"/>
        </w:rPr>
      </w:pPr>
    </w:p>
    <w:p w14:paraId="44F6CAF9" w14:textId="77777777" w:rsidR="00B20DFF" w:rsidRPr="00341A00" w:rsidRDefault="00B20DFF" w:rsidP="00B20DFF">
      <w:pPr>
        <w:overflowPunct/>
        <w:autoSpaceDE/>
        <w:autoSpaceDN/>
        <w:adjustRightInd/>
        <w:spacing w:after="0"/>
        <w:textAlignment w:val="auto"/>
        <w:rPr>
          <w:rFonts w:asciiTheme="minorHAnsi" w:eastAsia="Times New Roman" w:hAnsiTheme="minorHAnsi" w:cstheme="minorHAnsi"/>
          <w:i/>
          <w:iCs/>
          <w:lang w:eastAsia="en-GB"/>
        </w:rPr>
      </w:pPr>
      <w:r w:rsidRPr="00341A00">
        <w:rPr>
          <w:rFonts w:asciiTheme="minorHAnsi" w:eastAsiaTheme="minorEastAsia" w:hAnsiTheme="minorHAnsi" w:cstheme="minorHAnsi"/>
          <w:i/>
          <w:iCs/>
          <w:color w:val="000000" w:themeColor="text1"/>
          <w:kern w:val="24"/>
          <w:lang w:val="en-US" w:eastAsia="en-GB"/>
        </w:rPr>
        <w:t>For CSI measurement for multi-DCI based NCJT, down select one of following two options:</w:t>
      </w:r>
    </w:p>
    <w:p w14:paraId="4AD578F7" w14:textId="77777777" w:rsidR="00B20DFF" w:rsidRPr="00341A00" w:rsidRDefault="00B20DFF" w:rsidP="00B20DFF">
      <w:pPr>
        <w:pStyle w:val="ListParagraph"/>
        <w:numPr>
          <w:ilvl w:val="0"/>
          <w:numId w:val="23"/>
        </w:numPr>
        <w:rPr>
          <w:rFonts w:asciiTheme="minorHAnsi" w:eastAsia="Times New Roman" w:hAnsiTheme="minorHAnsi" w:cstheme="minorHAnsi"/>
          <w:i/>
          <w:iCs/>
          <w:szCs w:val="20"/>
          <w:lang w:eastAsia="en-GB"/>
        </w:rPr>
      </w:pPr>
      <w:r w:rsidRPr="00341A00">
        <w:rPr>
          <w:rFonts w:asciiTheme="minorHAnsi" w:eastAsiaTheme="minorEastAsia" w:hAnsiTheme="minorHAnsi" w:cstheme="minorHAnsi"/>
          <w:i/>
          <w:iCs/>
          <w:color w:val="000000" w:themeColor="text1"/>
          <w:kern w:val="24"/>
          <w:szCs w:val="20"/>
          <w:lang w:eastAsia="en-GB"/>
        </w:rPr>
        <w:lastRenderedPageBreak/>
        <w:t>Option 1 (Explicit): CMRs corresponding to different TRPs can be associated with different reporting settings respectively, with the same configurations between two settings except for PUCCH/PUSCH resources and CMR/IMR resources setting(s)</w:t>
      </w:r>
    </w:p>
    <w:p w14:paraId="7A8E72A5" w14:textId="77777777" w:rsidR="00B20DFF" w:rsidRPr="00341A00" w:rsidRDefault="00B20DFF" w:rsidP="00B20DFF">
      <w:pPr>
        <w:pStyle w:val="ListParagraph"/>
        <w:numPr>
          <w:ilvl w:val="0"/>
          <w:numId w:val="23"/>
        </w:numPr>
        <w:rPr>
          <w:rFonts w:asciiTheme="minorHAnsi" w:eastAsia="Times New Roman" w:hAnsiTheme="minorHAnsi" w:cstheme="minorHAnsi"/>
          <w:i/>
          <w:iCs/>
          <w:szCs w:val="20"/>
          <w:lang w:eastAsia="en-GB"/>
        </w:rPr>
      </w:pPr>
      <w:r w:rsidRPr="00341A00">
        <w:rPr>
          <w:rFonts w:asciiTheme="minorHAnsi" w:eastAsiaTheme="minorEastAsia" w:hAnsiTheme="minorHAnsi" w:cstheme="minorHAnsi"/>
          <w:i/>
          <w:iCs/>
          <w:color w:val="000000" w:themeColor="text1"/>
          <w:kern w:val="24"/>
          <w:szCs w:val="20"/>
          <w:lang w:eastAsia="en-GB"/>
        </w:rPr>
        <w:t>Option 2 (Implicit): a single CSI reporting setting associated with each TRP where a NZP CSI-RS is configured for interference measurement from another TRP</w:t>
      </w:r>
    </w:p>
    <w:p w14:paraId="45D118C1" w14:textId="77777777" w:rsidR="00B20DFF" w:rsidRPr="00341A00" w:rsidRDefault="00B20DFF" w:rsidP="00B20DFF">
      <w:pPr>
        <w:pStyle w:val="ListParagraph"/>
        <w:numPr>
          <w:ilvl w:val="0"/>
          <w:numId w:val="23"/>
        </w:numPr>
        <w:rPr>
          <w:rFonts w:asciiTheme="minorHAnsi" w:eastAsia="Times New Roman" w:hAnsiTheme="minorHAnsi" w:cstheme="minorHAnsi"/>
          <w:i/>
          <w:iCs/>
          <w:szCs w:val="20"/>
          <w:lang w:eastAsia="en-GB"/>
        </w:rPr>
      </w:pPr>
      <w:r w:rsidRPr="00341A00">
        <w:rPr>
          <w:rFonts w:asciiTheme="minorHAnsi" w:eastAsiaTheme="minorEastAsia" w:hAnsiTheme="minorHAnsi" w:cstheme="minorHAnsi"/>
          <w:i/>
          <w:iCs/>
          <w:color w:val="000000" w:themeColor="text1"/>
          <w:kern w:val="24"/>
          <w:szCs w:val="20"/>
          <w:lang w:eastAsia="en-GB"/>
        </w:rPr>
        <w:t>FFS:  how interference from CMR in the linked reporting settings in option 1 or from the NZP CSI-RS configured as IMR in option 2 is considered in CQI calculation</w:t>
      </w:r>
    </w:p>
    <w:p w14:paraId="01AF84DA" w14:textId="77777777" w:rsidR="00B20DFF" w:rsidRPr="00341A00" w:rsidRDefault="00B20DFF" w:rsidP="00B20DFF">
      <w:pPr>
        <w:overflowPunct/>
        <w:autoSpaceDE/>
        <w:autoSpaceDN/>
        <w:adjustRightInd/>
        <w:spacing w:after="0"/>
        <w:textAlignment w:val="auto"/>
        <w:rPr>
          <w:rFonts w:asciiTheme="minorHAnsi" w:eastAsia="Times New Roman" w:hAnsiTheme="minorHAnsi" w:cstheme="minorHAnsi"/>
          <w:i/>
          <w:iCs/>
          <w:lang w:eastAsia="en-GB"/>
        </w:rPr>
      </w:pPr>
      <w:r w:rsidRPr="00341A00">
        <w:rPr>
          <w:rFonts w:asciiTheme="minorHAnsi" w:eastAsiaTheme="minorEastAsia" w:hAnsiTheme="minorHAnsi" w:cstheme="minorHAnsi"/>
          <w:i/>
          <w:iCs/>
          <w:color w:val="000000" w:themeColor="text1"/>
          <w:kern w:val="24"/>
          <w:lang w:val="en-US" w:eastAsia="en-GB"/>
        </w:rPr>
        <w:t>Following restrictions apply to both options:</w:t>
      </w:r>
    </w:p>
    <w:p w14:paraId="45883F6A" w14:textId="77777777" w:rsidR="00B20DFF" w:rsidRPr="00341A00" w:rsidRDefault="00B20DFF" w:rsidP="00B20DFF">
      <w:pPr>
        <w:pStyle w:val="ListParagraph"/>
        <w:numPr>
          <w:ilvl w:val="0"/>
          <w:numId w:val="25"/>
        </w:numPr>
        <w:rPr>
          <w:rFonts w:asciiTheme="minorHAnsi" w:eastAsia="Times New Roman" w:hAnsiTheme="minorHAnsi" w:cstheme="minorHAnsi"/>
          <w:i/>
          <w:iCs/>
          <w:szCs w:val="20"/>
          <w:lang w:eastAsia="en-GB"/>
        </w:rPr>
      </w:pPr>
      <w:r w:rsidRPr="00341A00">
        <w:rPr>
          <w:rFonts w:asciiTheme="minorHAnsi" w:eastAsiaTheme="minorEastAsia" w:hAnsiTheme="minorHAnsi" w:cstheme="minorHAnsi"/>
          <w:i/>
          <w:iCs/>
          <w:color w:val="000000" w:themeColor="text1"/>
          <w:kern w:val="24"/>
          <w:szCs w:val="20"/>
          <w:lang w:eastAsia="en-GB"/>
        </w:rPr>
        <w:t xml:space="preserve">At least ‘typeI-SinglePanel’ codebook is supported </w:t>
      </w:r>
    </w:p>
    <w:p w14:paraId="16F5A366" w14:textId="77777777" w:rsidR="00B20DFF" w:rsidRPr="00341A00" w:rsidRDefault="00B20DFF" w:rsidP="00B20DFF">
      <w:pPr>
        <w:numPr>
          <w:ilvl w:val="1"/>
          <w:numId w:val="24"/>
        </w:numPr>
        <w:overflowPunct/>
        <w:autoSpaceDE/>
        <w:autoSpaceDN/>
        <w:adjustRightInd/>
        <w:spacing w:after="0"/>
        <w:ind w:left="1134"/>
        <w:contextualSpacing/>
        <w:textAlignment w:val="auto"/>
        <w:rPr>
          <w:rFonts w:asciiTheme="minorHAnsi" w:eastAsia="Times New Roman" w:hAnsiTheme="minorHAnsi" w:cstheme="minorHAnsi"/>
          <w:i/>
          <w:iCs/>
          <w:lang w:eastAsia="en-GB"/>
        </w:rPr>
      </w:pPr>
      <w:r w:rsidRPr="00341A00">
        <w:rPr>
          <w:rFonts w:asciiTheme="minorHAnsi" w:eastAsiaTheme="minorEastAsia" w:hAnsiTheme="minorHAnsi" w:cstheme="minorHAnsi"/>
          <w:i/>
          <w:iCs/>
          <w:color w:val="000000" w:themeColor="text1"/>
          <w:kern w:val="24"/>
          <w:lang w:eastAsia="en-GB"/>
        </w:rPr>
        <w:t xml:space="preserve">FFS: Other codebook types </w:t>
      </w:r>
    </w:p>
    <w:p w14:paraId="688A3B05" w14:textId="77777777" w:rsidR="00B20DFF" w:rsidRPr="00341A00" w:rsidRDefault="00B20DFF" w:rsidP="00B20DFF">
      <w:pPr>
        <w:pStyle w:val="ListParagraph"/>
        <w:numPr>
          <w:ilvl w:val="0"/>
          <w:numId w:val="24"/>
        </w:numPr>
        <w:rPr>
          <w:rFonts w:asciiTheme="minorHAnsi" w:eastAsia="Times New Roman" w:hAnsiTheme="minorHAnsi" w:cstheme="minorHAnsi"/>
          <w:i/>
          <w:iCs/>
          <w:szCs w:val="20"/>
          <w:lang w:eastAsia="en-GB"/>
        </w:rPr>
      </w:pPr>
      <w:r w:rsidRPr="00341A00">
        <w:rPr>
          <w:rFonts w:asciiTheme="minorHAnsi" w:eastAsiaTheme="minorEastAsia" w:hAnsiTheme="minorHAnsi" w:cstheme="minorHAnsi"/>
          <w:i/>
          <w:iCs/>
          <w:color w:val="000000" w:themeColor="text1"/>
          <w:kern w:val="24"/>
          <w:szCs w:val="20"/>
          <w:lang w:eastAsia="en-GB"/>
        </w:rPr>
        <w:t>Only ‘periodic’ and ‘semiPersistentOnPUCCH’ cases are supported;</w:t>
      </w:r>
    </w:p>
    <w:p w14:paraId="1A072D26" w14:textId="77777777" w:rsidR="00B20DFF" w:rsidRPr="00341A00" w:rsidRDefault="00B20DFF" w:rsidP="00B20DFF">
      <w:pPr>
        <w:pStyle w:val="ListParagraph"/>
        <w:numPr>
          <w:ilvl w:val="0"/>
          <w:numId w:val="24"/>
        </w:numPr>
        <w:rPr>
          <w:rFonts w:asciiTheme="minorHAnsi" w:eastAsia="Times New Roman" w:hAnsiTheme="minorHAnsi" w:cstheme="minorHAnsi"/>
          <w:i/>
          <w:iCs/>
          <w:szCs w:val="20"/>
          <w:lang w:eastAsia="en-GB"/>
        </w:rPr>
      </w:pPr>
      <w:r w:rsidRPr="00341A00">
        <w:rPr>
          <w:rFonts w:asciiTheme="minorHAnsi" w:eastAsiaTheme="minorEastAsia" w:hAnsiTheme="minorHAnsi" w:cstheme="minorHAnsi"/>
          <w:i/>
          <w:iCs/>
          <w:color w:val="000000" w:themeColor="text1"/>
          <w:kern w:val="24"/>
          <w:szCs w:val="20"/>
          <w:lang w:eastAsia="en-GB"/>
        </w:rPr>
        <w:t>The number of ports of two CMRs associated to two reporting settings for NCJT CSI measurement are the same;</w:t>
      </w:r>
    </w:p>
    <w:p w14:paraId="205BC7B9" w14:textId="77777777" w:rsidR="00B20DFF" w:rsidRPr="00341A00" w:rsidRDefault="00B20DFF" w:rsidP="00B20DFF">
      <w:pPr>
        <w:pStyle w:val="ListParagraph"/>
        <w:numPr>
          <w:ilvl w:val="0"/>
          <w:numId w:val="24"/>
        </w:numPr>
        <w:rPr>
          <w:rFonts w:asciiTheme="minorHAnsi" w:eastAsia="Times New Roman" w:hAnsiTheme="minorHAnsi" w:cstheme="minorHAnsi"/>
          <w:i/>
          <w:iCs/>
          <w:szCs w:val="20"/>
          <w:lang w:eastAsia="en-GB"/>
        </w:rPr>
      </w:pPr>
      <w:r w:rsidRPr="00341A00">
        <w:rPr>
          <w:rFonts w:asciiTheme="minorHAnsi" w:eastAsiaTheme="minorEastAsia" w:hAnsiTheme="minorHAnsi" w:cstheme="minorHAnsi"/>
          <w:i/>
          <w:iCs/>
          <w:color w:val="000000" w:themeColor="text1"/>
          <w:kern w:val="24"/>
          <w:szCs w:val="20"/>
          <w:lang w:eastAsia="en-GB"/>
        </w:rPr>
        <w:t>The support of larger than 32 ports across two CMRs is optional for a UE supporting Rel. 17 mTRP CSI</w:t>
      </w:r>
    </w:p>
    <w:p w14:paraId="7C09D188" w14:textId="77777777" w:rsidR="00B20DFF" w:rsidRDefault="00B20DFF" w:rsidP="00B20DFF">
      <w:pPr>
        <w:overflowPunct/>
        <w:textAlignment w:val="auto"/>
        <w:rPr>
          <w:rFonts w:eastAsiaTheme="minorHAnsi"/>
        </w:rPr>
      </w:pPr>
    </w:p>
    <w:p w14:paraId="1FB839A2" w14:textId="77777777" w:rsidR="00B20DFF" w:rsidRDefault="00B20DFF" w:rsidP="00B20DFF">
      <w:pPr>
        <w:rPr>
          <w:rFonts w:eastAsiaTheme="minorEastAsia"/>
        </w:rPr>
      </w:pPr>
      <w:r w:rsidRPr="1A65EB28">
        <w:rPr>
          <w:rFonts w:eastAsiaTheme="minorEastAsia"/>
        </w:rPr>
        <w:t>On one hand, option 1 is understood to propose an explicit association between reporting settings that are intended for NCJT CSI reporting. Such association would most likely be done by explicit indication in the CSI report configurations. On the other hand, option 2 is understood to propose an implicit association between reporting settings that are intended for NCJT CSI reporting. The implicit association could stem from the correspondence between configured CMR and NZP-CSI-RS for interference measurement in each reporting setting, respectively.  A possible motivation to consider solutions</w:t>
      </w:r>
      <w:r>
        <w:rPr>
          <w:rFonts w:eastAsiaTheme="minorEastAsia"/>
        </w:rPr>
        <w:t xml:space="preserve"> for multi-DCI NC-JT measurements with two CSI Reporting Settings</w:t>
      </w:r>
      <w:r w:rsidRPr="1A65EB28">
        <w:rPr>
          <w:rFonts w:eastAsiaTheme="minorEastAsia"/>
        </w:rPr>
        <w:t xml:space="preserve">, is the need for different PUCCH/PUSCH resources for CSI reporting.  </w:t>
      </w:r>
    </w:p>
    <w:p w14:paraId="7987ACA0" w14:textId="77777777" w:rsidR="00B20DFF" w:rsidRDefault="00B20DFF" w:rsidP="00B20DFF">
      <w:pPr>
        <w:rPr>
          <w:rFonts w:eastAsiaTheme="minorEastAsia"/>
        </w:rPr>
      </w:pPr>
      <w:r w:rsidRPr="56303707">
        <w:rPr>
          <w:rFonts w:eastAsiaTheme="minorEastAsia"/>
        </w:rPr>
        <w:t xml:space="preserve">Although, this is a valid concern, we note that the framework provided for single-DCI NC-JT measurement is flexible enough to be extended to the multi-DCI case as well. Indeed, the only </w:t>
      </w:r>
      <w:r>
        <w:rPr>
          <w:rFonts w:eastAsiaTheme="minorEastAsia"/>
        </w:rPr>
        <w:t>outstanding</w:t>
      </w:r>
      <w:r w:rsidRPr="56303707">
        <w:rPr>
          <w:rFonts w:eastAsiaTheme="minorEastAsia"/>
        </w:rPr>
        <w:t xml:space="preserve"> issue that may prevent </w:t>
      </w:r>
      <w:r>
        <w:rPr>
          <w:rFonts w:eastAsiaTheme="minorEastAsia"/>
        </w:rPr>
        <w:t>extending the solution agreed for single Reporting Setting to M-DCI based NC-JT measurement</w:t>
      </w:r>
      <w:r w:rsidRPr="56303707">
        <w:rPr>
          <w:rFonts w:eastAsiaTheme="minorEastAsia"/>
        </w:rPr>
        <w:t xml:space="preserve"> </w:t>
      </w:r>
      <w:r>
        <w:rPr>
          <w:rFonts w:eastAsiaTheme="minorEastAsia"/>
        </w:rPr>
        <w:t>is</w:t>
      </w:r>
      <w:r w:rsidRPr="56303707">
        <w:rPr>
          <w:rFonts w:eastAsiaTheme="minorEastAsia"/>
        </w:rPr>
        <w:t xml:space="preserve"> the configured uplink resources (PUCCH/PUSCH) for CSI reporting. Such issue may be resolved in case association between CMR resource and TRPs is known to the UE, due to i)</w:t>
      </w:r>
      <w:r>
        <w:rPr>
          <w:rFonts w:eastAsiaTheme="minorEastAsia"/>
        </w:rPr>
        <w:t xml:space="preserve"> CMR resource</w:t>
      </w:r>
      <w:r w:rsidRPr="56303707">
        <w:rPr>
          <w:rFonts w:eastAsiaTheme="minorEastAsia"/>
          <w:lang w:val="en-US"/>
        </w:rPr>
        <w:t xml:space="preserve"> grouping or ii) </w:t>
      </w:r>
      <w:r>
        <w:rPr>
          <w:rFonts w:eastAsiaTheme="minorEastAsia"/>
          <w:lang w:val="en-US"/>
        </w:rPr>
        <w:t xml:space="preserve">SSB resource </w:t>
      </w:r>
      <w:r w:rsidRPr="56303707">
        <w:rPr>
          <w:rFonts w:eastAsiaTheme="minorEastAsia"/>
          <w:lang w:val="en-US"/>
        </w:rPr>
        <w:t xml:space="preserve">grouping </w:t>
      </w:r>
      <w:r>
        <w:rPr>
          <w:rFonts w:eastAsiaTheme="minorEastAsia"/>
          <w:lang w:val="en-US"/>
        </w:rPr>
        <w:t>with SSB used as QCL-Type D source.</w:t>
      </w:r>
      <w:r w:rsidRPr="56303707">
        <w:rPr>
          <w:rFonts w:eastAsiaTheme="minorEastAsia"/>
        </w:rPr>
        <w:t xml:space="preserve"> </w:t>
      </w:r>
      <w:r>
        <w:rPr>
          <w:rFonts w:eastAsiaTheme="minorEastAsia"/>
        </w:rPr>
        <w:t>Therefore, o</w:t>
      </w:r>
      <w:r w:rsidRPr="56303707">
        <w:rPr>
          <w:rFonts w:eastAsiaTheme="minorEastAsia"/>
        </w:rPr>
        <w:t xml:space="preserve">ne of the following </w:t>
      </w:r>
      <w:r>
        <w:rPr>
          <w:rFonts w:eastAsiaTheme="minorEastAsia"/>
        </w:rPr>
        <w:t>mechanisms can provide a solution based on the agreement for single Reporting Setting</w:t>
      </w:r>
      <w:r w:rsidRPr="56303707">
        <w:rPr>
          <w:rFonts w:eastAsiaTheme="minorEastAsia"/>
        </w:rPr>
        <w:t xml:space="preserve"> </w:t>
      </w:r>
    </w:p>
    <w:p w14:paraId="64F67FD7" w14:textId="77777777" w:rsidR="00B20DFF" w:rsidRDefault="00B20DFF" w:rsidP="00B20DFF">
      <w:pPr>
        <w:pStyle w:val="ListParagraph"/>
        <w:numPr>
          <w:ilvl w:val="0"/>
          <w:numId w:val="45"/>
        </w:numPr>
        <w:rPr>
          <w:rFonts w:asciiTheme="minorEastAsia" w:eastAsiaTheme="minorEastAsia" w:hAnsiTheme="minorEastAsia" w:cstheme="minorEastAsia"/>
          <w:lang w:val="en-US"/>
        </w:rPr>
      </w:pPr>
      <w:r>
        <w:rPr>
          <w:rFonts w:eastAsiaTheme="minorEastAsia"/>
          <w:lang w:val="en-US"/>
        </w:rPr>
        <w:t>t</w:t>
      </w:r>
      <w:r w:rsidRPr="005217DB">
        <w:rPr>
          <w:rFonts w:eastAsiaTheme="minorEastAsia"/>
          <w:lang w:val="en-US"/>
        </w:rPr>
        <w:t>wo reporting settings with the same configurations except for PUCCH/PUSCH resources for CSI reporting.</w:t>
      </w:r>
    </w:p>
    <w:p w14:paraId="5F9355E9" w14:textId="77777777" w:rsidR="00B20DFF" w:rsidRDefault="00B20DFF" w:rsidP="00B20DFF">
      <w:pPr>
        <w:pStyle w:val="ListParagraph"/>
        <w:numPr>
          <w:ilvl w:val="0"/>
          <w:numId w:val="45"/>
        </w:numPr>
        <w:rPr>
          <w:rFonts w:asciiTheme="minorEastAsia" w:eastAsiaTheme="minorEastAsia" w:hAnsiTheme="minorEastAsia" w:cstheme="minorEastAsia"/>
          <w:lang w:val="en-US"/>
        </w:rPr>
      </w:pPr>
      <w:r>
        <w:rPr>
          <w:rFonts w:eastAsiaTheme="minorEastAsia"/>
          <w:lang w:val="en-US"/>
        </w:rPr>
        <w:t>a</w:t>
      </w:r>
      <w:r w:rsidRPr="005217DB">
        <w:rPr>
          <w:rFonts w:eastAsiaTheme="minorEastAsia"/>
          <w:lang w:val="en-US"/>
        </w:rPr>
        <w:t xml:space="preserve"> single reporting setting with two PUCCH/PUSCH </w:t>
      </w:r>
      <w:r w:rsidRPr="43094C0C">
        <w:rPr>
          <w:rFonts w:eastAsiaTheme="minorEastAsia"/>
          <w:lang w:val="en-US"/>
        </w:rPr>
        <w:t>resources</w:t>
      </w:r>
      <w:r w:rsidRPr="005217DB">
        <w:rPr>
          <w:rFonts w:eastAsiaTheme="minorEastAsia"/>
          <w:lang w:val="en-US"/>
        </w:rPr>
        <w:t xml:space="preserve"> for CSI reporting, each PUCCH/PUSCH being associated with a given TRP.</w:t>
      </w:r>
    </w:p>
    <w:p w14:paraId="3253C0AF" w14:textId="77777777" w:rsidR="00B20DFF" w:rsidRDefault="00B20DFF" w:rsidP="00B20DFF">
      <w:pPr>
        <w:rPr>
          <w:rFonts w:eastAsiaTheme="minorEastAsia"/>
        </w:rPr>
      </w:pPr>
    </w:p>
    <w:p w14:paraId="5213C8C6" w14:textId="77777777" w:rsidR="00B20DFF" w:rsidRDefault="00B20DFF" w:rsidP="00B20DFF">
      <w:pPr>
        <w:rPr>
          <w:rFonts w:eastAsiaTheme="minorEastAsia"/>
        </w:rPr>
      </w:pPr>
      <w:r w:rsidRPr="56303707">
        <w:rPr>
          <w:rFonts w:eastAsiaTheme="minorEastAsia"/>
        </w:rPr>
        <w:t>Additionally, if a UE is configured for a multi-DCI M-TRP reporting, the CSI calculations for the NC-JT hypotheses are performed in a similar manner as for single-DCI M-TRP</w:t>
      </w:r>
      <w:r>
        <w:rPr>
          <w:rFonts w:eastAsiaTheme="minorEastAsia"/>
        </w:rPr>
        <w:t>,</w:t>
      </w:r>
      <w:r w:rsidRPr="56303707">
        <w:rPr>
          <w:rFonts w:eastAsiaTheme="minorEastAsia"/>
        </w:rPr>
        <w:t xml:space="preserve"> but with the different assumption of a two-codeword transmission. The CSI quantities are then reported on different PUCCH/PUSCH resources depending on which TRP they are associated to.</w:t>
      </w:r>
    </w:p>
    <w:p w14:paraId="5C0A2D8B" w14:textId="77777777" w:rsidR="00B20DFF" w:rsidRDefault="00B20DFF" w:rsidP="00B20DFF">
      <w:pPr>
        <w:overflowPunct/>
        <w:textAlignment w:val="auto"/>
        <w:rPr>
          <w:rFonts w:eastAsiaTheme="minorEastAsia"/>
        </w:rPr>
      </w:pPr>
      <w:r w:rsidRPr="56303707">
        <w:rPr>
          <w:rFonts w:eastAsiaTheme="minorEastAsia"/>
        </w:rPr>
        <w:t xml:space="preserve">Hence introducing a different type of configuration, as proposed in the working assumption, is an unnecessary complication and could </w:t>
      </w:r>
      <w:r>
        <w:rPr>
          <w:rFonts w:eastAsiaTheme="minorEastAsia"/>
        </w:rPr>
        <w:t>make it possible</w:t>
      </w:r>
      <w:r w:rsidRPr="56303707">
        <w:rPr>
          <w:rFonts w:eastAsiaTheme="minorEastAsia"/>
        </w:rPr>
        <w:t xml:space="preserve"> to circumvent the agreement </w:t>
      </w:r>
      <w:r>
        <w:rPr>
          <w:rFonts w:eastAsiaTheme="minorEastAsia"/>
        </w:rPr>
        <w:t>for single Reporting Setting</w:t>
      </w:r>
      <w:r w:rsidRPr="56303707">
        <w:rPr>
          <w:rFonts w:eastAsiaTheme="minorEastAsia"/>
        </w:rPr>
        <w:t>. In</w:t>
      </w:r>
      <w:r>
        <w:rPr>
          <w:rFonts w:eastAsiaTheme="minorEastAsia"/>
        </w:rPr>
        <w:t xml:space="preserve"> fact,</w:t>
      </w:r>
      <w:r w:rsidRPr="56303707">
        <w:rPr>
          <w:rFonts w:eastAsiaTheme="minorEastAsia"/>
        </w:rPr>
        <w:t xml:space="preserve"> the network </w:t>
      </w:r>
      <w:r>
        <w:rPr>
          <w:rFonts w:eastAsiaTheme="minorEastAsia"/>
        </w:rPr>
        <w:t>may use</w:t>
      </w:r>
      <w:r w:rsidRPr="56303707">
        <w:rPr>
          <w:rFonts w:eastAsiaTheme="minorEastAsia"/>
        </w:rPr>
        <w:t xml:space="preserve"> any new</w:t>
      </w:r>
      <w:r>
        <w:rPr>
          <w:rFonts w:eastAsiaTheme="minorEastAsia"/>
        </w:rPr>
        <w:t xml:space="preserve"> </w:t>
      </w:r>
      <w:r w:rsidRPr="56303707">
        <w:rPr>
          <w:rFonts w:eastAsiaTheme="minorEastAsia"/>
        </w:rPr>
        <w:t>scheme</w:t>
      </w:r>
      <w:r>
        <w:rPr>
          <w:rFonts w:eastAsiaTheme="minorEastAsia"/>
        </w:rPr>
        <w:t xml:space="preserve"> agreed</w:t>
      </w:r>
      <w:r w:rsidRPr="56303707">
        <w:rPr>
          <w:rFonts w:eastAsiaTheme="minorEastAsia"/>
        </w:rPr>
        <w:t xml:space="preserve"> from th</w:t>
      </w:r>
      <w:r>
        <w:rPr>
          <w:rFonts w:eastAsiaTheme="minorEastAsia"/>
        </w:rPr>
        <w:t>is</w:t>
      </w:r>
      <w:r w:rsidRPr="56303707">
        <w:rPr>
          <w:rFonts w:eastAsiaTheme="minorEastAsia"/>
        </w:rPr>
        <w:t xml:space="preserve"> working assumption, in the single-DCI based M-TRP case</w:t>
      </w:r>
      <w:r>
        <w:rPr>
          <w:rFonts w:eastAsiaTheme="minorEastAsia"/>
        </w:rPr>
        <w:t xml:space="preserve"> as well</w:t>
      </w:r>
      <w:r w:rsidRPr="56303707">
        <w:rPr>
          <w:rFonts w:eastAsiaTheme="minorEastAsia"/>
        </w:rPr>
        <w:t xml:space="preserve">. Such redundancy of schemes may lead to ambiguity. </w:t>
      </w:r>
    </w:p>
    <w:p w14:paraId="0D8210A1" w14:textId="7E146459" w:rsidR="00B20DFF" w:rsidRPr="00056505" w:rsidRDefault="00B20DFF" w:rsidP="00B20DFF">
      <w:pPr>
        <w:overflowPunct/>
        <w:textAlignment w:val="auto"/>
        <w:rPr>
          <w:rFonts w:eastAsiaTheme="minorEastAsia"/>
          <w:b/>
          <w:bCs/>
        </w:rPr>
      </w:pPr>
      <w:r w:rsidRPr="2254ADDB">
        <w:rPr>
          <w:rFonts w:eastAsiaTheme="minorEastAsia"/>
          <w:b/>
          <w:bCs/>
        </w:rPr>
        <w:t>Observation</w:t>
      </w:r>
      <w:r w:rsidR="00C956A4">
        <w:rPr>
          <w:rFonts w:eastAsiaTheme="minorEastAsia"/>
          <w:b/>
          <w:bCs/>
        </w:rPr>
        <w:t xml:space="preserve"> 13</w:t>
      </w:r>
      <w:r w:rsidRPr="2254ADDB">
        <w:rPr>
          <w:rFonts w:eastAsiaTheme="minorEastAsia"/>
          <w:b/>
          <w:bCs/>
        </w:rPr>
        <w:t>. For CSI measurement for multi-DCI based NC-JT, there is no need to introduce TRP association at Report Setting level, because the two separate CSI reports can share the same configuration with resource-level TRP association as agreed for single-DCI based NC-JT measurement.</w:t>
      </w:r>
    </w:p>
    <w:p w14:paraId="51C4AFE0" w14:textId="01EE0A9D" w:rsidR="00B20DFF" w:rsidRDefault="00B20DFF" w:rsidP="00B20DFF">
      <w:pPr>
        <w:overflowPunct/>
        <w:textAlignment w:val="auto"/>
        <w:rPr>
          <w:rFonts w:eastAsiaTheme="minorEastAsia"/>
          <w:b/>
          <w:bCs/>
        </w:rPr>
      </w:pPr>
      <w:r w:rsidRPr="43094C0C">
        <w:rPr>
          <w:rFonts w:eastAsiaTheme="minorEastAsia"/>
          <w:b/>
          <w:bCs/>
        </w:rPr>
        <w:t>Proposal</w:t>
      </w:r>
      <w:r w:rsidR="004349CE">
        <w:rPr>
          <w:rFonts w:eastAsiaTheme="minorEastAsia"/>
          <w:b/>
          <w:bCs/>
        </w:rPr>
        <w:t xml:space="preserve"> 11</w:t>
      </w:r>
      <w:r w:rsidRPr="43094C0C">
        <w:rPr>
          <w:rFonts w:eastAsiaTheme="minorEastAsia"/>
          <w:b/>
          <w:bCs/>
        </w:rPr>
        <w:t xml:space="preserve">. </w:t>
      </w:r>
      <w:r>
        <w:rPr>
          <w:rFonts w:eastAsiaTheme="minorEastAsia"/>
          <w:b/>
          <w:bCs/>
        </w:rPr>
        <w:t>Postpone any decision on multi-DCI based NCJT measurement after a decision is made on the TRP association to CMRs for single Reporting Setting.</w:t>
      </w:r>
    </w:p>
    <w:p w14:paraId="019C17D8" w14:textId="54F7D18A" w:rsidR="00B20DFF" w:rsidRDefault="00B20DFF" w:rsidP="00B20DFF">
      <w:pPr>
        <w:overflowPunct/>
        <w:textAlignment w:val="auto"/>
        <w:rPr>
          <w:rFonts w:eastAsiaTheme="minorEastAsia"/>
          <w:b/>
          <w:bCs/>
        </w:rPr>
      </w:pPr>
      <w:r>
        <w:rPr>
          <w:rFonts w:eastAsiaTheme="minorEastAsia"/>
          <w:b/>
          <w:bCs/>
        </w:rPr>
        <w:t>Proposal</w:t>
      </w:r>
      <w:r w:rsidR="004349CE">
        <w:rPr>
          <w:rFonts w:eastAsiaTheme="minorEastAsia"/>
          <w:b/>
          <w:bCs/>
        </w:rPr>
        <w:t xml:space="preserve"> 12</w:t>
      </w:r>
      <w:r>
        <w:rPr>
          <w:rFonts w:eastAsiaTheme="minorEastAsia"/>
          <w:b/>
          <w:bCs/>
        </w:rPr>
        <w:t xml:space="preserve">. If TRP association to CMRs is agreed for single Reporting Setting, modify the working assumption on multi-DCI based NCJT measurement </w:t>
      </w:r>
      <w:r w:rsidR="000636F0">
        <w:rPr>
          <w:rFonts w:eastAsiaTheme="minorEastAsia"/>
          <w:b/>
          <w:bCs/>
        </w:rPr>
        <w:t>with implicit or explicit</w:t>
      </w:r>
      <w:r>
        <w:rPr>
          <w:rFonts w:eastAsiaTheme="minorEastAsia"/>
          <w:b/>
          <w:bCs/>
        </w:rPr>
        <w:t xml:space="preserve"> association between </w:t>
      </w:r>
      <w:r w:rsidRPr="005217DB">
        <w:rPr>
          <w:rFonts w:eastAsiaTheme="minorEastAsia"/>
          <w:b/>
          <w:bCs/>
          <w:lang w:val="en-US"/>
        </w:rPr>
        <w:t>t</w:t>
      </w:r>
      <w:r w:rsidRPr="005217DB">
        <w:rPr>
          <w:rFonts w:eastAsiaTheme="minorEastAsia"/>
          <w:b/>
          <w:bCs/>
          <w:szCs w:val="24"/>
          <w:lang w:val="en-US" w:eastAsia="zh-CN"/>
        </w:rPr>
        <w:t xml:space="preserve">wo </w:t>
      </w:r>
      <w:r>
        <w:rPr>
          <w:rFonts w:eastAsiaTheme="minorEastAsia"/>
          <w:b/>
          <w:bCs/>
          <w:szCs w:val="24"/>
          <w:lang w:val="en-US" w:eastAsia="zh-CN"/>
        </w:rPr>
        <w:t>R</w:t>
      </w:r>
      <w:r w:rsidRPr="005217DB">
        <w:rPr>
          <w:rFonts w:eastAsiaTheme="minorEastAsia"/>
          <w:b/>
          <w:bCs/>
          <w:szCs w:val="24"/>
          <w:lang w:val="en-US" w:eastAsia="zh-CN"/>
        </w:rPr>
        <w:t xml:space="preserve">eporting </w:t>
      </w:r>
      <w:r>
        <w:rPr>
          <w:rFonts w:eastAsiaTheme="minorEastAsia"/>
          <w:b/>
          <w:bCs/>
          <w:szCs w:val="24"/>
          <w:lang w:val="en-US" w:eastAsia="zh-CN"/>
        </w:rPr>
        <w:t>S</w:t>
      </w:r>
      <w:r w:rsidRPr="005217DB">
        <w:rPr>
          <w:rFonts w:eastAsiaTheme="minorEastAsia"/>
          <w:b/>
          <w:bCs/>
          <w:szCs w:val="24"/>
          <w:lang w:val="en-US" w:eastAsia="zh-CN"/>
        </w:rPr>
        <w:t xml:space="preserve">ettings </w:t>
      </w:r>
      <w:r w:rsidR="000636F0">
        <w:rPr>
          <w:rFonts w:eastAsiaTheme="minorEastAsia"/>
          <w:b/>
          <w:bCs/>
          <w:szCs w:val="24"/>
          <w:lang w:val="en-US" w:eastAsia="zh-CN"/>
        </w:rPr>
        <w:t>having</w:t>
      </w:r>
      <w:r w:rsidRPr="005217DB">
        <w:rPr>
          <w:rFonts w:eastAsiaTheme="minorEastAsia"/>
          <w:b/>
          <w:bCs/>
          <w:szCs w:val="24"/>
          <w:lang w:val="en-US" w:eastAsia="zh-CN"/>
        </w:rPr>
        <w:t xml:space="preserve"> the same configurations except for PUCCH/PUSCH </w:t>
      </w:r>
      <w:r>
        <w:rPr>
          <w:rFonts w:eastAsiaTheme="minorEastAsia"/>
          <w:b/>
          <w:bCs/>
          <w:szCs w:val="24"/>
          <w:lang w:val="en-US" w:eastAsia="zh-CN"/>
        </w:rPr>
        <w:t>resources.</w:t>
      </w:r>
    </w:p>
    <w:p w14:paraId="5C4B696C" w14:textId="54A742A2" w:rsidR="00B20DFF" w:rsidRDefault="00B20DFF" w:rsidP="00B20DFF">
      <w:pPr>
        <w:overflowPunct/>
        <w:textAlignment w:val="auto"/>
        <w:rPr>
          <w:rFonts w:eastAsiaTheme="minorHAnsi"/>
        </w:rPr>
      </w:pPr>
      <w:r>
        <w:rPr>
          <w:rFonts w:eastAsiaTheme="minorHAnsi"/>
          <w:b/>
          <w:bCs/>
        </w:rPr>
        <w:t>Proposal</w:t>
      </w:r>
      <w:r w:rsidR="004349CE">
        <w:rPr>
          <w:rFonts w:eastAsiaTheme="minorHAnsi"/>
          <w:b/>
          <w:bCs/>
        </w:rPr>
        <w:t xml:space="preserve"> 13</w:t>
      </w:r>
      <w:r>
        <w:rPr>
          <w:rFonts w:eastAsiaTheme="minorHAnsi"/>
          <w:b/>
          <w:bCs/>
        </w:rPr>
        <w:t>. Regarding the FFS on CQI calculation in multi-DCI NC-JT measurement, further clarify that a UE assumes two codewords are received fully overlapping in time and frequency and that each codeword is mapped to the spatial layers associated to one TRP.</w:t>
      </w:r>
    </w:p>
    <w:p w14:paraId="3698F653" w14:textId="77777777" w:rsidR="00B20DFF" w:rsidRPr="00B20DFF" w:rsidRDefault="00B20DFF" w:rsidP="00B20DFF"/>
    <w:p w14:paraId="570522D7" w14:textId="1BC7F7DE" w:rsidR="003B0155" w:rsidRPr="002D6B2B" w:rsidRDefault="002B7130">
      <w:pPr>
        <w:pStyle w:val="Heading1"/>
      </w:pPr>
      <w:r>
        <w:t>4</w:t>
      </w:r>
      <w:r w:rsidR="003B0155" w:rsidRPr="002D6B2B">
        <w:tab/>
        <w:t>Conclusion</w:t>
      </w:r>
    </w:p>
    <w:p w14:paraId="34F9666A" w14:textId="64C4D588" w:rsidR="007370C0" w:rsidRPr="00C3740E" w:rsidRDefault="007370C0" w:rsidP="007370C0">
      <w:pPr>
        <w:ind w:left="1276" w:hanging="1276"/>
        <w:jc w:val="both"/>
        <w:rPr>
          <w:rFonts w:eastAsiaTheme="minorEastAsia"/>
          <w:u w:val="single"/>
        </w:rPr>
      </w:pPr>
      <w:r w:rsidRPr="00C3740E">
        <w:rPr>
          <w:rFonts w:eastAsiaTheme="minorEastAsia"/>
          <w:u w:val="single"/>
        </w:rPr>
        <w:t xml:space="preserve">Hereafter is a </w:t>
      </w:r>
      <w:r w:rsidRPr="00C3740E">
        <w:rPr>
          <w:u w:val="single"/>
        </w:rPr>
        <w:t xml:space="preserve">summary of observations and proposals for FDD </w:t>
      </w:r>
      <w:r>
        <w:rPr>
          <w:u w:val="single"/>
        </w:rPr>
        <w:t>CSI enhancement</w:t>
      </w:r>
    </w:p>
    <w:p w14:paraId="18DDF95E" w14:textId="040CA54B" w:rsidR="00374C3D" w:rsidRPr="00C60549" w:rsidRDefault="00374C3D" w:rsidP="00374C3D">
      <w:pPr>
        <w:spacing w:after="120"/>
        <w:ind w:left="1418" w:hanging="1418"/>
        <w:jc w:val="both"/>
        <w:rPr>
          <w:b/>
          <w:bCs/>
        </w:rPr>
      </w:pPr>
      <w:r w:rsidRPr="00C60549">
        <w:rPr>
          <w:b/>
          <w:bCs/>
        </w:rPr>
        <w:t>Observation</w:t>
      </w:r>
      <w:r>
        <w:rPr>
          <w:b/>
          <w:bCs/>
        </w:rPr>
        <w:t xml:space="preserve"> 1</w:t>
      </w:r>
      <w:r w:rsidRPr="00C60549">
        <w:rPr>
          <w:b/>
          <w:bCs/>
        </w:rPr>
        <w:t xml:space="preserve">. </w:t>
      </w:r>
      <w:r w:rsidR="00F05E92">
        <w:rPr>
          <w:b/>
          <w:bCs/>
        </w:rPr>
        <w:tab/>
      </w:r>
      <w:r w:rsidR="00F05E92" w:rsidRPr="00C12C35">
        <w:rPr>
          <w:rFonts w:eastAsia="Times New Roman"/>
          <w:b/>
          <w:bCs/>
        </w:rPr>
        <w:t xml:space="preserve">Alt 0 can be regarded as a special case </w:t>
      </w:r>
      <w:r w:rsidR="00F05E92">
        <w:rPr>
          <w:rFonts w:eastAsia="Times New Roman"/>
          <w:b/>
          <w:bCs/>
        </w:rPr>
        <w:t xml:space="preserve">applicable to </w:t>
      </w:r>
      <w:r w:rsidR="00F05E92" w:rsidRPr="00C12C35">
        <w:rPr>
          <w:rFonts w:eastAsia="Times New Roman"/>
          <w:b/>
          <w:bCs/>
        </w:rPr>
        <w:t xml:space="preserve">any of the other alternatives, where the indication of port selection </w:t>
      </w:r>
      <w:r w:rsidR="00F05E92">
        <w:rPr>
          <w:rFonts w:eastAsia="Times New Roman"/>
          <w:b/>
          <w:bCs/>
        </w:rPr>
        <w:t>is combined with</w:t>
      </w:r>
      <w:r w:rsidR="00F05E92" w:rsidRPr="00C12C35">
        <w:rPr>
          <w:rFonts w:eastAsia="Times New Roman"/>
          <w:b/>
          <w:bCs/>
        </w:rPr>
        <w:t xml:space="preserve"> </w:t>
      </w:r>
      <w:r w:rsidR="00F05E92">
        <w:rPr>
          <w:rFonts w:eastAsia="Times New Roman"/>
          <w:b/>
          <w:bCs/>
        </w:rPr>
        <w:t xml:space="preserve">the </w:t>
      </w:r>
      <w:r w:rsidR="00F05E92" w:rsidRPr="00C12C35">
        <w:rPr>
          <w:rFonts w:eastAsia="Times New Roman"/>
          <w:b/>
          <w:bCs/>
        </w:rPr>
        <w:t xml:space="preserve">nonzero coefficient selection. This option allows layer-specific port selection and entails </w:t>
      </w:r>
      <w:r w:rsidR="00F05E92">
        <w:rPr>
          <w:rFonts w:eastAsia="Times New Roman"/>
          <w:b/>
          <w:bCs/>
        </w:rPr>
        <w:t>larger</w:t>
      </w:r>
      <w:r w:rsidR="00F05E92" w:rsidRPr="00C12C35">
        <w:rPr>
          <w:rFonts w:eastAsia="Times New Roman"/>
          <w:b/>
          <w:bCs/>
        </w:rPr>
        <w:t xml:space="preserve"> feedback overhead.</w:t>
      </w:r>
    </w:p>
    <w:p w14:paraId="717D16E6" w14:textId="77777777" w:rsidR="00F05E92" w:rsidRPr="0014320E" w:rsidRDefault="00374C3D" w:rsidP="00F05E92">
      <w:pPr>
        <w:spacing w:after="0"/>
        <w:jc w:val="both"/>
        <w:rPr>
          <w:rFonts w:eastAsia="Times New Roman"/>
          <w:b/>
          <w:bCs/>
        </w:rPr>
      </w:pPr>
      <w:r w:rsidRPr="00C60549">
        <w:rPr>
          <w:b/>
          <w:bCs/>
        </w:rPr>
        <w:t>Observation</w:t>
      </w:r>
      <w:r>
        <w:rPr>
          <w:b/>
          <w:bCs/>
        </w:rPr>
        <w:t xml:space="preserve"> 2</w:t>
      </w:r>
      <w:r w:rsidRPr="00C60549">
        <w:rPr>
          <w:b/>
          <w:bCs/>
        </w:rPr>
        <w:t xml:space="preserve">. </w:t>
      </w:r>
      <w:r>
        <w:rPr>
          <w:b/>
          <w:bCs/>
        </w:rPr>
        <w:tab/>
      </w:r>
      <w:r w:rsidR="00F05E92" w:rsidRPr="0014320E">
        <w:rPr>
          <w:rFonts w:eastAsia="Times New Roman"/>
          <w:b/>
          <w:bCs/>
        </w:rPr>
        <w:t xml:space="preserve">There are three different proposals for the role of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00F05E92" w:rsidRPr="0014320E">
        <w:rPr>
          <w:rFonts w:eastAsia="Times New Roman"/>
          <w:b/>
          <w:bCs/>
        </w:rPr>
        <w:t>:</w:t>
      </w:r>
    </w:p>
    <w:p w14:paraId="66E471DC" w14:textId="77777777" w:rsidR="00F05E92" w:rsidRPr="0014320E" w:rsidRDefault="00497DD0" w:rsidP="00545584">
      <w:pPr>
        <w:pStyle w:val="ListParagraph"/>
        <w:numPr>
          <w:ilvl w:val="0"/>
          <w:numId w:val="36"/>
        </w:numPr>
        <w:ind w:left="1701" w:hanging="283"/>
        <w:jc w:val="both"/>
        <w:rPr>
          <w:rFonts w:eastAsia="Times New Roman"/>
          <w:b/>
          <w:bCs/>
        </w:rPr>
      </w:pP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00F05E92" w:rsidRPr="0014320E">
        <w:rPr>
          <w:rFonts w:eastAsia="Times New Roman"/>
          <w:b/>
          <w:bCs/>
        </w:rPr>
        <w:t xml:space="preserve"> is not needed</w:t>
      </w:r>
      <w:r w:rsidR="00F05E92">
        <w:rPr>
          <w:rFonts w:eastAsia="Times New Roman"/>
          <w:b/>
          <w:bCs/>
        </w:rPr>
        <w:t xml:space="preserve"> as a UE reports only wideband combination coefficients and the wideband calculation is not specified</w:t>
      </w:r>
    </w:p>
    <w:p w14:paraId="64F0EBF2" w14:textId="77777777" w:rsidR="00F05E92" w:rsidRPr="0014320E" w:rsidRDefault="00497DD0" w:rsidP="00545584">
      <w:pPr>
        <w:pStyle w:val="ListParagraph"/>
        <w:numPr>
          <w:ilvl w:val="0"/>
          <w:numId w:val="36"/>
        </w:numPr>
        <w:ind w:left="1701" w:hanging="283"/>
        <w:jc w:val="both"/>
        <w:rPr>
          <w:rFonts w:eastAsia="Times New Roman"/>
          <w:b/>
          <w:bCs/>
        </w:rPr>
      </w:pP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00F05E92" w:rsidRPr="0014320E">
        <w:rPr>
          <w:rFonts w:eastAsia="Times New Roman"/>
          <w:b/>
          <w:bCs/>
        </w:rPr>
        <w:t xml:space="preserve"> is a DFT-based compression matrix</w:t>
      </w:r>
    </w:p>
    <w:p w14:paraId="48933D72" w14:textId="2D29385F" w:rsidR="00F05E92" w:rsidRPr="00F05E92" w:rsidRDefault="00497DD0" w:rsidP="00545584">
      <w:pPr>
        <w:pStyle w:val="ListParagraph"/>
        <w:numPr>
          <w:ilvl w:val="0"/>
          <w:numId w:val="36"/>
        </w:numPr>
        <w:spacing w:after="160"/>
        <w:ind w:left="1701" w:hanging="283"/>
        <w:jc w:val="both"/>
        <w:rPr>
          <w:rFonts w:eastAsia="Times New Roman"/>
        </w:rPr>
      </w:pPr>
      <m:oMath>
        <m:sSub>
          <m:sSubPr>
            <m:ctrlPr>
              <w:rPr>
                <w:rFonts w:ascii="Cambria Math" w:eastAsia="Times New Roman" w:hAnsi="Cambria Math"/>
                <w:b/>
                <w:bCs/>
                <w:i/>
                <w:iCs/>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00F05E92" w:rsidRPr="0014320E">
        <w:rPr>
          <w:rFonts w:eastAsia="Times New Roman"/>
          <w:b/>
          <w:bCs/>
        </w:rPr>
        <w:t xml:space="preserve"> is a further selection matrix</w:t>
      </w:r>
      <w:r w:rsidR="00F05E92">
        <w:rPr>
          <w:rFonts w:eastAsia="Times New Roman"/>
          <w:b/>
          <w:bCs/>
        </w:rPr>
        <w:t>.</w:t>
      </w:r>
    </w:p>
    <w:p w14:paraId="01992D71" w14:textId="42FCC85E" w:rsidR="00545584" w:rsidRPr="00545584" w:rsidRDefault="00545584" w:rsidP="001B11A7">
      <w:pPr>
        <w:ind w:left="1418" w:hanging="1418"/>
        <w:jc w:val="both"/>
        <w:rPr>
          <w:rFonts w:eastAsia="Times New Roman"/>
          <w:b/>
          <w:bCs/>
        </w:rPr>
      </w:pPr>
      <w:r w:rsidRPr="00545584">
        <w:rPr>
          <w:rFonts w:eastAsia="Times New Roman"/>
          <w:b/>
          <w:bCs/>
        </w:rPr>
        <w:t xml:space="preserve">Observation 3. </w:t>
      </w:r>
      <w:r w:rsidR="001B11A7">
        <w:rPr>
          <w:rFonts w:eastAsia="Times New Roman"/>
          <w:b/>
          <w:bCs/>
        </w:rPr>
        <w:tab/>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Pr="00545584">
        <w:rPr>
          <w:rFonts w:eastAsia="Times New Roman"/>
          <w:b/>
          <w:bCs/>
        </w:rPr>
        <w:t xml:space="preserve"> as a DFT-based compression matrix has the benefits of  increasing the PMI accuracy if the delays cannot be perfectly determined because of the lack of full reciprocity and/or reducing the CSI-RS port occupancy by letting a UE calculate some FD components to free up some CSI-RS ports.</w:t>
      </w:r>
    </w:p>
    <w:p w14:paraId="6C70FDEC" w14:textId="56D60511" w:rsidR="00545584" w:rsidRPr="00545584" w:rsidRDefault="00545584" w:rsidP="001B11A7">
      <w:pPr>
        <w:ind w:left="1418" w:hanging="1418"/>
        <w:jc w:val="both"/>
        <w:rPr>
          <w:rFonts w:eastAsia="Times New Roman"/>
          <w:b/>
          <w:bCs/>
        </w:rPr>
      </w:pPr>
      <w:r w:rsidRPr="00545584">
        <w:rPr>
          <w:rFonts w:eastAsia="Times New Roman"/>
          <w:b/>
          <w:bCs/>
        </w:rPr>
        <w:t xml:space="preserve">Observation 4. </w:t>
      </w:r>
      <w:r w:rsidR="001B11A7">
        <w:rPr>
          <w:rFonts w:eastAsia="Times New Roman"/>
          <w:b/>
          <w:bCs/>
        </w:rPr>
        <w:tab/>
      </w:r>
      <w:r w:rsidRPr="00545584">
        <w:rPr>
          <w:rFonts w:eastAsia="Times New Roman"/>
          <w:b/>
          <w:bCs/>
        </w:rPr>
        <w:t xml:space="preserve">Two similar formulations are proposed for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Pr="00545584">
        <w:rPr>
          <w:rFonts w:eastAsia="Times New Roman"/>
          <w:b/>
          <w:bCs/>
        </w:rPr>
        <w:t xml:space="preserve"> as a DFT-based compression matrix. In Alt 5 and 3.1 </w:t>
      </w:r>
      <w:r w:rsidRPr="00545584">
        <w:rPr>
          <w:rFonts w:eastAsia="Times New Roman"/>
          <w:b/>
          <w:bCs/>
          <w:lang w:val="en-US"/>
        </w:rPr>
        <w:t xml:space="preserve">two parameters are used, </w:t>
      </w:r>
      <m:oMath>
        <m:r>
          <m:rPr>
            <m:sty m:val="bi"/>
          </m:rPr>
          <w:rPr>
            <w:rFonts w:ascii="Cambria Math" w:eastAsia="Times New Roman" w:hAnsi="Cambria Math"/>
            <w:lang w:val="en-US"/>
          </w:rPr>
          <m:t>N,</m:t>
        </m:r>
        <m:sSub>
          <m:sSubPr>
            <m:ctrlPr>
              <w:rPr>
                <w:rFonts w:ascii="Cambria Math" w:eastAsia="Times New Roman" w:hAnsi="Cambria Math"/>
                <w:b/>
                <w:bCs/>
                <w:i/>
                <w:iCs/>
              </w:rPr>
            </m:ctrlPr>
          </m:sSubPr>
          <m:e>
            <m:r>
              <m:rPr>
                <m:sty m:val="bi"/>
              </m:rPr>
              <w:rPr>
                <w:rFonts w:ascii="Cambria Math" w:eastAsia="Times New Roman" w:hAnsi="Cambria Math"/>
              </w:rPr>
              <m:t>M</m:t>
            </m:r>
          </m:e>
          <m:sub>
            <m:r>
              <m:rPr>
                <m:sty m:val="bi"/>
              </m:rPr>
              <w:rPr>
                <w:rFonts w:ascii="Cambria Math" w:eastAsia="Times New Roman" w:hAnsi="Cambria Math"/>
              </w:rPr>
              <m:t>v</m:t>
            </m:r>
          </m:sub>
        </m:sSub>
      </m:oMath>
      <w:r w:rsidRPr="00545584">
        <w:rPr>
          <w:rFonts w:eastAsia="Times New Roman"/>
          <w:b/>
          <w:bCs/>
          <w:iCs/>
        </w:rPr>
        <w:t xml:space="preserve">, instead of one, </w:t>
      </w:r>
      <m:oMath>
        <m:sSub>
          <m:sSubPr>
            <m:ctrlPr>
              <w:rPr>
                <w:rFonts w:ascii="Cambria Math" w:eastAsia="Times New Roman" w:hAnsi="Cambria Math"/>
                <w:b/>
                <w:bCs/>
                <w:i/>
                <w:iCs/>
              </w:rPr>
            </m:ctrlPr>
          </m:sSubPr>
          <m:e>
            <m:r>
              <m:rPr>
                <m:sty m:val="bi"/>
              </m:rPr>
              <w:rPr>
                <w:rFonts w:ascii="Cambria Math" w:eastAsia="Times New Roman" w:hAnsi="Cambria Math"/>
              </w:rPr>
              <m:t>M</m:t>
            </m:r>
          </m:e>
          <m:sub>
            <m:r>
              <m:rPr>
                <m:sty m:val="bi"/>
              </m:rPr>
              <w:rPr>
                <w:rFonts w:ascii="Cambria Math" w:eastAsia="Times New Roman" w:hAnsi="Cambria Math"/>
              </w:rPr>
              <m:t>v</m:t>
            </m:r>
          </m:sub>
        </m:sSub>
      </m:oMath>
      <w:r w:rsidRPr="00545584">
        <w:rPr>
          <w:rFonts w:eastAsia="Times New Roman"/>
          <w:b/>
          <w:bCs/>
          <w:iCs/>
        </w:rPr>
        <w:t>, describing a more general configuration window + selection in restricted set, as opposed to a configuration/selection in the full set of FD components (Alt 3.0).</w:t>
      </w:r>
    </w:p>
    <w:p w14:paraId="45CA3794" w14:textId="588CD659" w:rsidR="00545584" w:rsidRPr="00545584" w:rsidRDefault="00545584" w:rsidP="001B11A7">
      <w:pPr>
        <w:ind w:left="1418" w:hanging="1418"/>
        <w:jc w:val="both"/>
        <w:rPr>
          <w:rFonts w:eastAsia="Times New Roman"/>
          <w:b/>
          <w:bCs/>
        </w:rPr>
      </w:pPr>
      <w:r w:rsidRPr="00545584">
        <w:rPr>
          <w:rFonts w:eastAsia="Times New Roman"/>
          <w:b/>
          <w:bCs/>
        </w:rPr>
        <w:t xml:space="preserve">Observation 5. </w:t>
      </w:r>
      <w:r w:rsidR="001B11A7">
        <w:rPr>
          <w:rFonts w:eastAsia="Times New Roman"/>
          <w:b/>
          <w:bCs/>
        </w:rPr>
        <w:tab/>
      </w:r>
      <m:oMath>
        <m:sSub>
          <m:sSubPr>
            <m:ctrlPr>
              <w:rPr>
                <w:rFonts w:ascii="Cambria Math" w:eastAsia="Times New Roman" w:hAnsi="Cambria Math"/>
                <w:b/>
                <w:bCs/>
                <w:i/>
                <w:iCs/>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Pr="00545584">
        <w:rPr>
          <w:rFonts w:eastAsia="Times New Roman"/>
          <w:b/>
          <w:bCs/>
        </w:rPr>
        <w:t xml:space="preserve"> as a further selection matrix can be combined with the port/port group selection matrix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1</m:t>
            </m:r>
          </m:sub>
        </m:sSub>
      </m:oMath>
      <w:r w:rsidRPr="00545584">
        <w:rPr>
          <w:rFonts w:eastAsia="Times New Roman"/>
          <w:b/>
          <w:bCs/>
        </w:rPr>
        <w:t>, to form a single SD-FD selection matrix (Alt 3.2) or a port selection matrix (Alt 4) with a specific Kronecker structure.</w:t>
      </w:r>
    </w:p>
    <w:p w14:paraId="2164600B" w14:textId="169231D3" w:rsidR="00F05E92" w:rsidRPr="00F05E92" w:rsidRDefault="00A65D2F" w:rsidP="00A65D2F">
      <w:pPr>
        <w:spacing w:after="160"/>
        <w:ind w:left="1418" w:hanging="1418"/>
        <w:jc w:val="both"/>
        <w:rPr>
          <w:rFonts w:eastAsia="Times New Roman"/>
        </w:rPr>
      </w:pPr>
      <w:r w:rsidRPr="000E032A">
        <w:rPr>
          <w:rFonts w:eastAsia="Times New Roman"/>
          <w:b/>
          <w:bCs/>
        </w:rPr>
        <w:t>Observation</w:t>
      </w:r>
      <w:r>
        <w:rPr>
          <w:rFonts w:eastAsia="Times New Roman"/>
          <w:b/>
          <w:bCs/>
        </w:rPr>
        <w:t xml:space="preserve"> 6</w:t>
      </w:r>
      <w:r w:rsidRPr="000E032A">
        <w:rPr>
          <w:rFonts w:eastAsia="Times New Roman"/>
          <w:b/>
          <w:bCs/>
        </w:rPr>
        <w:t xml:space="preserve">. An important </w:t>
      </w:r>
      <w:r>
        <w:rPr>
          <w:rFonts w:eastAsia="Times New Roman"/>
          <w:b/>
          <w:bCs/>
        </w:rPr>
        <w:t xml:space="preserve">implementational </w:t>
      </w:r>
      <w:r w:rsidRPr="000E032A">
        <w:rPr>
          <w:rFonts w:eastAsia="Times New Roman"/>
          <w:b/>
          <w:bCs/>
        </w:rPr>
        <w:t xml:space="preserve">aspect of the network configuration of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Pr="000E032A">
        <w:rPr>
          <w:rFonts w:eastAsia="Times New Roman"/>
          <w:b/>
          <w:bCs/>
        </w:rPr>
        <w:t xml:space="preserve"> as a DFT-based compression matrix</w:t>
      </w:r>
      <w:r>
        <w:rPr>
          <w:rFonts w:eastAsia="Times New Roman"/>
          <w:b/>
          <w:bCs/>
        </w:rPr>
        <w:t xml:space="preserve"> is the optimisation of the choice of windows of FD components. The corresponding FD precoding weights are determined by the initial points of these windows.</w:t>
      </w:r>
    </w:p>
    <w:p w14:paraId="2B97E273" w14:textId="49B84232" w:rsidR="00F65BC5" w:rsidRPr="00355A98" w:rsidRDefault="00F65BC5" w:rsidP="00F65BC5">
      <w:pPr>
        <w:spacing w:after="0"/>
        <w:ind w:left="1418" w:hanging="1418"/>
        <w:jc w:val="both"/>
        <w:rPr>
          <w:rFonts w:eastAsia="Times New Roman"/>
          <w:b/>
          <w:bCs/>
        </w:rPr>
      </w:pPr>
      <w:r w:rsidRPr="00355A98">
        <w:rPr>
          <w:rFonts w:eastAsia="Times New Roman"/>
          <w:b/>
          <w:bCs/>
        </w:rPr>
        <w:t>Observation</w:t>
      </w:r>
      <w:r>
        <w:rPr>
          <w:rFonts w:eastAsia="Times New Roman"/>
          <w:b/>
          <w:bCs/>
        </w:rPr>
        <w:t xml:space="preserve"> 7</w:t>
      </w:r>
      <w:r w:rsidRPr="00355A98">
        <w:rPr>
          <w:rFonts w:eastAsia="Times New Roman"/>
          <w:b/>
          <w:bCs/>
        </w:rPr>
        <w:t xml:space="preserve">. </w:t>
      </w:r>
      <w:r>
        <w:rPr>
          <w:rFonts w:eastAsia="Times New Roman"/>
          <w:b/>
          <w:bCs/>
        </w:rPr>
        <w:tab/>
      </w:r>
      <w:r w:rsidRPr="00355A98">
        <w:rPr>
          <w:rFonts w:eastAsia="Times New Roman"/>
          <w:b/>
          <w:bCs/>
        </w:rPr>
        <w:t xml:space="preserve">In all proposals but Alt 0,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1</m:t>
            </m:r>
          </m:sub>
        </m:sSub>
      </m:oMath>
      <w:r w:rsidRPr="00355A98">
        <w:rPr>
          <w:rFonts w:eastAsia="Times New Roman"/>
          <w:b/>
          <w:bCs/>
        </w:rPr>
        <w:t xml:space="preserve"> is a free selection matrix selecting ports/SD-FD bases/port groups. There are two different proposals regarding the mapping of SD-FD bases to ports</w:t>
      </w:r>
      <w:r>
        <w:rPr>
          <w:rFonts w:eastAsia="Times New Roman"/>
          <w:b/>
          <w:bCs/>
        </w:rPr>
        <w:t xml:space="preserve"> to reduce the CSI-RS overhead</w:t>
      </w:r>
    </w:p>
    <w:p w14:paraId="7CD71709" w14:textId="77777777" w:rsidR="00F65BC5" w:rsidRPr="00355A98" w:rsidRDefault="00F65BC5" w:rsidP="00F65BC5">
      <w:pPr>
        <w:pStyle w:val="ListParagraph"/>
        <w:numPr>
          <w:ilvl w:val="0"/>
          <w:numId w:val="37"/>
        </w:numPr>
        <w:ind w:left="1985"/>
        <w:jc w:val="both"/>
        <w:rPr>
          <w:rFonts w:eastAsia="Times New Roman"/>
          <w:b/>
          <w:bCs/>
        </w:rPr>
      </w:pPr>
      <w:r w:rsidRPr="00355A98">
        <w:rPr>
          <w:rFonts w:eastAsia="Times New Roman"/>
          <w:b/>
          <w:bCs/>
        </w:rPr>
        <w:t>One-to-one mapping</w:t>
      </w:r>
    </w:p>
    <w:p w14:paraId="629BBC7D" w14:textId="77777777" w:rsidR="00F65BC5" w:rsidRPr="00355A98" w:rsidRDefault="00F65BC5" w:rsidP="00F65BC5">
      <w:pPr>
        <w:pStyle w:val="ListParagraph"/>
        <w:numPr>
          <w:ilvl w:val="0"/>
          <w:numId w:val="37"/>
        </w:numPr>
        <w:spacing w:after="160"/>
        <w:ind w:left="1985" w:hanging="357"/>
        <w:jc w:val="both"/>
        <w:rPr>
          <w:rFonts w:eastAsia="Times New Roman"/>
          <w:b/>
          <w:bCs/>
        </w:rPr>
      </w:pPr>
      <w:r w:rsidRPr="00355A98">
        <w:rPr>
          <w:rFonts w:eastAsia="Times New Roman"/>
          <w:b/>
          <w:bCs/>
        </w:rPr>
        <w:t>Many-to-one mapping</w:t>
      </w:r>
    </w:p>
    <w:p w14:paraId="09F0BA24" w14:textId="2BFC42CA" w:rsidR="00240738" w:rsidRPr="00240738" w:rsidRDefault="00240738" w:rsidP="00240738">
      <w:pPr>
        <w:ind w:left="1418" w:hanging="1418"/>
        <w:jc w:val="both"/>
        <w:rPr>
          <w:rFonts w:eastAsia="Times New Roman"/>
          <w:b/>
          <w:bCs/>
        </w:rPr>
      </w:pPr>
      <w:r w:rsidRPr="00240738">
        <w:rPr>
          <w:rFonts w:eastAsia="Times New Roman"/>
          <w:b/>
          <w:bCs/>
        </w:rPr>
        <w:t xml:space="preserve">Observation 8. </w:t>
      </w:r>
      <w:r>
        <w:rPr>
          <w:rFonts w:eastAsia="Times New Roman"/>
          <w:b/>
          <w:bCs/>
        </w:rPr>
        <w:tab/>
      </w:r>
      <w:r w:rsidRPr="00240738">
        <w:rPr>
          <w:rFonts w:eastAsia="Times New Roman"/>
          <w:b/>
          <w:bCs/>
        </w:rPr>
        <w:t xml:space="preserve">Reduction in CSI-RS overhead is critical when scheduling multiple UEs simultaneously for CSI reports with a large number of UE-specific CSI-RS ports, say 32. </w:t>
      </w:r>
      <w:r w:rsidRPr="00240738">
        <w:rPr>
          <w:b/>
          <w:bCs/>
        </w:rPr>
        <w:t>Without this reduction, the RS overhead of Rel-17 PS would be much larger than that of Rel-16.</w:t>
      </w:r>
    </w:p>
    <w:p w14:paraId="6CE9D8F6" w14:textId="370F743E" w:rsidR="00E7742C" w:rsidRPr="002B1089" w:rsidRDefault="00E7742C" w:rsidP="00E7742C">
      <w:pPr>
        <w:ind w:left="1418" w:hanging="1418"/>
        <w:jc w:val="both"/>
        <w:rPr>
          <w:rFonts w:eastAsia="Times New Roman"/>
          <w:b/>
          <w:bCs/>
        </w:rPr>
      </w:pPr>
      <w:r w:rsidRPr="002B1089">
        <w:rPr>
          <w:rFonts w:eastAsia="Times New Roman"/>
          <w:b/>
          <w:bCs/>
        </w:rPr>
        <w:t>Observation</w:t>
      </w:r>
      <w:r>
        <w:rPr>
          <w:rFonts w:eastAsia="Times New Roman"/>
          <w:b/>
          <w:bCs/>
        </w:rPr>
        <w:t xml:space="preserve"> 9</w:t>
      </w:r>
      <w:r w:rsidRPr="002B1089">
        <w:rPr>
          <w:rFonts w:eastAsia="Times New Roman"/>
          <w:b/>
          <w:bCs/>
        </w:rPr>
        <w:t xml:space="preserve">. </w:t>
      </w:r>
      <w:r>
        <w:rPr>
          <w:rFonts w:eastAsia="Times New Roman"/>
          <w:b/>
          <w:bCs/>
        </w:rPr>
        <w:tab/>
      </w:r>
      <w:r w:rsidRPr="002B1089">
        <w:rPr>
          <w:rFonts w:eastAsia="Times New Roman"/>
          <w:b/>
          <w:bCs/>
        </w:rPr>
        <w:t>Reducing the CSI-RS resource density to 0.5 and 0.25 can achieve the same density per SD-FD basis as mapping 2 and 4 SD-FD bases per port with density 1, respectively. However, mapping multiple SD-FD bases to a port allows to schedule more resources per slot, hence supporting more UEs. For example, for 32 SD-FD bases and a target density per SD-FD basis of 0.25, one-to-one mapping allows up to 8 resources per slot, whereas many-to-one mapping allows up to 15 resources per slot.</w:t>
      </w:r>
    </w:p>
    <w:p w14:paraId="0A1E8F2E" w14:textId="7A19B356" w:rsidR="007370C0" w:rsidRDefault="007370C0" w:rsidP="007370C0">
      <w:pPr>
        <w:overflowPunct/>
        <w:autoSpaceDE/>
        <w:autoSpaceDN/>
        <w:adjustRightInd/>
        <w:spacing w:after="160" w:line="259" w:lineRule="auto"/>
        <w:ind w:left="1418" w:hanging="1418"/>
        <w:textAlignment w:val="auto"/>
        <w:rPr>
          <w:rFonts w:eastAsiaTheme="minorHAnsi"/>
          <w:b/>
          <w:bCs/>
        </w:rPr>
      </w:pPr>
    </w:p>
    <w:p w14:paraId="4701F216" w14:textId="77777777" w:rsidR="00F05E92" w:rsidRPr="00DD265A" w:rsidRDefault="00F05E92" w:rsidP="007370C0">
      <w:pPr>
        <w:overflowPunct/>
        <w:autoSpaceDE/>
        <w:autoSpaceDN/>
        <w:adjustRightInd/>
        <w:spacing w:after="160" w:line="259" w:lineRule="auto"/>
        <w:ind w:left="1418" w:hanging="1418"/>
        <w:textAlignment w:val="auto"/>
        <w:rPr>
          <w:rFonts w:eastAsiaTheme="minorHAnsi"/>
          <w:b/>
          <w:bCs/>
        </w:rPr>
      </w:pPr>
    </w:p>
    <w:p w14:paraId="5E1AEE24" w14:textId="4BE60E2C" w:rsidR="00C31AD1" w:rsidRDefault="00B20735" w:rsidP="00C31AD1">
      <w:pPr>
        <w:spacing w:after="0"/>
        <w:ind w:left="1276" w:hanging="1276"/>
        <w:jc w:val="both"/>
        <w:rPr>
          <w:rFonts w:eastAsia="Times New Roman"/>
          <w:b/>
          <w:bCs/>
        </w:rPr>
      </w:pPr>
      <w:r>
        <w:rPr>
          <w:b/>
          <w:bCs/>
        </w:rPr>
        <w:t xml:space="preserve">Proposal 1. </w:t>
      </w:r>
      <w:r w:rsidR="00C31AD1">
        <w:rPr>
          <w:b/>
          <w:bCs/>
        </w:rPr>
        <w:tab/>
      </w:r>
      <w:r w:rsidR="00C31AD1">
        <w:rPr>
          <w:rFonts w:eastAsia="Times New Roman"/>
          <w:b/>
          <w:bCs/>
        </w:rPr>
        <w:t xml:space="preserve">Support the codebook structure </w:t>
      </w:r>
      <m:oMath>
        <m:r>
          <m:rPr>
            <m:sty m:val="bi"/>
          </m:rPr>
          <w:rPr>
            <w:rFonts w:ascii="Cambria Math" w:eastAsia="Times New Roman" w:hAnsi="Cambria Math"/>
          </w:rPr>
          <m:t>W=</m:t>
        </m:r>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1</m:t>
            </m:r>
          </m:sub>
        </m:sSub>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2</m:t>
            </m:r>
          </m:sub>
        </m:sSub>
        <m:sSubSup>
          <m:sSubSupPr>
            <m:ctrlPr>
              <w:rPr>
                <w:rFonts w:ascii="Cambria Math" w:eastAsia="Times New Roman" w:hAnsi="Cambria Math"/>
                <w:b/>
                <w:bCs/>
                <w:i/>
              </w:rPr>
            </m:ctrlPr>
          </m:sSubSupPr>
          <m:e>
            <m:r>
              <m:rPr>
                <m:sty m:val="bi"/>
              </m:rPr>
              <w:rPr>
                <w:rFonts w:ascii="Cambria Math" w:eastAsia="Times New Roman" w:hAnsi="Cambria Math"/>
              </w:rPr>
              <m:t>W</m:t>
            </m:r>
          </m:e>
          <m:sub>
            <m:r>
              <m:rPr>
                <m:sty m:val="bi"/>
              </m:rPr>
              <w:rPr>
                <w:rFonts w:ascii="Cambria Math" w:eastAsia="Times New Roman" w:hAnsi="Cambria Math"/>
              </w:rPr>
              <m:t>f</m:t>
            </m:r>
          </m:sub>
          <m:sup>
            <m:r>
              <m:rPr>
                <m:sty m:val="bi"/>
              </m:rPr>
              <w:rPr>
                <w:rFonts w:ascii="Cambria Math" w:eastAsia="Times New Roman" w:hAnsi="Cambria Math"/>
              </w:rPr>
              <m:t>H</m:t>
            </m:r>
          </m:sup>
        </m:sSubSup>
      </m:oMath>
      <w:r w:rsidR="00C31AD1">
        <w:rPr>
          <w:rFonts w:eastAsia="Times New Roman"/>
          <w:b/>
          <w:bCs/>
        </w:rPr>
        <w:t xml:space="preserve">, where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sidR="00C31AD1">
        <w:rPr>
          <w:rFonts w:eastAsia="Times New Roman"/>
          <w:b/>
          <w:bCs/>
        </w:rPr>
        <w:t xml:space="preserve"> is a </w:t>
      </w:r>
      <m:oMath>
        <m:sSub>
          <m:sSubPr>
            <m:ctrlPr>
              <w:rPr>
                <w:rFonts w:ascii="Cambria Math" w:eastAsia="Times New Roman" w:hAnsi="Cambria Math"/>
                <w:b/>
                <w:bCs/>
                <w:i/>
              </w:rPr>
            </m:ctrlPr>
          </m:sSubPr>
          <m:e>
            <m:r>
              <m:rPr>
                <m:sty m:val="bi"/>
              </m:rPr>
              <w:rPr>
                <w:rFonts w:ascii="Cambria Math" w:eastAsia="Times New Roman" w:hAnsi="Cambria Math"/>
              </w:rPr>
              <m:t>N</m:t>
            </m:r>
          </m:e>
          <m:sub>
            <m:r>
              <m:rPr>
                <m:sty m:val="bi"/>
              </m:rPr>
              <w:rPr>
                <w:rFonts w:ascii="Cambria Math" w:eastAsia="Times New Roman" w:hAnsi="Cambria Math"/>
              </w:rPr>
              <m:t>3</m:t>
            </m:r>
          </m:sub>
        </m:sSub>
        <m:r>
          <m:rPr>
            <m:sty m:val="bi"/>
          </m:rPr>
          <w:rPr>
            <w:rFonts w:ascii="Cambria Math" w:eastAsia="Times New Roman" w:hAnsi="Cambria Math"/>
          </w:rPr>
          <m:t>×</m:t>
        </m:r>
        <m:sSub>
          <m:sSubPr>
            <m:ctrlPr>
              <w:rPr>
                <w:rFonts w:ascii="Cambria Math" w:eastAsia="Times New Roman" w:hAnsi="Cambria Math"/>
                <w:b/>
                <w:bCs/>
                <w:i/>
              </w:rPr>
            </m:ctrlPr>
          </m:sSubPr>
          <m:e>
            <m:r>
              <m:rPr>
                <m:sty m:val="bi"/>
              </m:rPr>
              <w:rPr>
                <w:rFonts w:ascii="Cambria Math" w:eastAsia="Times New Roman" w:hAnsi="Cambria Math"/>
              </w:rPr>
              <m:t>M</m:t>
            </m:r>
          </m:e>
          <m:sub>
            <m:r>
              <m:rPr>
                <m:sty m:val="bi"/>
              </m:rPr>
              <w:rPr>
                <w:rFonts w:ascii="Cambria Math" w:eastAsia="Times New Roman" w:hAnsi="Cambria Math"/>
              </w:rPr>
              <m:t>ν</m:t>
            </m:r>
          </m:sub>
        </m:sSub>
      </m:oMath>
      <w:r w:rsidR="00C31AD1">
        <w:rPr>
          <w:rFonts w:eastAsia="Times New Roman"/>
          <w:b/>
          <w:bCs/>
        </w:rPr>
        <w:t xml:space="preserve"> DFT-based compression matrix (Alt 5, 3.0, 3.1) and the </w:t>
      </w:r>
      <m:oMath>
        <m:sSub>
          <m:sSubPr>
            <m:ctrlPr>
              <w:rPr>
                <w:rFonts w:ascii="Cambria Math" w:eastAsia="Times New Roman" w:hAnsi="Cambria Math"/>
                <w:b/>
                <w:bCs/>
                <w:i/>
              </w:rPr>
            </m:ctrlPr>
          </m:sSubPr>
          <m:e>
            <m:r>
              <m:rPr>
                <m:sty m:val="bi"/>
              </m:rPr>
              <w:rPr>
                <w:rFonts w:ascii="Cambria Math" w:eastAsia="Times New Roman" w:hAnsi="Cambria Math"/>
              </w:rPr>
              <m:t>M</m:t>
            </m:r>
          </m:e>
          <m:sub>
            <m:r>
              <m:rPr>
                <m:sty m:val="bi"/>
              </m:rPr>
              <w:rPr>
                <w:rFonts w:ascii="Cambria Math" w:eastAsia="Times New Roman" w:hAnsi="Cambria Math"/>
              </w:rPr>
              <m:t>ν</m:t>
            </m:r>
          </m:sub>
        </m:sSub>
      </m:oMath>
      <w:r w:rsidR="00C31AD1">
        <w:rPr>
          <w:rFonts w:eastAsia="Times New Roman"/>
          <w:b/>
          <w:bCs/>
        </w:rPr>
        <w:t xml:space="preserve"> components are network configured or selected and reported within a configured window of size </w:t>
      </w:r>
      <m:oMath>
        <m:r>
          <m:rPr>
            <m:sty m:val="bi"/>
          </m:rPr>
          <w:rPr>
            <w:rFonts w:ascii="Cambria Math" w:eastAsia="Times New Roman" w:hAnsi="Cambria Math"/>
          </w:rPr>
          <m:t>N</m:t>
        </m:r>
      </m:oMath>
    </w:p>
    <w:p w14:paraId="4A2ECC85" w14:textId="77777777" w:rsidR="00C31AD1" w:rsidRDefault="00C31AD1" w:rsidP="00C31AD1">
      <w:pPr>
        <w:pStyle w:val="ListParagraph"/>
        <w:numPr>
          <w:ilvl w:val="0"/>
          <w:numId w:val="38"/>
        </w:numPr>
        <w:ind w:left="1701" w:hanging="425"/>
        <w:jc w:val="both"/>
        <w:rPr>
          <w:rFonts w:eastAsia="Times New Roman"/>
          <w:b/>
          <w:bCs/>
        </w:rPr>
      </w:pPr>
      <w:r>
        <w:rPr>
          <w:rFonts w:eastAsia="Times New Roman"/>
          <w:b/>
          <w:bCs/>
        </w:rPr>
        <w:t xml:space="preserve">FFS: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f</m:t>
            </m:r>
          </m:sub>
        </m:sSub>
      </m:oMath>
      <w:r>
        <w:rPr>
          <w:rFonts w:eastAsia="Times New Roman"/>
          <w:b/>
          <w:bCs/>
        </w:rPr>
        <w:t xml:space="preserve"> configured or selected and reported by a UE</w:t>
      </w:r>
    </w:p>
    <w:p w14:paraId="0068E44F" w14:textId="77777777" w:rsidR="00C31AD1" w:rsidRDefault="00C31AD1" w:rsidP="00C31AD1">
      <w:pPr>
        <w:pStyle w:val="ListParagraph"/>
        <w:numPr>
          <w:ilvl w:val="0"/>
          <w:numId w:val="38"/>
        </w:numPr>
        <w:ind w:left="1701" w:hanging="425"/>
        <w:jc w:val="both"/>
        <w:rPr>
          <w:rFonts w:eastAsia="Times New Roman"/>
          <w:b/>
          <w:bCs/>
        </w:rPr>
      </w:pPr>
      <w:r>
        <w:rPr>
          <w:rFonts w:eastAsia="Times New Roman"/>
          <w:b/>
          <w:bCs/>
        </w:rPr>
        <w:t xml:space="preserve">FFS: values of </w:t>
      </w:r>
      <m:oMath>
        <m:sSub>
          <m:sSubPr>
            <m:ctrlPr>
              <w:rPr>
                <w:rFonts w:ascii="Cambria Math" w:eastAsia="Times New Roman" w:hAnsi="Cambria Math"/>
                <w:b/>
                <w:bCs/>
                <w:i/>
              </w:rPr>
            </m:ctrlPr>
          </m:sSubPr>
          <m:e>
            <m:r>
              <m:rPr>
                <m:sty m:val="bi"/>
              </m:rPr>
              <w:rPr>
                <w:rFonts w:ascii="Cambria Math" w:eastAsia="Times New Roman" w:hAnsi="Cambria Math"/>
              </w:rPr>
              <m:t>M</m:t>
            </m:r>
          </m:e>
          <m:sub>
            <m:r>
              <m:rPr>
                <m:sty m:val="bi"/>
              </m:rPr>
              <w:rPr>
                <w:rFonts w:ascii="Cambria Math" w:eastAsia="Times New Roman" w:hAnsi="Cambria Math"/>
              </w:rPr>
              <m:t>ν</m:t>
            </m:r>
          </m:sub>
        </m:sSub>
      </m:oMath>
      <w:r>
        <w:rPr>
          <w:rFonts w:eastAsia="Times New Roman"/>
          <w:b/>
          <w:bCs/>
        </w:rPr>
        <w:t xml:space="preserve"> and </w:t>
      </w:r>
      <m:oMath>
        <m:r>
          <m:rPr>
            <m:sty m:val="bi"/>
          </m:rPr>
          <w:rPr>
            <w:rFonts w:ascii="Cambria Math" w:eastAsia="Times New Roman" w:hAnsi="Cambria Math"/>
          </w:rPr>
          <m:t>N</m:t>
        </m:r>
      </m:oMath>
    </w:p>
    <w:p w14:paraId="530B63F2" w14:textId="77777777" w:rsidR="00C31AD1" w:rsidRDefault="00497DD0" w:rsidP="00C31AD1">
      <w:pPr>
        <w:pStyle w:val="ListParagraph"/>
        <w:numPr>
          <w:ilvl w:val="1"/>
          <w:numId w:val="38"/>
        </w:numPr>
        <w:ind w:left="2127" w:hanging="426"/>
        <w:jc w:val="both"/>
        <w:rPr>
          <w:rFonts w:eastAsia="Times New Roman"/>
          <w:b/>
          <w:bCs/>
        </w:rPr>
      </w:pPr>
      <m:oMath>
        <m:sSub>
          <m:sSubPr>
            <m:ctrlPr>
              <w:rPr>
                <w:rFonts w:ascii="Cambria Math" w:eastAsia="Times New Roman" w:hAnsi="Cambria Math"/>
                <w:b/>
                <w:bCs/>
                <w:i/>
              </w:rPr>
            </m:ctrlPr>
          </m:sSubPr>
          <m:e>
            <m:r>
              <m:rPr>
                <m:sty m:val="bi"/>
              </m:rPr>
              <w:rPr>
                <w:rFonts w:ascii="Cambria Math" w:eastAsia="Times New Roman" w:hAnsi="Cambria Math"/>
              </w:rPr>
              <m:t>M</m:t>
            </m:r>
          </m:e>
          <m:sub>
            <m:r>
              <m:rPr>
                <m:sty m:val="bi"/>
              </m:rPr>
              <w:rPr>
                <w:rFonts w:ascii="Cambria Math" w:eastAsia="Times New Roman" w:hAnsi="Cambria Math"/>
              </w:rPr>
              <m:t>ν</m:t>
            </m:r>
          </m:sub>
        </m:sSub>
        <m:r>
          <m:rPr>
            <m:sty m:val="bi"/>
          </m:rPr>
          <w:rPr>
            <w:rFonts w:ascii="Cambria Math" w:eastAsia="Times New Roman" w:hAnsi="Cambria Math"/>
          </w:rPr>
          <m:t>=N=1</m:t>
        </m:r>
      </m:oMath>
      <w:r w:rsidR="00C31AD1">
        <w:rPr>
          <w:rFonts w:eastAsia="Times New Roman"/>
          <w:b/>
          <w:bCs/>
        </w:rPr>
        <w:t xml:space="preserve">, </w:t>
      </w:r>
      <w:r w:rsidR="00C31AD1" w:rsidRPr="00EE126B">
        <w:rPr>
          <w:rFonts w:eastAsia="Times New Roman"/>
          <w:b/>
          <w:bCs/>
          <w:i/>
          <w:iCs/>
        </w:rPr>
        <w:t>i.e.</w:t>
      </w:r>
      <w:r w:rsidR="00C31AD1">
        <w:rPr>
          <w:rFonts w:eastAsia="Times New Roman"/>
          <w:b/>
          <w:bCs/>
        </w:rPr>
        <w:t>, WB reporting</w:t>
      </w:r>
    </w:p>
    <w:p w14:paraId="115FBD5F" w14:textId="353E10CB" w:rsidR="00B20735" w:rsidRPr="00C31AD1" w:rsidRDefault="00C31AD1" w:rsidP="00C31AD1">
      <w:pPr>
        <w:pStyle w:val="ListParagraph"/>
        <w:numPr>
          <w:ilvl w:val="1"/>
          <w:numId w:val="38"/>
        </w:numPr>
        <w:spacing w:after="160"/>
        <w:ind w:left="2126" w:hanging="425"/>
        <w:jc w:val="both"/>
        <w:rPr>
          <w:rFonts w:eastAsia="Times New Roman"/>
          <w:b/>
          <w:bCs/>
        </w:rPr>
      </w:pPr>
      <m:oMath>
        <m:r>
          <m:rPr>
            <m:sty m:val="bi"/>
          </m:rPr>
          <w:rPr>
            <w:rFonts w:ascii="Cambria Math" w:eastAsia="Times New Roman" w:hAnsi="Cambria Math"/>
          </w:rPr>
          <m:t>…</m:t>
        </m:r>
      </m:oMath>
    </w:p>
    <w:p w14:paraId="41D29DAC" w14:textId="504D995D" w:rsidR="00AB014D" w:rsidRDefault="00AB014D" w:rsidP="00AB014D">
      <w:pPr>
        <w:ind w:left="1276" w:hanging="1276"/>
        <w:jc w:val="both"/>
        <w:rPr>
          <w:rFonts w:eastAsia="Times New Roman"/>
          <w:b/>
          <w:bCs/>
        </w:rPr>
      </w:pPr>
      <w:r w:rsidRPr="00BF7BDC">
        <w:rPr>
          <w:rFonts w:eastAsia="Times New Roman"/>
          <w:b/>
          <w:bCs/>
        </w:rPr>
        <w:lastRenderedPageBreak/>
        <w:t>Proposal</w:t>
      </w:r>
      <w:r>
        <w:rPr>
          <w:rFonts w:eastAsia="Times New Roman"/>
          <w:b/>
          <w:bCs/>
        </w:rPr>
        <w:t xml:space="preserve"> 2</w:t>
      </w:r>
      <w:r w:rsidRPr="00BF7BDC">
        <w:rPr>
          <w:rFonts w:eastAsia="Times New Roman"/>
          <w:b/>
          <w:bCs/>
        </w:rPr>
        <w:t xml:space="preserve">. </w:t>
      </w:r>
      <w:r>
        <w:rPr>
          <w:rFonts w:eastAsia="Times New Roman"/>
          <w:b/>
          <w:bCs/>
        </w:rPr>
        <w:tab/>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1</m:t>
            </m:r>
          </m:sub>
        </m:sSub>
      </m:oMath>
      <w:r>
        <w:rPr>
          <w:rFonts w:eastAsia="Times New Roman"/>
          <w:b/>
          <w:bCs/>
        </w:rPr>
        <w:t xml:space="preserve"> is a </w:t>
      </w:r>
      <m:oMath>
        <m:r>
          <m:rPr>
            <m:sty m:val="bi"/>
          </m:rPr>
          <w:rPr>
            <w:rFonts w:ascii="Cambria Math" w:eastAsia="Times New Roman" w:hAnsi="Cambria Math"/>
          </w:rPr>
          <m:t>P×</m:t>
        </m:r>
        <m:sSub>
          <m:sSubPr>
            <m:ctrlPr>
              <w:rPr>
                <w:rFonts w:ascii="Cambria Math" w:eastAsia="Times New Roman" w:hAnsi="Cambria Math"/>
                <w:b/>
                <w:bCs/>
                <w:i/>
              </w:rPr>
            </m:ctrlPr>
          </m:sSubPr>
          <m:e>
            <m:r>
              <m:rPr>
                <m:sty m:val="bi"/>
              </m:rPr>
              <w:rPr>
                <w:rFonts w:ascii="Cambria Math" w:eastAsia="Times New Roman" w:hAnsi="Cambria Math"/>
              </w:rPr>
              <m:t>K</m:t>
            </m:r>
          </m:e>
          <m:sub>
            <m:r>
              <m:rPr>
                <m:sty m:val="bi"/>
              </m:rPr>
              <w:rPr>
                <w:rFonts w:ascii="Cambria Math" w:eastAsia="Times New Roman" w:hAnsi="Cambria Math"/>
              </w:rPr>
              <m:t>1</m:t>
            </m:r>
          </m:sub>
        </m:sSub>
      </m:oMath>
      <w:r>
        <w:rPr>
          <w:rFonts w:eastAsia="Times New Roman"/>
          <w:b/>
          <w:bCs/>
        </w:rPr>
        <w:t xml:space="preserve"> free selection matrix, if reported.</w:t>
      </w:r>
    </w:p>
    <w:p w14:paraId="47F79578" w14:textId="77777777" w:rsidR="00AB014D" w:rsidRDefault="00AB014D" w:rsidP="00AB014D">
      <w:pPr>
        <w:pStyle w:val="ListParagraph"/>
        <w:numPr>
          <w:ilvl w:val="0"/>
          <w:numId w:val="39"/>
        </w:numPr>
        <w:ind w:left="1560"/>
        <w:jc w:val="both"/>
        <w:rPr>
          <w:rFonts w:eastAsia="Times New Roman"/>
          <w:b/>
          <w:bCs/>
        </w:rPr>
      </w:pPr>
      <w:r>
        <w:rPr>
          <w:rFonts w:eastAsia="Times New Roman"/>
          <w:b/>
          <w:bCs/>
        </w:rPr>
        <w:t xml:space="preserve">FFS: whether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1</m:t>
            </m:r>
          </m:sub>
        </m:sSub>
      </m:oMath>
      <w:r>
        <w:rPr>
          <w:rFonts w:eastAsia="Times New Roman"/>
          <w:b/>
          <w:bCs/>
        </w:rPr>
        <w:t xml:space="preserve"> has Kronecker structure (Alt 3.2 and 4),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1</m:t>
            </m:r>
          </m:sub>
        </m:sSub>
        <m:r>
          <m:rPr>
            <m:sty m:val="bi"/>
          </m:rPr>
          <w:rPr>
            <w:rFonts w:ascii="Cambria Math" w:eastAsia="Times New Roman" w:hAnsi="Cambria Math"/>
          </w:rPr>
          <m:t>=</m:t>
        </m:r>
        <m:sSubSup>
          <m:sSubSupPr>
            <m:ctrlPr>
              <w:rPr>
                <w:rFonts w:ascii="Cambria Math" w:eastAsia="Times New Roman" w:hAnsi="Cambria Math"/>
                <w:b/>
                <w:bCs/>
                <w:i/>
              </w:rPr>
            </m:ctrlPr>
          </m:sSubSupPr>
          <m:e>
            <m:r>
              <m:rPr>
                <m:sty m:val="bi"/>
              </m:rPr>
              <w:rPr>
                <w:rFonts w:ascii="Cambria Math" w:eastAsia="Times New Roman" w:hAnsi="Cambria Math"/>
              </w:rPr>
              <m:t>W</m:t>
            </m:r>
          </m:e>
          <m:sub>
            <m:r>
              <m:rPr>
                <m:sty m:val="bi"/>
              </m:rPr>
              <w:rPr>
                <w:rFonts w:ascii="Cambria Math" w:eastAsia="Times New Roman" w:hAnsi="Cambria Math"/>
              </w:rPr>
              <m:t>1</m:t>
            </m:r>
          </m:sub>
          <m:sup>
            <m:r>
              <m:rPr>
                <m:sty m:val="bi"/>
              </m:rPr>
              <w:rPr>
                <w:rFonts w:ascii="Cambria Math" w:eastAsia="Times New Roman" w:hAnsi="Cambria Math"/>
              </w:rPr>
              <m:t>1</m:t>
            </m:r>
          </m:sup>
        </m:sSubSup>
        <m:r>
          <m:rPr>
            <m:sty m:val="bi"/>
          </m:rPr>
          <w:rPr>
            <w:rFonts w:ascii="Cambria Math" w:eastAsia="Times New Roman" w:hAnsi="Cambria Math"/>
          </w:rPr>
          <m:t>⊗</m:t>
        </m:r>
        <m:sSubSup>
          <m:sSubSupPr>
            <m:ctrlPr>
              <w:rPr>
                <w:rFonts w:ascii="Cambria Math" w:eastAsia="Times New Roman" w:hAnsi="Cambria Math"/>
                <w:b/>
                <w:bCs/>
                <w:i/>
              </w:rPr>
            </m:ctrlPr>
          </m:sSubSupPr>
          <m:e>
            <m:r>
              <m:rPr>
                <m:sty m:val="bi"/>
              </m:rPr>
              <w:rPr>
                <w:rFonts w:ascii="Cambria Math" w:eastAsia="Times New Roman" w:hAnsi="Cambria Math"/>
              </w:rPr>
              <m:t>W</m:t>
            </m:r>
          </m:e>
          <m:sub>
            <m:r>
              <m:rPr>
                <m:sty m:val="bi"/>
              </m:rPr>
              <w:rPr>
                <w:rFonts w:ascii="Cambria Math" w:eastAsia="Times New Roman" w:hAnsi="Cambria Math"/>
              </w:rPr>
              <m:t>1</m:t>
            </m:r>
          </m:sub>
          <m:sup>
            <m:r>
              <m:rPr>
                <m:sty m:val="bi"/>
              </m:rPr>
              <w:rPr>
                <w:rFonts w:ascii="Cambria Math" w:eastAsia="Times New Roman" w:hAnsi="Cambria Math"/>
              </w:rPr>
              <m:t>2</m:t>
            </m:r>
          </m:sup>
        </m:sSubSup>
      </m:oMath>
    </w:p>
    <w:p w14:paraId="002DE91A" w14:textId="77777777" w:rsidR="00AB014D" w:rsidRPr="00BF7BDC" w:rsidRDefault="00AB014D" w:rsidP="00AB014D">
      <w:pPr>
        <w:pStyle w:val="ListParagraph"/>
        <w:numPr>
          <w:ilvl w:val="0"/>
          <w:numId w:val="39"/>
        </w:numPr>
        <w:ind w:left="1560"/>
        <w:jc w:val="both"/>
        <w:rPr>
          <w:rFonts w:eastAsia="Times New Roman"/>
          <w:b/>
          <w:bCs/>
        </w:rPr>
      </w:pPr>
      <w:r>
        <w:rPr>
          <w:rFonts w:eastAsia="Times New Roman"/>
          <w:b/>
          <w:bCs/>
        </w:rPr>
        <w:t xml:space="preserve">FFS: feedback overhead increase if </w:t>
      </w:r>
      <m:oMath>
        <m:sSub>
          <m:sSubPr>
            <m:ctrlPr>
              <w:rPr>
                <w:rFonts w:ascii="Cambria Math" w:eastAsia="Times New Roman" w:hAnsi="Cambria Math"/>
                <w:b/>
                <w:bCs/>
                <w:i/>
              </w:rPr>
            </m:ctrlPr>
          </m:sSubPr>
          <m:e>
            <m:r>
              <m:rPr>
                <m:sty m:val="bi"/>
              </m:rPr>
              <w:rPr>
                <w:rFonts w:ascii="Cambria Math" w:eastAsia="Times New Roman" w:hAnsi="Cambria Math"/>
              </w:rPr>
              <m:t>W</m:t>
            </m:r>
          </m:e>
          <m:sub>
            <m:r>
              <m:rPr>
                <m:sty m:val="bi"/>
              </m:rPr>
              <w:rPr>
                <w:rFonts w:ascii="Cambria Math" w:eastAsia="Times New Roman" w:hAnsi="Cambria Math"/>
              </w:rPr>
              <m:t>1</m:t>
            </m:r>
          </m:sub>
        </m:sSub>
      </m:oMath>
      <w:r>
        <w:rPr>
          <w:rFonts w:eastAsia="Times New Roman"/>
          <w:b/>
          <w:bCs/>
        </w:rPr>
        <w:t xml:space="preserve"> is not reported (Alt 0)</w:t>
      </w:r>
    </w:p>
    <w:p w14:paraId="7C542903" w14:textId="77777777" w:rsidR="00AB014D" w:rsidRDefault="00AB014D" w:rsidP="00AB014D">
      <w:pPr>
        <w:jc w:val="both"/>
        <w:rPr>
          <w:rFonts w:eastAsia="Times New Roman"/>
        </w:rPr>
      </w:pPr>
    </w:p>
    <w:p w14:paraId="43B65C7D" w14:textId="59971396" w:rsidR="00AB014D" w:rsidRPr="00834127" w:rsidRDefault="00AB014D" w:rsidP="00AB014D">
      <w:pPr>
        <w:ind w:left="1276" w:hanging="1276"/>
        <w:jc w:val="both"/>
        <w:rPr>
          <w:rFonts w:eastAsia="Times New Roman"/>
          <w:b/>
          <w:bCs/>
        </w:rPr>
      </w:pPr>
      <w:r w:rsidRPr="00834127">
        <w:rPr>
          <w:rFonts w:eastAsia="Times New Roman"/>
          <w:b/>
          <w:bCs/>
        </w:rPr>
        <w:t>Proposal</w:t>
      </w:r>
      <w:r>
        <w:rPr>
          <w:rFonts w:eastAsia="Times New Roman"/>
          <w:b/>
          <w:bCs/>
        </w:rPr>
        <w:t xml:space="preserve"> 3</w:t>
      </w:r>
      <w:r w:rsidRPr="00834127">
        <w:rPr>
          <w:rFonts w:eastAsia="Times New Roman"/>
          <w:b/>
          <w:bCs/>
        </w:rPr>
        <w:t xml:space="preserve">. </w:t>
      </w:r>
      <w:r>
        <w:rPr>
          <w:rFonts w:eastAsia="Times New Roman"/>
          <w:b/>
          <w:bCs/>
        </w:rPr>
        <w:tab/>
      </w:r>
      <w:r w:rsidRPr="00834127">
        <w:rPr>
          <w:rFonts w:eastAsia="Times New Roman"/>
          <w:b/>
          <w:bCs/>
        </w:rPr>
        <w:t xml:space="preserve">Support further study of </w:t>
      </w:r>
      <w:r>
        <w:rPr>
          <w:rFonts w:eastAsia="Times New Roman"/>
          <w:b/>
          <w:bCs/>
        </w:rPr>
        <w:t xml:space="preserve">at least </w:t>
      </w:r>
      <w:r w:rsidRPr="00834127">
        <w:rPr>
          <w:rFonts w:eastAsia="Times New Roman"/>
          <w:b/>
          <w:bCs/>
        </w:rPr>
        <w:t xml:space="preserve">the following two </w:t>
      </w:r>
      <w:r>
        <w:rPr>
          <w:rFonts w:eastAsia="Times New Roman"/>
          <w:b/>
          <w:bCs/>
        </w:rPr>
        <w:t xml:space="preserve">additional </w:t>
      </w:r>
      <w:r w:rsidRPr="00834127">
        <w:rPr>
          <w:rFonts w:eastAsia="Times New Roman"/>
          <w:b/>
          <w:bCs/>
        </w:rPr>
        <w:t>mechanisms to reduce the CSI-RS overhead</w:t>
      </w:r>
    </w:p>
    <w:p w14:paraId="46070E23" w14:textId="77777777" w:rsidR="00AB014D" w:rsidRPr="00834127" w:rsidRDefault="00AB014D" w:rsidP="00AB014D">
      <w:pPr>
        <w:pStyle w:val="ListParagraph"/>
        <w:numPr>
          <w:ilvl w:val="0"/>
          <w:numId w:val="40"/>
        </w:numPr>
        <w:ind w:left="1560"/>
        <w:jc w:val="both"/>
        <w:rPr>
          <w:rFonts w:eastAsia="Times New Roman"/>
          <w:b/>
          <w:bCs/>
        </w:rPr>
      </w:pPr>
      <w:r w:rsidRPr="00834127">
        <w:rPr>
          <w:rFonts w:eastAsia="Times New Roman"/>
          <w:b/>
          <w:bCs/>
        </w:rPr>
        <w:t xml:space="preserve">Mapping </w:t>
      </w:r>
      <m:oMath>
        <m:sSub>
          <m:sSubPr>
            <m:ctrlPr>
              <w:rPr>
                <w:rFonts w:ascii="Cambria Math" w:eastAsia="Times New Roman" w:hAnsi="Cambria Math"/>
                <w:b/>
                <w:bCs/>
                <w:i/>
              </w:rPr>
            </m:ctrlPr>
          </m:sSubPr>
          <m:e>
            <m:r>
              <m:rPr>
                <m:sty m:val="bi"/>
              </m:rPr>
              <w:rPr>
                <w:rFonts w:ascii="Cambria Math" w:eastAsia="Times New Roman" w:hAnsi="Cambria Math"/>
              </w:rPr>
              <m:t>O</m:t>
            </m:r>
          </m:e>
          <m:sub>
            <m:r>
              <m:rPr>
                <m:sty m:val="bi"/>
              </m:rPr>
              <w:rPr>
                <w:rFonts w:ascii="Cambria Math" w:eastAsia="Times New Roman" w:hAnsi="Cambria Math"/>
              </w:rPr>
              <m:t>f</m:t>
            </m:r>
          </m:sub>
        </m:sSub>
        <m:r>
          <m:rPr>
            <m:sty m:val="bi"/>
          </m:rPr>
          <w:rPr>
            <w:rFonts w:ascii="Cambria Math" w:eastAsia="Times New Roman" w:hAnsi="Cambria Math"/>
          </w:rPr>
          <m:t>≥1</m:t>
        </m:r>
      </m:oMath>
      <w:r w:rsidRPr="00834127">
        <w:rPr>
          <w:rFonts w:eastAsia="Times New Roman"/>
          <w:b/>
          <w:bCs/>
        </w:rPr>
        <w:t xml:space="preserve"> SD-FD bases in a CSI-RS resource port, with </w:t>
      </w:r>
      <m:oMath>
        <m:sSub>
          <m:sSubPr>
            <m:ctrlPr>
              <w:rPr>
                <w:rFonts w:ascii="Cambria Math" w:eastAsia="Times New Roman" w:hAnsi="Cambria Math"/>
                <w:b/>
                <w:bCs/>
                <w:i/>
              </w:rPr>
            </m:ctrlPr>
          </m:sSubPr>
          <m:e>
            <m:r>
              <m:rPr>
                <m:sty m:val="bi"/>
              </m:rPr>
              <w:rPr>
                <w:rFonts w:ascii="Cambria Math" w:eastAsia="Times New Roman" w:hAnsi="Cambria Math"/>
              </w:rPr>
              <m:t>O</m:t>
            </m:r>
          </m:e>
          <m:sub>
            <m:r>
              <m:rPr>
                <m:sty m:val="bi"/>
              </m:rPr>
              <w:rPr>
                <w:rFonts w:ascii="Cambria Math" w:eastAsia="Times New Roman" w:hAnsi="Cambria Math"/>
              </w:rPr>
              <m:t>f</m:t>
            </m:r>
          </m:sub>
        </m:sSub>
        <m:r>
          <m:rPr>
            <m:sty m:val="bi"/>
          </m:rPr>
          <w:rPr>
            <w:rFonts w:ascii="Cambria Math" w:eastAsia="Times New Roman" w:hAnsi="Cambria Math"/>
          </w:rPr>
          <m:t>∈{1,2,4}</m:t>
        </m:r>
      </m:oMath>
    </w:p>
    <w:p w14:paraId="17B62FAE" w14:textId="77777777" w:rsidR="00AB014D" w:rsidRPr="00834127" w:rsidRDefault="00AB014D" w:rsidP="00AB014D">
      <w:pPr>
        <w:pStyle w:val="ListParagraph"/>
        <w:numPr>
          <w:ilvl w:val="0"/>
          <w:numId w:val="40"/>
        </w:numPr>
        <w:ind w:left="1560"/>
        <w:jc w:val="both"/>
        <w:rPr>
          <w:rFonts w:eastAsia="Times New Roman"/>
        </w:rPr>
      </w:pPr>
      <w:r w:rsidRPr="00834127">
        <w:rPr>
          <w:rFonts w:eastAsia="Times New Roman"/>
          <w:b/>
          <w:bCs/>
        </w:rPr>
        <w:t xml:space="preserve">Reduced CSI-RS resource density of 0.25 with RB comb offset: </w:t>
      </w:r>
      <m:oMath>
        <m:r>
          <m:rPr>
            <m:sty m:val="bi"/>
          </m:rPr>
          <w:rPr>
            <w:rFonts w:ascii="Cambria Math" w:eastAsia="Times New Roman" w:hAnsi="Cambria Math"/>
          </w:rPr>
          <m:t>{0,1,2,3}</m:t>
        </m:r>
      </m:oMath>
    </w:p>
    <w:p w14:paraId="434FED51" w14:textId="77777777" w:rsidR="00AB014D" w:rsidRDefault="00AB014D" w:rsidP="00AB014D">
      <w:pPr>
        <w:jc w:val="both"/>
        <w:rPr>
          <w:rFonts w:eastAsia="Times New Roman"/>
        </w:rPr>
      </w:pPr>
    </w:p>
    <w:p w14:paraId="6C5024B9" w14:textId="0BE5DACF" w:rsidR="00AB014D" w:rsidRPr="007E61D6" w:rsidRDefault="00AB014D" w:rsidP="00AB014D">
      <w:pPr>
        <w:ind w:left="1276" w:hanging="1276"/>
        <w:jc w:val="both"/>
        <w:rPr>
          <w:rFonts w:eastAsia="Times New Roman"/>
          <w:b/>
          <w:bCs/>
        </w:rPr>
      </w:pPr>
      <w:r w:rsidRPr="007E61D6">
        <w:rPr>
          <w:rFonts w:eastAsia="Times New Roman"/>
          <w:b/>
          <w:bCs/>
        </w:rPr>
        <w:t>Proposal</w:t>
      </w:r>
      <w:r>
        <w:rPr>
          <w:rFonts w:eastAsia="Times New Roman"/>
          <w:b/>
          <w:bCs/>
        </w:rPr>
        <w:t xml:space="preserve"> 4</w:t>
      </w:r>
      <w:r w:rsidRPr="007E61D6">
        <w:rPr>
          <w:rFonts w:eastAsia="Times New Roman"/>
          <w:b/>
          <w:bCs/>
        </w:rPr>
        <w:t xml:space="preserve">. </w:t>
      </w:r>
      <w:r>
        <w:rPr>
          <w:rFonts w:eastAsia="Times New Roman"/>
          <w:b/>
          <w:bCs/>
        </w:rPr>
        <w:tab/>
      </w:r>
      <w:r w:rsidRPr="007E61D6">
        <w:rPr>
          <w:rFonts w:eastAsia="Times New Roman"/>
          <w:b/>
          <w:bCs/>
        </w:rPr>
        <w:t xml:space="preserve">Study multiplexing of SD-FD </w:t>
      </w:r>
      <w:r>
        <w:rPr>
          <w:rFonts w:eastAsia="Times New Roman"/>
          <w:b/>
          <w:bCs/>
        </w:rPr>
        <w:t>pairs</w:t>
      </w:r>
      <w:r w:rsidRPr="007E61D6">
        <w:rPr>
          <w:rFonts w:eastAsia="Times New Roman"/>
          <w:b/>
          <w:bCs/>
        </w:rPr>
        <w:t xml:space="preserve"> of different UEs in delay domain by applying UE-specific shifts to FD</w:t>
      </w:r>
      <w:r>
        <w:rPr>
          <w:rFonts w:eastAsia="Times New Roman"/>
          <w:b/>
          <w:bCs/>
        </w:rPr>
        <w:t xml:space="preserve">-precoded </w:t>
      </w:r>
      <w:r w:rsidRPr="007E61D6">
        <w:rPr>
          <w:rFonts w:eastAsia="Times New Roman"/>
          <w:b/>
          <w:bCs/>
        </w:rPr>
        <w:t>beamforming vectors at gNB, in order to further reduce CSI-RS overhead on top of previously mentioned schemes</w:t>
      </w:r>
      <w:r>
        <w:rPr>
          <w:rFonts w:eastAsia="Times New Roman"/>
          <w:b/>
          <w:bCs/>
        </w:rPr>
        <w:t>.</w:t>
      </w:r>
    </w:p>
    <w:p w14:paraId="51679620" w14:textId="3BCE15E5" w:rsidR="007370C0" w:rsidRDefault="007370C0" w:rsidP="007370C0">
      <w:pPr>
        <w:ind w:left="1134" w:hanging="1134"/>
        <w:jc w:val="both"/>
        <w:rPr>
          <w:rFonts w:eastAsiaTheme="minorEastAsia"/>
        </w:rPr>
      </w:pPr>
    </w:p>
    <w:p w14:paraId="4D4C4908" w14:textId="529960FF" w:rsidR="002523E5" w:rsidRPr="00C3740E" w:rsidRDefault="003F00DF" w:rsidP="00276E32">
      <w:pPr>
        <w:jc w:val="both"/>
        <w:rPr>
          <w:u w:val="single"/>
        </w:rPr>
      </w:pPr>
      <w:r w:rsidRPr="00C3740E">
        <w:rPr>
          <w:u w:val="single"/>
        </w:rPr>
        <w:t>Hereafter is a summary of observations and proposals for M-TRP CSI enhancement.</w:t>
      </w:r>
    </w:p>
    <w:p w14:paraId="35C3A031" w14:textId="5A92B509" w:rsidR="00577FD4" w:rsidRPr="00EF7193" w:rsidRDefault="00577FD4" w:rsidP="00577FD4">
      <w:pPr>
        <w:overflowPunct/>
        <w:ind w:left="1418" w:hanging="1418"/>
        <w:textAlignment w:val="auto"/>
        <w:rPr>
          <w:rFonts w:eastAsiaTheme="minorEastAsia"/>
          <w:b/>
          <w:bCs/>
        </w:rPr>
      </w:pPr>
      <w:r w:rsidRPr="2254ADDB">
        <w:rPr>
          <w:rFonts w:eastAsiaTheme="minorEastAsia"/>
          <w:b/>
          <w:bCs/>
        </w:rPr>
        <w:t>Observation</w:t>
      </w:r>
      <w:r>
        <w:rPr>
          <w:rFonts w:eastAsiaTheme="minorEastAsia"/>
          <w:b/>
          <w:bCs/>
        </w:rPr>
        <w:t xml:space="preserve"> 10</w:t>
      </w:r>
      <w:r w:rsidRPr="2254ADDB">
        <w:rPr>
          <w:rFonts w:eastAsiaTheme="minorEastAsia"/>
          <w:b/>
          <w:bCs/>
        </w:rPr>
        <w:t xml:space="preserve">. </w:t>
      </w:r>
      <w:r>
        <w:rPr>
          <w:rFonts w:eastAsiaTheme="minorEastAsia"/>
          <w:b/>
          <w:bCs/>
        </w:rPr>
        <w:tab/>
      </w:r>
      <w:r w:rsidRPr="2254ADDB">
        <w:rPr>
          <w:rFonts w:eastAsiaTheme="minorEastAsia"/>
          <w:b/>
          <w:bCs/>
        </w:rPr>
        <w:t>When up to 8 CSI-RS resources are configured in a set and more than two QCL sources in the TCI state information are associated to these resources, a UE needs additional configuration</w:t>
      </w:r>
      <w:r>
        <w:rPr>
          <w:rFonts w:eastAsiaTheme="minorEastAsia"/>
          <w:b/>
          <w:bCs/>
        </w:rPr>
        <w:t>/indication</w:t>
      </w:r>
      <w:r w:rsidRPr="2254ADDB">
        <w:rPr>
          <w:rFonts w:eastAsiaTheme="minorEastAsia"/>
          <w:b/>
          <w:bCs/>
        </w:rPr>
        <w:t xml:space="preserve"> to determine the association between CMRs and TRPs and/or which CMR pairs to measure for the NC-JT hypotheses.</w:t>
      </w:r>
    </w:p>
    <w:p w14:paraId="12767273" w14:textId="534D9E47" w:rsidR="00FC7DC2" w:rsidRPr="0016322E" w:rsidRDefault="00FC7DC2" w:rsidP="00FC7DC2">
      <w:pPr>
        <w:overflowPunct/>
        <w:ind w:left="1418" w:hanging="1418"/>
        <w:textAlignment w:val="auto"/>
        <w:rPr>
          <w:rFonts w:eastAsiaTheme="minorHAnsi"/>
          <w:b/>
          <w:bCs/>
        </w:rPr>
      </w:pPr>
      <w:r w:rsidRPr="0016322E">
        <w:rPr>
          <w:rFonts w:eastAsiaTheme="minorHAnsi"/>
          <w:b/>
          <w:bCs/>
        </w:rPr>
        <w:t>Observation</w:t>
      </w:r>
      <w:r>
        <w:rPr>
          <w:rFonts w:eastAsiaTheme="minorHAnsi"/>
          <w:b/>
          <w:bCs/>
        </w:rPr>
        <w:t xml:space="preserve"> 11</w:t>
      </w:r>
      <w:r w:rsidRPr="0016322E">
        <w:rPr>
          <w:rFonts w:eastAsiaTheme="minorHAnsi"/>
          <w:b/>
          <w:bCs/>
        </w:rPr>
        <w:t xml:space="preserve">. </w:t>
      </w:r>
      <w:r>
        <w:rPr>
          <w:rFonts w:eastAsiaTheme="minorHAnsi"/>
          <w:b/>
          <w:bCs/>
        </w:rPr>
        <w:tab/>
      </w:r>
      <w:r w:rsidRPr="0016322E">
        <w:rPr>
          <w:rFonts w:eastAsiaTheme="minorHAnsi"/>
          <w:b/>
          <w:bCs/>
        </w:rPr>
        <w:t xml:space="preserve">It is possible to introduce higher-layer </w:t>
      </w:r>
      <w:r>
        <w:rPr>
          <w:rFonts w:eastAsiaTheme="minorHAnsi"/>
          <w:b/>
          <w:bCs/>
        </w:rPr>
        <w:t xml:space="preserve">configuration </w:t>
      </w:r>
      <w:r w:rsidRPr="0016322E">
        <w:rPr>
          <w:rFonts w:eastAsiaTheme="minorHAnsi"/>
          <w:b/>
          <w:bCs/>
        </w:rPr>
        <w:t>indices configured to group CMR resources</w:t>
      </w:r>
      <w:r>
        <w:rPr>
          <w:rFonts w:eastAsiaTheme="minorHAnsi"/>
          <w:b/>
          <w:bCs/>
        </w:rPr>
        <w:t xml:space="preserve"> associated to the same TRP</w:t>
      </w:r>
      <w:r w:rsidRPr="0016322E">
        <w:rPr>
          <w:rFonts w:eastAsiaTheme="minorHAnsi"/>
          <w:b/>
          <w:bCs/>
        </w:rPr>
        <w:t>.</w:t>
      </w:r>
    </w:p>
    <w:p w14:paraId="7FD5521F" w14:textId="19C5A4BA" w:rsidR="00F40DA9" w:rsidRDefault="00FC7DC2" w:rsidP="00F40DA9">
      <w:pPr>
        <w:ind w:left="1418" w:hanging="1418"/>
        <w:rPr>
          <w:b/>
          <w:bCs/>
          <w:lang w:eastAsia="ko-KR"/>
        </w:rPr>
      </w:pPr>
      <w:r w:rsidRPr="0016322E">
        <w:rPr>
          <w:rFonts w:eastAsiaTheme="minorHAnsi"/>
          <w:b/>
          <w:bCs/>
        </w:rPr>
        <w:t>Observation</w:t>
      </w:r>
      <w:r>
        <w:rPr>
          <w:rFonts w:eastAsiaTheme="minorHAnsi"/>
          <w:b/>
          <w:bCs/>
        </w:rPr>
        <w:t xml:space="preserve"> 12</w:t>
      </w:r>
      <w:r w:rsidRPr="0016322E">
        <w:rPr>
          <w:rFonts w:eastAsiaTheme="minorHAnsi"/>
          <w:b/>
          <w:bCs/>
        </w:rPr>
        <w:t>. It is possible to use the QCL</w:t>
      </w:r>
      <w:r>
        <w:rPr>
          <w:rFonts w:eastAsiaTheme="minorHAnsi"/>
          <w:b/>
          <w:bCs/>
        </w:rPr>
        <w:t>-typeD source</w:t>
      </w:r>
      <w:r w:rsidRPr="0016322E">
        <w:rPr>
          <w:rFonts w:eastAsiaTheme="minorHAnsi"/>
          <w:b/>
          <w:bCs/>
        </w:rPr>
        <w:t xml:space="preserve"> chain and grouping of SSB resources such that CMRs associated to SSB sources in different groups are understood to be associated to different TRPs.</w:t>
      </w:r>
    </w:p>
    <w:p w14:paraId="65A10607" w14:textId="05D905BA" w:rsidR="00B0609E" w:rsidRDefault="00C956A4" w:rsidP="00F40DA9">
      <w:pPr>
        <w:ind w:left="1418" w:hanging="1418"/>
        <w:rPr>
          <w:b/>
          <w:bCs/>
        </w:rPr>
      </w:pPr>
      <w:r w:rsidRPr="2254ADDB">
        <w:rPr>
          <w:rFonts w:eastAsiaTheme="minorEastAsia"/>
          <w:b/>
          <w:bCs/>
        </w:rPr>
        <w:t>Observation</w:t>
      </w:r>
      <w:r>
        <w:rPr>
          <w:rFonts w:eastAsiaTheme="minorEastAsia"/>
          <w:b/>
          <w:bCs/>
        </w:rPr>
        <w:t xml:space="preserve"> 13</w:t>
      </w:r>
      <w:r w:rsidRPr="2254ADDB">
        <w:rPr>
          <w:rFonts w:eastAsiaTheme="minorEastAsia"/>
          <w:b/>
          <w:bCs/>
        </w:rPr>
        <w:t>. For CSI measurement for multi-DCI based NC-JT, there is no need to introduce TRP association at Report Setting level, because the two separate CSI reports can share the same configuration with resource-level TRP association as agreed for single-DCI based NC-JT measurement.</w:t>
      </w:r>
    </w:p>
    <w:p w14:paraId="149C8BCB" w14:textId="77777777" w:rsidR="00FC7DC2" w:rsidRPr="00205801" w:rsidRDefault="00FC7DC2" w:rsidP="00F40DA9">
      <w:pPr>
        <w:ind w:left="1418" w:hanging="1418"/>
        <w:rPr>
          <w:b/>
          <w:bCs/>
        </w:rPr>
      </w:pPr>
    </w:p>
    <w:p w14:paraId="6B2FA3A3" w14:textId="1A0ECC04" w:rsidR="00FC7DC2" w:rsidRPr="00C04B56" w:rsidRDefault="00FC7DC2" w:rsidP="00FC7DC2">
      <w:pPr>
        <w:overflowPunct/>
        <w:spacing w:after="0"/>
        <w:ind w:left="1134" w:hanging="1134"/>
        <w:textAlignment w:val="auto"/>
        <w:rPr>
          <w:rFonts w:eastAsiaTheme="minorHAnsi"/>
          <w:b/>
          <w:bCs/>
          <w:iCs/>
        </w:rPr>
      </w:pPr>
      <w:r w:rsidRPr="00C04B56">
        <w:rPr>
          <w:rFonts w:eastAsiaTheme="minorHAnsi"/>
          <w:b/>
          <w:bCs/>
          <w:iCs/>
        </w:rPr>
        <w:t>Proposal</w:t>
      </w:r>
      <w:r>
        <w:rPr>
          <w:rFonts w:eastAsiaTheme="minorHAnsi"/>
          <w:b/>
          <w:bCs/>
          <w:iCs/>
        </w:rPr>
        <w:t xml:space="preserve"> 5</w:t>
      </w:r>
      <w:r w:rsidRPr="00C04B56">
        <w:rPr>
          <w:rFonts w:eastAsiaTheme="minorHAnsi"/>
          <w:b/>
          <w:bCs/>
          <w:iCs/>
        </w:rPr>
        <w:t xml:space="preserve">. </w:t>
      </w:r>
      <w:r>
        <w:rPr>
          <w:rFonts w:eastAsiaTheme="minorHAnsi"/>
          <w:b/>
          <w:bCs/>
          <w:iCs/>
        </w:rPr>
        <w:tab/>
      </w:r>
      <w:r w:rsidRPr="00C04B56">
        <w:rPr>
          <w:rFonts w:eastAsiaTheme="minorHAnsi"/>
          <w:b/>
          <w:bCs/>
          <w:iCs/>
        </w:rPr>
        <w:t>I</w:t>
      </w:r>
      <w:r w:rsidRPr="0016322E">
        <w:rPr>
          <w:rFonts w:eastAsiaTheme="minorHAnsi"/>
          <w:b/>
          <w:bCs/>
          <w:iCs/>
        </w:rPr>
        <w:t xml:space="preserve">ntroduce higher-layer configuration for grouping resources such that </w:t>
      </w:r>
      <w:r w:rsidRPr="00C04B56">
        <w:rPr>
          <w:rFonts w:eastAsiaTheme="minorHAnsi"/>
          <w:b/>
          <w:bCs/>
          <w:iCs/>
        </w:rPr>
        <w:t xml:space="preserve">a </w:t>
      </w:r>
      <w:r w:rsidRPr="0016322E">
        <w:rPr>
          <w:rFonts w:eastAsiaTheme="minorHAnsi"/>
          <w:b/>
          <w:bCs/>
          <w:iCs/>
        </w:rPr>
        <w:t>TRP</w:t>
      </w:r>
      <w:r w:rsidRPr="00C04B56">
        <w:rPr>
          <w:rFonts w:eastAsiaTheme="minorHAnsi"/>
          <w:b/>
          <w:bCs/>
          <w:iCs/>
        </w:rPr>
        <w:t xml:space="preserve"> association is known for each CMR resource</w:t>
      </w:r>
      <w:r w:rsidRPr="0016322E">
        <w:rPr>
          <w:rFonts w:eastAsiaTheme="minorHAnsi"/>
          <w:b/>
          <w:bCs/>
          <w:iCs/>
        </w:rPr>
        <w:t>. The grouping of C</w:t>
      </w:r>
      <w:r w:rsidRPr="00C04B56">
        <w:rPr>
          <w:rFonts w:eastAsiaTheme="minorHAnsi"/>
          <w:b/>
          <w:bCs/>
          <w:iCs/>
        </w:rPr>
        <w:t>MR</w:t>
      </w:r>
      <w:r w:rsidRPr="0016322E">
        <w:rPr>
          <w:rFonts w:eastAsiaTheme="minorHAnsi"/>
          <w:b/>
          <w:bCs/>
          <w:iCs/>
        </w:rPr>
        <w:t xml:space="preserve"> resources can be understood by the UE based on </w:t>
      </w:r>
      <w:r w:rsidRPr="00C04B56">
        <w:rPr>
          <w:rFonts w:eastAsiaTheme="minorHAnsi"/>
          <w:b/>
          <w:bCs/>
          <w:iCs/>
        </w:rPr>
        <w:t>either</w:t>
      </w:r>
      <w:r w:rsidRPr="0016322E">
        <w:rPr>
          <w:rFonts w:eastAsiaTheme="minorHAnsi"/>
          <w:b/>
          <w:bCs/>
          <w:iCs/>
        </w:rPr>
        <w:t xml:space="preserve"> of the following methods</w:t>
      </w:r>
      <w:r w:rsidRPr="00C04B56">
        <w:rPr>
          <w:rFonts w:eastAsiaTheme="minorHAnsi"/>
          <w:b/>
          <w:bCs/>
          <w:iCs/>
        </w:rPr>
        <w:t>:</w:t>
      </w:r>
    </w:p>
    <w:p w14:paraId="7922AB18" w14:textId="77777777" w:rsidR="00FC7DC2" w:rsidRDefault="00FC7DC2" w:rsidP="00FC7DC2">
      <w:pPr>
        <w:pStyle w:val="ListParagraph"/>
        <w:numPr>
          <w:ilvl w:val="0"/>
          <w:numId w:val="18"/>
        </w:numPr>
        <w:ind w:left="1560"/>
        <w:contextualSpacing w:val="0"/>
        <w:rPr>
          <w:rFonts w:eastAsiaTheme="minorHAnsi"/>
          <w:b/>
          <w:bCs/>
          <w:iCs/>
          <w:szCs w:val="20"/>
        </w:rPr>
      </w:pPr>
      <w:r w:rsidRPr="00C04B56">
        <w:rPr>
          <w:rFonts w:eastAsiaTheme="minorHAnsi"/>
          <w:b/>
          <w:bCs/>
          <w:iCs/>
          <w:szCs w:val="20"/>
        </w:rPr>
        <w:t>Alt-1: grouping (or TRP association) of CMR resources.</w:t>
      </w:r>
    </w:p>
    <w:p w14:paraId="7E360D65" w14:textId="0CC1F2F7" w:rsidR="00FC7DC2" w:rsidRPr="00FC7DC2" w:rsidRDefault="00FC7DC2" w:rsidP="00FC7DC2">
      <w:pPr>
        <w:pStyle w:val="ListParagraph"/>
        <w:numPr>
          <w:ilvl w:val="0"/>
          <w:numId w:val="18"/>
        </w:numPr>
        <w:spacing w:after="160"/>
        <w:ind w:left="1559" w:hanging="357"/>
        <w:rPr>
          <w:rFonts w:eastAsiaTheme="minorHAnsi"/>
          <w:b/>
          <w:bCs/>
          <w:iCs/>
          <w:szCs w:val="20"/>
        </w:rPr>
      </w:pPr>
      <w:r w:rsidRPr="00FC7DC2">
        <w:rPr>
          <w:rFonts w:eastAsiaTheme="minorHAnsi"/>
          <w:b/>
          <w:bCs/>
          <w:iCs/>
        </w:rPr>
        <w:t>Alt-2: grouping (or TRP association) of SSB resources and QCL-TypeD chain is used to determine the TRP association of a CMR.</w:t>
      </w:r>
    </w:p>
    <w:p w14:paraId="67B4EB71" w14:textId="5BFF1ACB" w:rsidR="00F1272F" w:rsidRPr="00F1272F" w:rsidRDefault="00F1272F" w:rsidP="00F1272F">
      <w:pPr>
        <w:ind w:left="1134" w:hanging="1134"/>
        <w:rPr>
          <w:rFonts w:eastAsiaTheme="minorEastAsia"/>
          <w:b/>
          <w:bCs/>
        </w:rPr>
      </w:pPr>
      <w:r w:rsidRPr="00F1272F">
        <w:rPr>
          <w:rFonts w:eastAsiaTheme="minorEastAsia"/>
          <w:b/>
          <w:bCs/>
        </w:rPr>
        <w:t xml:space="preserve">Proposal 6. </w:t>
      </w:r>
      <w:r>
        <w:rPr>
          <w:rFonts w:eastAsiaTheme="minorEastAsia"/>
          <w:b/>
          <w:bCs/>
        </w:rPr>
        <w:tab/>
      </w:r>
      <w:r w:rsidRPr="00F1272F">
        <w:rPr>
          <w:rFonts w:eastAsiaTheme="minorEastAsia"/>
          <w:b/>
          <w:bCs/>
        </w:rPr>
        <w:t>Support network indication of the CMR pairing to restrict the NC-JT measurement hypotheses when more than 2 CMR resources are configured in a resource set.</w:t>
      </w:r>
    </w:p>
    <w:p w14:paraId="51FFADDF" w14:textId="1C532D6F" w:rsidR="00A72740" w:rsidRPr="00F96C24" w:rsidRDefault="00A72740" w:rsidP="00A72740">
      <w:pPr>
        <w:ind w:left="1134" w:hanging="1134"/>
        <w:rPr>
          <w:b/>
          <w:bCs/>
        </w:rPr>
      </w:pPr>
      <w:r w:rsidRPr="00F96C24">
        <w:rPr>
          <w:b/>
          <w:bCs/>
        </w:rPr>
        <w:t>Proposal</w:t>
      </w:r>
      <w:r>
        <w:rPr>
          <w:b/>
          <w:bCs/>
        </w:rPr>
        <w:t xml:space="preserve"> 7</w:t>
      </w:r>
      <w:r w:rsidRPr="00F96C24">
        <w:rPr>
          <w:b/>
          <w:bCs/>
        </w:rPr>
        <w:t xml:space="preserve">. </w:t>
      </w:r>
      <w:r>
        <w:rPr>
          <w:b/>
          <w:bCs/>
        </w:rPr>
        <w:tab/>
      </w:r>
      <w:r w:rsidRPr="00F96C24">
        <w:rPr>
          <w:b/>
          <w:bCs/>
        </w:rPr>
        <w:t>For the number of reported CSIs in a single Reporting Setting, support a combination of Alt 3 and Alt 1 with three possible configurations:</w:t>
      </w:r>
    </w:p>
    <w:p w14:paraId="58BE1276" w14:textId="77777777" w:rsidR="00A72740" w:rsidRPr="00F96C24" w:rsidRDefault="00A72740" w:rsidP="00A72740">
      <w:pPr>
        <w:pStyle w:val="ListParagraph"/>
        <w:numPr>
          <w:ilvl w:val="0"/>
          <w:numId w:val="48"/>
        </w:numPr>
        <w:ind w:left="1418"/>
        <w:rPr>
          <w:b/>
          <w:bCs/>
        </w:rPr>
      </w:pPr>
      <w:r w:rsidRPr="00F96C24">
        <w:rPr>
          <w:b/>
          <w:bCs/>
        </w:rPr>
        <w:t>3 CSIs: two best single TRP measurements, one for TRP 0 and one for TRP 1, and 1 best NC-JT measurement</w:t>
      </w:r>
    </w:p>
    <w:p w14:paraId="0ED71987" w14:textId="77777777" w:rsidR="00A72740" w:rsidRPr="00F96C24" w:rsidRDefault="00A72740" w:rsidP="00A72740">
      <w:pPr>
        <w:pStyle w:val="ListParagraph"/>
        <w:numPr>
          <w:ilvl w:val="0"/>
          <w:numId w:val="48"/>
        </w:numPr>
        <w:ind w:left="1418"/>
        <w:rPr>
          <w:b/>
          <w:bCs/>
        </w:rPr>
      </w:pPr>
      <w:r w:rsidRPr="00F96C24">
        <w:rPr>
          <w:b/>
          <w:bCs/>
        </w:rPr>
        <w:t>2 CSIs: two best single TRP measurements, one for TRP 0 and one for TRP 1</w:t>
      </w:r>
    </w:p>
    <w:p w14:paraId="6CFB0FA8" w14:textId="3395DAD6" w:rsidR="00A72740" w:rsidRDefault="00A72740" w:rsidP="0097331F">
      <w:pPr>
        <w:pStyle w:val="ListParagraph"/>
        <w:numPr>
          <w:ilvl w:val="0"/>
          <w:numId w:val="48"/>
        </w:numPr>
        <w:spacing w:after="160"/>
        <w:ind w:left="1417" w:hanging="357"/>
        <w:rPr>
          <w:b/>
          <w:bCs/>
        </w:rPr>
      </w:pPr>
      <w:r w:rsidRPr="00F96C24">
        <w:rPr>
          <w:b/>
          <w:bCs/>
        </w:rPr>
        <w:t>2 CSIs: one best single TRP measurement, one best NC-JT measurement</w:t>
      </w:r>
    </w:p>
    <w:p w14:paraId="087FBEA3" w14:textId="73E76BB0" w:rsidR="0097331F" w:rsidRPr="0097331F" w:rsidRDefault="0097331F" w:rsidP="0097331F">
      <w:pPr>
        <w:ind w:left="1134" w:hanging="1134"/>
        <w:rPr>
          <w:rFonts w:eastAsiaTheme="minorHAnsi"/>
          <w:b/>
          <w:bCs/>
        </w:rPr>
      </w:pPr>
      <w:r w:rsidRPr="0097331F">
        <w:rPr>
          <w:rFonts w:eastAsiaTheme="minorHAnsi"/>
          <w:b/>
          <w:bCs/>
        </w:rPr>
        <w:t xml:space="preserve">Proposal 8. </w:t>
      </w:r>
      <w:r>
        <w:rPr>
          <w:rFonts w:eastAsiaTheme="minorHAnsi"/>
          <w:b/>
          <w:bCs/>
        </w:rPr>
        <w:tab/>
      </w:r>
      <w:r w:rsidRPr="0097331F">
        <w:rPr>
          <w:rFonts w:eastAsiaTheme="minorHAnsi"/>
          <w:b/>
          <w:bCs/>
        </w:rPr>
        <w:t>For M-TRP CSI measurement, support extension of the maximum number of ports per CSI-RS resource to 32.</w:t>
      </w:r>
    </w:p>
    <w:p w14:paraId="769F2C63" w14:textId="31316495" w:rsidR="00FC6793" w:rsidRPr="0052640A" w:rsidRDefault="00FC6793" w:rsidP="00FC6793">
      <w:pPr>
        <w:overflowPunct/>
        <w:ind w:left="1134" w:hanging="1134"/>
        <w:textAlignment w:val="auto"/>
        <w:rPr>
          <w:rFonts w:eastAsiaTheme="minorHAnsi"/>
          <w:b/>
          <w:bCs/>
        </w:rPr>
      </w:pPr>
      <w:r w:rsidRPr="0052640A">
        <w:rPr>
          <w:rFonts w:eastAsiaTheme="minorHAnsi"/>
          <w:b/>
          <w:bCs/>
        </w:rPr>
        <w:t>Proposal</w:t>
      </w:r>
      <w:r>
        <w:rPr>
          <w:rFonts w:eastAsiaTheme="minorHAnsi"/>
          <w:b/>
          <w:bCs/>
        </w:rPr>
        <w:t xml:space="preserve"> 9</w:t>
      </w:r>
      <w:r w:rsidRPr="0052640A">
        <w:rPr>
          <w:rFonts w:eastAsiaTheme="minorHAnsi"/>
          <w:b/>
          <w:bCs/>
        </w:rPr>
        <w:t xml:space="preserve">. </w:t>
      </w:r>
      <w:r>
        <w:rPr>
          <w:rFonts w:eastAsiaTheme="minorHAnsi"/>
          <w:b/>
          <w:bCs/>
        </w:rPr>
        <w:tab/>
        <w:t>When an NC-JT CSI is included in a multi-TRP report, s</w:t>
      </w:r>
      <w:r w:rsidRPr="0052640A">
        <w:rPr>
          <w:rFonts w:eastAsiaTheme="minorHAnsi"/>
          <w:b/>
          <w:bCs/>
        </w:rPr>
        <w:t>upport extension of the CRI definition to include the CMR pairs</w:t>
      </w:r>
      <w:r>
        <w:rPr>
          <w:rFonts w:eastAsiaTheme="minorHAnsi"/>
          <w:b/>
          <w:bCs/>
        </w:rPr>
        <w:t xml:space="preserve"> configured/indicated by the network</w:t>
      </w:r>
      <w:r w:rsidRPr="0052640A">
        <w:rPr>
          <w:rFonts w:eastAsiaTheme="minorHAnsi"/>
          <w:b/>
          <w:bCs/>
        </w:rPr>
        <w:t xml:space="preserve"> for NC-JT measurements.</w:t>
      </w:r>
    </w:p>
    <w:p w14:paraId="5376C714" w14:textId="78151CD6" w:rsidR="00FC6793" w:rsidRDefault="00FC6793" w:rsidP="00FC6793">
      <w:pPr>
        <w:overflowPunct/>
        <w:ind w:left="1134" w:hanging="1134"/>
        <w:textAlignment w:val="auto"/>
        <w:rPr>
          <w:rFonts w:eastAsiaTheme="minorHAnsi"/>
          <w:b/>
          <w:bCs/>
        </w:rPr>
      </w:pPr>
      <w:r w:rsidRPr="00711759">
        <w:rPr>
          <w:rFonts w:eastAsiaTheme="minorHAnsi"/>
          <w:b/>
          <w:bCs/>
        </w:rPr>
        <w:t>Proposal</w:t>
      </w:r>
      <w:r>
        <w:rPr>
          <w:rFonts w:eastAsiaTheme="minorHAnsi"/>
          <w:b/>
          <w:bCs/>
        </w:rPr>
        <w:t xml:space="preserve"> 10</w:t>
      </w:r>
      <w:r w:rsidRPr="00711759">
        <w:rPr>
          <w:rFonts w:eastAsiaTheme="minorHAnsi"/>
          <w:b/>
          <w:bCs/>
        </w:rPr>
        <w:t xml:space="preserve">. </w:t>
      </w:r>
      <w:r>
        <w:rPr>
          <w:rFonts w:eastAsiaTheme="minorHAnsi"/>
          <w:b/>
          <w:bCs/>
        </w:rPr>
        <w:tab/>
      </w:r>
      <w:r w:rsidRPr="00711759">
        <w:rPr>
          <w:rFonts w:eastAsiaTheme="minorHAnsi"/>
          <w:b/>
          <w:bCs/>
        </w:rPr>
        <w:t>For NC-JT CSI, support restriction of the combination</w:t>
      </w:r>
      <w:r w:rsidRPr="00791AFA">
        <w:rPr>
          <w:rFonts w:eastAsiaTheme="minorHAnsi"/>
          <w:b/>
          <w:bCs/>
        </w:rPr>
        <w:t xml:space="preserve"> of reported RIs to the following sets: {1,1},</w:t>
      </w:r>
      <w:r>
        <w:rPr>
          <w:rFonts w:eastAsiaTheme="minorHAnsi"/>
          <w:b/>
          <w:bCs/>
        </w:rPr>
        <w:t xml:space="preserve"> </w:t>
      </w:r>
      <w:r w:rsidRPr="00791AFA">
        <w:rPr>
          <w:rFonts w:eastAsiaTheme="minorHAnsi"/>
          <w:b/>
          <w:bCs/>
        </w:rPr>
        <w:t>{1,2},</w:t>
      </w:r>
      <w:r>
        <w:rPr>
          <w:rFonts w:eastAsiaTheme="minorHAnsi"/>
          <w:b/>
          <w:bCs/>
        </w:rPr>
        <w:t xml:space="preserve"> </w:t>
      </w:r>
      <w:r w:rsidRPr="00791AFA">
        <w:rPr>
          <w:rFonts w:eastAsiaTheme="minorHAnsi"/>
          <w:b/>
          <w:bCs/>
        </w:rPr>
        <w:t>{2,1},</w:t>
      </w:r>
      <w:r>
        <w:rPr>
          <w:rFonts w:eastAsiaTheme="minorHAnsi"/>
          <w:b/>
          <w:bCs/>
        </w:rPr>
        <w:t xml:space="preserve"> </w:t>
      </w:r>
      <w:r w:rsidRPr="00791AFA">
        <w:rPr>
          <w:rFonts w:eastAsiaTheme="minorHAnsi"/>
          <w:b/>
          <w:bCs/>
        </w:rPr>
        <w:t>{2,2}</w:t>
      </w:r>
      <w:r>
        <w:rPr>
          <w:rFonts w:eastAsiaTheme="minorHAnsi"/>
          <w:b/>
          <w:bCs/>
        </w:rPr>
        <w:t>.</w:t>
      </w:r>
    </w:p>
    <w:p w14:paraId="694A6D37" w14:textId="4A5CF51A" w:rsidR="004349CE" w:rsidRDefault="004349CE" w:rsidP="004349CE">
      <w:pPr>
        <w:overflowPunct/>
        <w:ind w:left="1134" w:hanging="1134"/>
        <w:textAlignment w:val="auto"/>
        <w:rPr>
          <w:rFonts w:eastAsiaTheme="minorEastAsia"/>
          <w:b/>
          <w:bCs/>
        </w:rPr>
      </w:pPr>
      <w:r w:rsidRPr="43094C0C">
        <w:rPr>
          <w:rFonts w:eastAsiaTheme="minorEastAsia"/>
          <w:b/>
          <w:bCs/>
        </w:rPr>
        <w:lastRenderedPageBreak/>
        <w:t>Proposal</w:t>
      </w:r>
      <w:r>
        <w:rPr>
          <w:rFonts w:eastAsiaTheme="minorEastAsia"/>
          <w:b/>
          <w:bCs/>
        </w:rPr>
        <w:t xml:space="preserve"> 11</w:t>
      </w:r>
      <w:r w:rsidRPr="43094C0C">
        <w:rPr>
          <w:rFonts w:eastAsiaTheme="minorEastAsia"/>
          <w:b/>
          <w:bCs/>
        </w:rPr>
        <w:t xml:space="preserve">. </w:t>
      </w:r>
      <w:r>
        <w:rPr>
          <w:rFonts w:eastAsiaTheme="minorEastAsia"/>
          <w:b/>
          <w:bCs/>
        </w:rPr>
        <w:tab/>
        <w:t>Postpone any decision on multi-DCI based NCJT measurement after a decision is made on the TRP association to CMRs for single Reporting Setting.</w:t>
      </w:r>
    </w:p>
    <w:p w14:paraId="674CD11D" w14:textId="7F915CFE" w:rsidR="004349CE" w:rsidRDefault="004349CE" w:rsidP="004349CE">
      <w:pPr>
        <w:overflowPunct/>
        <w:ind w:left="1134" w:hanging="1134"/>
        <w:textAlignment w:val="auto"/>
        <w:rPr>
          <w:rFonts w:eastAsiaTheme="minorEastAsia"/>
          <w:b/>
          <w:bCs/>
        </w:rPr>
      </w:pPr>
      <w:r>
        <w:rPr>
          <w:rFonts w:eastAsiaTheme="minorEastAsia"/>
          <w:b/>
          <w:bCs/>
        </w:rPr>
        <w:t xml:space="preserve">Proposal 12. </w:t>
      </w:r>
      <w:r>
        <w:rPr>
          <w:rFonts w:eastAsiaTheme="minorEastAsia"/>
          <w:b/>
          <w:bCs/>
        </w:rPr>
        <w:tab/>
        <w:t xml:space="preserve">If TRP association to CMRs is agreed for single Reporting Setting, modify the working assumption on multi-DCI based NCJT measurement with implicit or explicit association between </w:t>
      </w:r>
      <w:r w:rsidRPr="005217DB">
        <w:rPr>
          <w:rFonts w:eastAsiaTheme="minorEastAsia"/>
          <w:b/>
          <w:bCs/>
          <w:lang w:val="en-US"/>
        </w:rPr>
        <w:t>t</w:t>
      </w:r>
      <w:r w:rsidRPr="005217DB">
        <w:rPr>
          <w:rFonts w:eastAsiaTheme="minorEastAsia"/>
          <w:b/>
          <w:bCs/>
          <w:szCs w:val="24"/>
          <w:lang w:val="en-US" w:eastAsia="zh-CN"/>
        </w:rPr>
        <w:t xml:space="preserve">wo </w:t>
      </w:r>
      <w:r>
        <w:rPr>
          <w:rFonts w:eastAsiaTheme="minorEastAsia"/>
          <w:b/>
          <w:bCs/>
          <w:szCs w:val="24"/>
          <w:lang w:val="en-US" w:eastAsia="zh-CN"/>
        </w:rPr>
        <w:t>R</w:t>
      </w:r>
      <w:r w:rsidRPr="005217DB">
        <w:rPr>
          <w:rFonts w:eastAsiaTheme="minorEastAsia"/>
          <w:b/>
          <w:bCs/>
          <w:szCs w:val="24"/>
          <w:lang w:val="en-US" w:eastAsia="zh-CN"/>
        </w:rPr>
        <w:t xml:space="preserve">eporting </w:t>
      </w:r>
      <w:r>
        <w:rPr>
          <w:rFonts w:eastAsiaTheme="minorEastAsia"/>
          <w:b/>
          <w:bCs/>
          <w:szCs w:val="24"/>
          <w:lang w:val="en-US" w:eastAsia="zh-CN"/>
        </w:rPr>
        <w:t>S</w:t>
      </w:r>
      <w:r w:rsidRPr="005217DB">
        <w:rPr>
          <w:rFonts w:eastAsiaTheme="minorEastAsia"/>
          <w:b/>
          <w:bCs/>
          <w:szCs w:val="24"/>
          <w:lang w:val="en-US" w:eastAsia="zh-CN"/>
        </w:rPr>
        <w:t xml:space="preserve">ettings </w:t>
      </w:r>
      <w:r>
        <w:rPr>
          <w:rFonts w:eastAsiaTheme="minorEastAsia"/>
          <w:b/>
          <w:bCs/>
          <w:szCs w:val="24"/>
          <w:lang w:val="en-US" w:eastAsia="zh-CN"/>
        </w:rPr>
        <w:t>having</w:t>
      </w:r>
      <w:r w:rsidRPr="005217DB">
        <w:rPr>
          <w:rFonts w:eastAsiaTheme="minorEastAsia"/>
          <w:b/>
          <w:bCs/>
          <w:szCs w:val="24"/>
          <w:lang w:val="en-US" w:eastAsia="zh-CN"/>
        </w:rPr>
        <w:t xml:space="preserve"> the same configurations except for PUCCH/PUSCH </w:t>
      </w:r>
      <w:r>
        <w:rPr>
          <w:rFonts w:eastAsiaTheme="minorEastAsia"/>
          <w:b/>
          <w:bCs/>
          <w:szCs w:val="24"/>
          <w:lang w:val="en-US" w:eastAsia="zh-CN"/>
        </w:rPr>
        <w:t>resources.</w:t>
      </w:r>
    </w:p>
    <w:p w14:paraId="08FF223A" w14:textId="59463AA2" w:rsidR="004349CE" w:rsidRDefault="004349CE" w:rsidP="004349CE">
      <w:pPr>
        <w:overflowPunct/>
        <w:ind w:left="1134" w:hanging="1134"/>
        <w:textAlignment w:val="auto"/>
        <w:rPr>
          <w:rFonts w:eastAsiaTheme="minorHAnsi"/>
        </w:rPr>
      </w:pPr>
      <w:r>
        <w:rPr>
          <w:rFonts w:eastAsiaTheme="minorHAnsi"/>
          <w:b/>
          <w:bCs/>
        </w:rPr>
        <w:t xml:space="preserve">Proposal 13. </w:t>
      </w:r>
      <w:r>
        <w:rPr>
          <w:rFonts w:eastAsiaTheme="minorHAnsi"/>
          <w:b/>
          <w:bCs/>
        </w:rPr>
        <w:tab/>
        <w:t>Regarding the FFS on CQI calculation in multi-DCI NC-JT measurement, further clarify that a UE assumes two codewords are received fully overlapping in time and frequency and that each codeword is mapped to the spatial layers associated to one TRP.</w:t>
      </w:r>
    </w:p>
    <w:p w14:paraId="7C1879A5" w14:textId="3A66A41D" w:rsidR="00A72740" w:rsidRPr="00A63C30" w:rsidRDefault="00A72740" w:rsidP="00A63C30">
      <w:pPr>
        <w:overflowPunct/>
        <w:autoSpaceDE/>
        <w:autoSpaceDN/>
        <w:adjustRightInd/>
        <w:spacing w:after="160" w:line="259" w:lineRule="auto"/>
        <w:textAlignment w:val="auto"/>
        <w:rPr>
          <w:rFonts w:eastAsiaTheme="minorHAnsi"/>
          <w:b/>
          <w:bCs/>
        </w:rPr>
      </w:pPr>
    </w:p>
    <w:p w14:paraId="14B55826" w14:textId="2C5CCA59" w:rsidR="00072588" w:rsidRDefault="00072588">
      <w:pPr>
        <w:pStyle w:val="Heading1"/>
      </w:pPr>
      <w:r>
        <w:t>Appendix</w:t>
      </w:r>
    </w:p>
    <w:p w14:paraId="7ECB7FE3" w14:textId="5FF61336" w:rsidR="005A6E1A" w:rsidRDefault="005A6E1A" w:rsidP="005A6E1A"/>
    <w:tbl>
      <w:tblPr>
        <w:tblW w:w="5000" w:type="pct"/>
        <w:tblCellMar>
          <w:left w:w="0" w:type="dxa"/>
          <w:right w:w="0" w:type="dxa"/>
        </w:tblCellMar>
        <w:tblLook w:val="04A0" w:firstRow="1" w:lastRow="0" w:firstColumn="1" w:lastColumn="0" w:noHBand="0" w:noVBand="1"/>
      </w:tblPr>
      <w:tblGrid>
        <w:gridCol w:w="2872"/>
        <w:gridCol w:w="6747"/>
      </w:tblGrid>
      <w:tr w:rsidR="005A6E1A" w:rsidRPr="005A6E1A" w14:paraId="1DDC5F44" w14:textId="77777777" w:rsidTr="005A6E1A">
        <w:trPr>
          <w:trHeight w:val="78"/>
        </w:trPr>
        <w:tc>
          <w:tcPr>
            <w:tcW w:w="1493" w:type="pct"/>
            <w:tcBorders>
              <w:top w:val="single" w:sz="8" w:space="0" w:color="FFFFFF"/>
              <w:left w:val="single" w:sz="8" w:space="0" w:color="FFFFFF"/>
              <w:bottom w:val="single" w:sz="24" w:space="0" w:color="FFFFFF"/>
              <w:right w:val="single" w:sz="8" w:space="0" w:color="FFFFFF"/>
            </w:tcBorders>
            <w:shd w:val="clear" w:color="auto" w:fill="98A2AE"/>
            <w:tcMar>
              <w:top w:w="14" w:type="dxa"/>
              <w:left w:w="27" w:type="dxa"/>
              <w:bottom w:w="14" w:type="dxa"/>
              <w:right w:w="27" w:type="dxa"/>
            </w:tcMar>
            <w:hideMark/>
          </w:tcPr>
          <w:p w14:paraId="5FB302DE" w14:textId="77777777" w:rsidR="005A6E1A" w:rsidRPr="005A6E1A" w:rsidRDefault="005A6E1A" w:rsidP="005A6E1A">
            <w:pPr>
              <w:rPr>
                <w:sz w:val="18"/>
                <w:szCs w:val="18"/>
              </w:rPr>
            </w:pPr>
            <w:r w:rsidRPr="005A6E1A">
              <w:rPr>
                <w:b/>
                <w:bCs/>
                <w:sz w:val="18"/>
                <w:szCs w:val="18"/>
              </w:rPr>
              <w:t>Parameter</w:t>
            </w:r>
          </w:p>
        </w:tc>
        <w:tc>
          <w:tcPr>
            <w:tcW w:w="3507" w:type="pct"/>
            <w:tcBorders>
              <w:top w:val="single" w:sz="8" w:space="0" w:color="FFFFFF"/>
              <w:left w:val="single" w:sz="8" w:space="0" w:color="FFFFFF"/>
              <w:bottom w:val="single" w:sz="24" w:space="0" w:color="FFFFFF"/>
              <w:right w:val="single" w:sz="8" w:space="0" w:color="FFFFFF"/>
            </w:tcBorders>
            <w:shd w:val="clear" w:color="auto" w:fill="98A2AE"/>
            <w:tcMar>
              <w:top w:w="14" w:type="dxa"/>
              <w:left w:w="27" w:type="dxa"/>
              <w:bottom w:w="14" w:type="dxa"/>
              <w:right w:w="27" w:type="dxa"/>
            </w:tcMar>
            <w:hideMark/>
          </w:tcPr>
          <w:p w14:paraId="7181DBDB" w14:textId="77777777" w:rsidR="005A6E1A" w:rsidRPr="005A6E1A" w:rsidRDefault="005A6E1A" w:rsidP="005A6E1A">
            <w:pPr>
              <w:rPr>
                <w:sz w:val="18"/>
                <w:szCs w:val="18"/>
              </w:rPr>
            </w:pPr>
            <w:r w:rsidRPr="005A6E1A">
              <w:rPr>
                <w:b/>
                <w:bCs/>
                <w:sz w:val="18"/>
                <w:szCs w:val="18"/>
              </w:rPr>
              <w:t>Value</w:t>
            </w:r>
          </w:p>
        </w:tc>
      </w:tr>
      <w:tr w:rsidR="005A6E1A" w:rsidRPr="005A6E1A" w14:paraId="281C9D3F" w14:textId="77777777" w:rsidTr="005A6E1A">
        <w:trPr>
          <w:trHeight w:val="178"/>
        </w:trPr>
        <w:tc>
          <w:tcPr>
            <w:tcW w:w="1493" w:type="pct"/>
            <w:tcBorders>
              <w:top w:val="single" w:sz="24"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2A3F6D2D" w14:textId="77777777" w:rsidR="005A6E1A" w:rsidRPr="005A6E1A" w:rsidRDefault="005A6E1A" w:rsidP="005A6E1A">
            <w:pPr>
              <w:rPr>
                <w:sz w:val="18"/>
                <w:szCs w:val="18"/>
              </w:rPr>
            </w:pPr>
            <w:r w:rsidRPr="005A6E1A">
              <w:rPr>
                <w:b/>
                <w:bCs/>
                <w:sz w:val="18"/>
                <w:szCs w:val="18"/>
              </w:rPr>
              <w:t>Scenario</w:t>
            </w:r>
          </w:p>
        </w:tc>
        <w:tc>
          <w:tcPr>
            <w:tcW w:w="3507" w:type="pct"/>
            <w:tcBorders>
              <w:top w:val="single" w:sz="24"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5E4C1709" w14:textId="77777777" w:rsidR="005A6E1A" w:rsidRPr="005A6E1A" w:rsidRDefault="005A6E1A" w:rsidP="005A6E1A">
            <w:pPr>
              <w:rPr>
                <w:sz w:val="18"/>
                <w:szCs w:val="18"/>
              </w:rPr>
            </w:pPr>
            <w:r w:rsidRPr="005A6E1A">
              <w:rPr>
                <w:sz w:val="18"/>
                <w:szCs w:val="18"/>
              </w:rPr>
              <w:t>Dense Urban (Macro only)</w:t>
            </w:r>
          </w:p>
        </w:tc>
      </w:tr>
      <w:tr w:rsidR="005A6E1A" w:rsidRPr="005A6E1A" w14:paraId="790D2B2D" w14:textId="77777777" w:rsidTr="005A6E1A">
        <w:trPr>
          <w:trHeight w:val="185"/>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6CC93FB8" w14:textId="77777777" w:rsidR="005A6E1A" w:rsidRPr="005A6E1A" w:rsidRDefault="005A6E1A" w:rsidP="005A6E1A">
            <w:pPr>
              <w:rPr>
                <w:sz w:val="18"/>
                <w:szCs w:val="18"/>
              </w:rPr>
            </w:pPr>
            <w:r w:rsidRPr="005A6E1A">
              <w:rPr>
                <w:b/>
                <w:bCs/>
                <w:sz w:val="18"/>
                <w:szCs w:val="18"/>
              </w:rPr>
              <w:t>Frequency Range</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7F9E5AC5" w14:textId="77777777" w:rsidR="005A6E1A" w:rsidRPr="005A6E1A" w:rsidRDefault="005A6E1A" w:rsidP="005A6E1A">
            <w:pPr>
              <w:rPr>
                <w:sz w:val="18"/>
                <w:szCs w:val="18"/>
              </w:rPr>
            </w:pPr>
            <w:r w:rsidRPr="005A6E1A">
              <w:rPr>
                <w:sz w:val="18"/>
                <w:szCs w:val="18"/>
              </w:rPr>
              <w:t>2GHz with duplexing gap of 200MHz between DL and UL</w:t>
            </w:r>
          </w:p>
        </w:tc>
      </w:tr>
      <w:tr w:rsidR="005A6E1A" w:rsidRPr="005A6E1A" w14:paraId="7E94E224" w14:textId="77777777" w:rsidTr="005A6E1A">
        <w:trPr>
          <w:trHeight w:val="78"/>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093E680B" w14:textId="77777777" w:rsidR="005A6E1A" w:rsidRPr="005A6E1A" w:rsidRDefault="005A6E1A" w:rsidP="005A6E1A">
            <w:pPr>
              <w:rPr>
                <w:sz w:val="18"/>
                <w:szCs w:val="18"/>
              </w:rPr>
            </w:pPr>
            <w:r w:rsidRPr="005A6E1A">
              <w:rPr>
                <w:b/>
                <w:bCs/>
                <w:sz w:val="18"/>
                <w:szCs w:val="18"/>
              </w:rPr>
              <w:t>Inter-BS distance</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3A2A29DD" w14:textId="77777777" w:rsidR="005A6E1A" w:rsidRPr="005A6E1A" w:rsidRDefault="005A6E1A" w:rsidP="005A6E1A">
            <w:pPr>
              <w:rPr>
                <w:sz w:val="18"/>
                <w:szCs w:val="18"/>
              </w:rPr>
            </w:pPr>
            <w:r w:rsidRPr="005A6E1A">
              <w:rPr>
                <w:sz w:val="18"/>
                <w:szCs w:val="18"/>
              </w:rPr>
              <w:t xml:space="preserve">200m </w:t>
            </w:r>
          </w:p>
        </w:tc>
      </w:tr>
      <w:tr w:rsidR="005A6E1A" w:rsidRPr="005A6E1A" w14:paraId="3A326AAF" w14:textId="77777777" w:rsidTr="005A6E1A">
        <w:trPr>
          <w:trHeight w:val="295"/>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30B47DA2" w14:textId="77777777" w:rsidR="005A6E1A" w:rsidRPr="005A6E1A" w:rsidRDefault="005A6E1A" w:rsidP="005A6E1A">
            <w:pPr>
              <w:rPr>
                <w:sz w:val="18"/>
                <w:szCs w:val="18"/>
              </w:rPr>
            </w:pPr>
            <w:r w:rsidRPr="005A6E1A">
              <w:rPr>
                <w:b/>
                <w:bCs/>
                <w:sz w:val="18"/>
                <w:szCs w:val="18"/>
              </w:rPr>
              <w:t>Antenna setup and port layouts at gNB</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74481C0" w14:textId="77777777" w:rsidR="005A6E1A" w:rsidRPr="005A6E1A" w:rsidRDefault="005A6E1A" w:rsidP="005A6E1A">
            <w:pPr>
              <w:rPr>
                <w:sz w:val="18"/>
                <w:szCs w:val="18"/>
              </w:rPr>
            </w:pPr>
            <w:r w:rsidRPr="005A6E1A">
              <w:rPr>
                <w:sz w:val="18"/>
                <w:szCs w:val="18"/>
              </w:rPr>
              <w:t>32 ports: (8,8,2,1,1,2,8), (dH,dV) = (0.5, 0.8)λ</w:t>
            </w:r>
          </w:p>
        </w:tc>
      </w:tr>
      <w:tr w:rsidR="005A6E1A" w:rsidRPr="005A6E1A" w14:paraId="1AB5C217" w14:textId="77777777" w:rsidTr="005A6E1A">
        <w:trPr>
          <w:trHeight w:val="293"/>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3B337D70" w14:textId="77777777" w:rsidR="005A6E1A" w:rsidRPr="005A6E1A" w:rsidRDefault="005A6E1A" w:rsidP="005A6E1A">
            <w:pPr>
              <w:rPr>
                <w:sz w:val="18"/>
                <w:szCs w:val="18"/>
              </w:rPr>
            </w:pPr>
            <w:r w:rsidRPr="005A6E1A">
              <w:rPr>
                <w:b/>
                <w:bCs/>
                <w:sz w:val="18"/>
                <w:szCs w:val="18"/>
              </w:rPr>
              <w:t>Antenna setup and port layouts at UE</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415FFE90" w14:textId="77777777" w:rsidR="005A6E1A" w:rsidRPr="005A6E1A" w:rsidRDefault="005A6E1A" w:rsidP="005A6E1A">
            <w:pPr>
              <w:rPr>
                <w:sz w:val="18"/>
                <w:szCs w:val="18"/>
              </w:rPr>
            </w:pPr>
            <w:r w:rsidRPr="005A6E1A">
              <w:rPr>
                <w:sz w:val="18"/>
                <w:szCs w:val="18"/>
              </w:rPr>
              <w:t xml:space="preserve">2RX: (1,1,2,1,1,1,1), (dH,dV) = (0.5, 0.5)λ for (rank 1,2) </w:t>
            </w:r>
          </w:p>
        </w:tc>
      </w:tr>
      <w:tr w:rsidR="005A6E1A" w:rsidRPr="005A6E1A" w14:paraId="060F7E15" w14:textId="77777777" w:rsidTr="005A6E1A">
        <w:trPr>
          <w:trHeight w:val="13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49E3B5C9" w14:textId="77777777" w:rsidR="005A6E1A" w:rsidRPr="005A6E1A" w:rsidRDefault="005A6E1A" w:rsidP="005A6E1A">
            <w:pPr>
              <w:rPr>
                <w:sz w:val="18"/>
                <w:szCs w:val="18"/>
              </w:rPr>
            </w:pPr>
            <w:r w:rsidRPr="005A6E1A">
              <w:rPr>
                <w:b/>
                <w:bCs/>
                <w:sz w:val="18"/>
                <w:szCs w:val="18"/>
              </w:rPr>
              <w:t xml:space="preserve">BS Tx power </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3FC1BA29" w14:textId="3AC8CAB0" w:rsidR="005A6E1A" w:rsidRPr="005A6E1A" w:rsidRDefault="005A6E1A" w:rsidP="005A6E1A">
            <w:pPr>
              <w:rPr>
                <w:sz w:val="18"/>
                <w:szCs w:val="18"/>
              </w:rPr>
            </w:pPr>
            <w:r w:rsidRPr="005A6E1A">
              <w:rPr>
                <w:sz w:val="18"/>
                <w:szCs w:val="18"/>
              </w:rPr>
              <w:t>44dBm for 20MHz</w:t>
            </w:r>
          </w:p>
        </w:tc>
      </w:tr>
      <w:tr w:rsidR="005A6E1A" w:rsidRPr="005A6E1A" w14:paraId="0347ECCA" w14:textId="77777777" w:rsidTr="005A6E1A">
        <w:trPr>
          <w:trHeight w:val="293"/>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4" w:type="dxa"/>
              <w:left w:w="27" w:type="dxa"/>
              <w:bottom w:w="14" w:type="dxa"/>
              <w:right w:w="27" w:type="dxa"/>
            </w:tcMar>
            <w:hideMark/>
          </w:tcPr>
          <w:p w14:paraId="1B648E2C" w14:textId="77777777" w:rsidR="005A6E1A" w:rsidRPr="005A6E1A" w:rsidRDefault="005A6E1A" w:rsidP="005A6E1A">
            <w:pPr>
              <w:rPr>
                <w:sz w:val="18"/>
                <w:szCs w:val="18"/>
              </w:rPr>
            </w:pPr>
            <w:r w:rsidRPr="005A6E1A">
              <w:rPr>
                <w:b/>
                <w:bCs/>
                <w:sz w:val="18"/>
                <w:szCs w:val="18"/>
              </w:rPr>
              <w:t xml:space="preserve">Simulation bandwidth </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7BAEFDB4" w14:textId="77777777" w:rsidR="005A6E1A" w:rsidRPr="005A6E1A" w:rsidRDefault="005A6E1A" w:rsidP="005A6E1A">
            <w:pPr>
              <w:rPr>
                <w:sz w:val="18"/>
                <w:szCs w:val="18"/>
              </w:rPr>
            </w:pPr>
            <w:r w:rsidRPr="005A6E1A">
              <w:rPr>
                <w:sz w:val="18"/>
                <w:szCs w:val="18"/>
              </w:rPr>
              <w:t>20 MHz for 15kHz</w:t>
            </w:r>
          </w:p>
        </w:tc>
      </w:tr>
      <w:tr w:rsidR="005A6E1A" w:rsidRPr="005A6E1A" w14:paraId="21B4851E" w14:textId="77777777" w:rsidTr="005A6E1A">
        <w:trPr>
          <w:trHeight w:val="390"/>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vAlign w:val="center"/>
            <w:hideMark/>
          </w:tcPr>
          <w:p w14:paraId="7953A160" w14:textId="77777777" w:rsidR="005A6E1A" w:rsidRPr="005A6E1A" w:rsidRDefault="005A6E1A" w:rsidP="005A6E1A">
            <w:pPr>
              <w:rPr>
                <w:sz w:val="18"/>
                <w:szCs w:val="18"/>
              </w:rPr>
            </w:pPr>
            <w:r w:rsidRPr="005A6E1A">
              <w:rPr>
                <w:b/>
                <w:bCs/>
                <w:sz w:val="18"/>
                <w:szCs w:val="18"/>
                <w:lang w:val="en-US"/>
              </w:rPr>
              <w:t>Channel model for reciprocity</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862CF39" w14:textId="77777777" w:rsidR="005A6E1A" w:rsidRPr="005A6E1A" w:rsidRDefault="005A6E1A" w:rsidP="005A6E1A">
            <w:pPr>
              <w:rPr>
                <w:sz w:val="18"/>
                <w:szCs w:val="18"/>
              </w:rPr>
            </w:pPr>
            <w:r w:rsidRPr="005A6E1A">
              <w:rPr>
                <w:sz w:val="18"/>
                <w:szCs w:val="18"/>
              </w:rPr>
              <w:t>Alt1: based on Section 5.3 of TR 36.897</w:t>
            </w:r>
          </w:p>
        </w:tc>
      </w:tr>
      <w:tr w:rsidR="005A6E1A" w:rsidRPr="005A6E1A" w14:paraId="62287F74" w14:textId="77777777" w:rsidTr="005A6E1A">
        <w:trPr>
          <w:trHeight w:val="13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25638759" w14:textId="77777777" w:rsidR="005A6E1A" w:rsidRPr="005A6E1A" w:rsidRDefault="005A6E1A" w:rsidP="005A6E1A">
            <w:pPr>
              <w:rPr>
                <w:sz w:val="18"/>
                <w:szCs w:val="18"/>
              </w:rPr>
            </w:pPr>
            <w:r w:rsidRPr="005A6E1A">
              <w:rPr>
                <w:b/>
                <w:bCs/>
                <w:sz w:val="18"/>
                <w:szCs w:val="18"/>
                <w:lang w:val="en-US"/>
              </w:rPr>
              <w:t xml:space="preserve">CSI-RS overhead </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764C24B1" w14:textId="379D8728" w:rsidR="005A6E1A" w:rsidRPr="005A6E1A" w:rsidRDefault="005A6E1A" w:rsidP="005A6E1A">
            <w:pPr>
              <w:rPr>
                <w:sz w:val="18"/>
                <w:szCs w:val="18"/>
              </w:rPr>
            </w:pPr>
            <w:r>
              <w:rPr>
                <w:sz w:val="18"/>
                <w:szCs w:val="18"/>
              </w:rPr>
              <w:t>All DL RS overhead is included in the DL throughput calculation</w:t>
            </w:r>
          </w:p>
        </w:tc>
      </w:tr>
      <w:tr w:rsidR="005A6E1A" w:rsidRPr="005A6E1A" w14:paraId="700D4536" w14:textId="77777777" w:rsidTr="005A6E1A">
        <w:trPr>
          <w:trHeight w:val="12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46AE675F" w14:textId="77777777" w:rsidR="005A6E1A" w:rsidRPr="005A6E1A" w:rsidRDefault="005A6E1A" w:rsidP="005A6E1A">
            <w:pPr>
              <w:rPr>
                <w:sz w:val="18"/>
                <w:szCs w:val="18"/>
              </w:rPr>
            </w:pPr>
            <w:r w:rsidRPr="005A6E1A">
              <w:rPr>
                <w:b/>
                <w:bCs/>
                <w:sz w:val="18"/>
                <w:szCs w:val="18"/>
                <w:lang w:val="en-US"/>
              </w:rPr>
              <w:t>Traffic model</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3EFC2B5" w14:textId="58563190" w:rsidR="005A6E1A" w:rsidRPr="005A6E1A" w:rsidRDefault="005A6E1A" w:rsidP="005A6E1A">
            <w:pPr>
              <w:rPr>
                <w:sz w:val="18"/>
                <w:szCs w:val="18"/>
              </w:rPr>
            </w:pPr>
            <w:r w:rsidRPr="005A6E1A">
              <w:rPr>
                <w:sz w:val="18"/>
                <w:szCs w:val="18"/>
                <w:lang w:val="en-US"/>
              </w:rPr>
              <w:t>FTP model 1 with packet size 0.5 Mbytes</w:t>
            </w:r>
          </w:p>
        </w:tc>
      </w:tr>
      <w:tr w:rsidR="005A6E1A" w:rsidRPr="005A6E1A" w14:paraId="75842FED" w14:textId="77777777" w:rsidTr="005A6E1A">
        <w:trPr>
          <w:trHeight w:val="327"/>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48250FF1" w14:textId="77777777" w:rsidR="005A6E1A" w:rsidRPr="005A6E1A" w:rsidRDefault="005A6E1A" w:rsidP="005A6E1A">
            <w:pPr>
              <w:rPr>
                <w:sz w:val="18"/>
                <w:szCs w:val="18"/>
              </w:rPr>
            </w:pPr>
            <w:r w:rsidRPr="005A6E1A">
              <w:rPr>
                <w:b/>
                <w:bCs/>
                <w:sz w:val="18"/>
                <w:szCs w:val="18"/>
                <w:lang w:val="en-US"/>
              </w:rPr>
              <w:t>Traffic load (Resource utilization)</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50E17CF9" w14:textId="77777777" w:rsidR="005A6E1A" w:rsidRPr="005A6E1A" w:rsidRDefault="005A6E1A" w:rsidP="005A6E1A">
            <w:pPr>
              <w:rPr>
                <w:sz w:val="18"/>
                <w:szCs w:val="18"/>
              </w:rPr>
            </w:pPr>
            <w:r w:rsidRPr="005A6E1A">
              <w:rPr>
                <w:sz w:val="18"/>
                <w:szCs w:val="18"/>
                <w:lang w:val="en-US"/>
              </w:rPr>
              <w:t>~70% for SU/MU-MIMO with rank adaptation</w:t>
            </w:r>
          </w:p>
        </w:tc>
      </w:tr>
      <w:tr w:rsidR="005A6E1A" w:rsidRPr="005A6E1A" w14:paraId="247DE9CC" w14:textId="77777777" w:rsidTr="005A6E1A">
        <w:trPr>
          <w:trHeight w:val="122"/>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6B2F7E46" w14:textId="77777777" w:rsidR="005A6E1A" w:rsidRPr="005A6E1A" w:rsidRDefault="005A6E1A" w:rsidP="005A6E1A">
            <w:pPr>
              <w:rPr>
                <w:sz w:val="18"/>
                <w:szCs w:val="18"/>
              </w:rPr>
            </w:pPr>
            <w:r w:rsidRPr="005A6E1A">
              <w:rPr>
                <w:b/>
                <w:bCs/>
                <w:sz w:val="18"/>
                <w:szCs w:val="18"/>
                <w:lang w:val="en-US"/>
              </w:rPr>
              <w:t>UE distribution</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180C21EB" w14:textId="77777777" w:rsidR="005A6E1A" w:rsidRPr="005A6E1A" w:rsidRDefault="005A6E1A" w:rsidP="005A6E1A">
            <w:pPr>
              <w:rPr>
                <w:sz w:val="18"/>
                <w:szCs w:val="18"/>
              </w:rPr>
            </w:pPr>
            <w:r w:rsidRPr="005A6E1A">
              <w:rPr>
                <w:sz w:val="18"/>
                <w:szCs w:val="18"/>
                <w:lang w:val="en-US"/>
              </w:rPr>
              <w:t xml:space="preserve"> 80% indoor (3km/h), 20% outdoor (30km/h) </w:t>
            </w:r>
          </w:p>
        </w:tc>
      </w:tr>
      <w:tr w:rsidR="005A6E1A" w:rsidRPr="005A6E1A" w14:paraId="035F701D" w14:textId="77777777" w:rsidTr="005A6E1A">
        <w:trPr>
          <w:trHeight w:val="7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0D7EFE25" w14:textId="77777777" w:rsidR="005A6E1A" w:rsidRPr="005A6E1A" w:rsidRDefault="005A6E1A" w:rsidP="005A6E1A">
            <w:pPr>
              <w:rPr>
                <w:sz w:val="18"/>
                <w:szCs w:val="18"/>
              </w:rPr>
            </w:pPr>
            <w:r w:rsidRPr="005A6E1A">
              <w:rPr>
                <w:b/>
                <w:bCs/>
                <w:sz w:val="18"/>
                <w:szCs w:val="18"/>
                <w:lang w:val="en-US"/>
              </w:rPr>
              <w:t>UE receiver</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5BE88C69" w14:textId="77777777" w:rsidR="005A6E1A" w:rsidRPr="005A6E1A" w:rsidRDefault="005A6E1A" w:rsidP="005A6E1A">
            <w:pPr>
              <w:rPr>
                <w:sz w:val="18"/>
                <w:szCs w:val="18"/>
              </w:rPr>
            </w:pPr>
            <w:r w:rsidRPr="005A6E1A">
              <w:rPr>
                <w:sz w:val="18"/>
                <w:szCs w:val="18"/>
                <w:lang w:val="en-US"/>
              </w:rPr>
              <w:t>MMSE-IRC as the baseline receiver</w:t>
            </w:r>
          </w:p>
        </w:tc>
      </w:tr>
      <w:tr w:rsidR="005A6E1A" w:rsidRPr="005A6E1A" w14:paraId="68578073" w14:textId="77777777" w:rsidTr="005A6E1A">
        <w:trPr>
          <w:trHeight w:val="7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7F5CC573" w14:textId="77777777" w:rsidR="005A6E1A" w:rsidRPr="005A6E1A" w:rsidRDefault="005A6E1A" w:rsidP="005A6E1A">
            <w:pPr>
              <w:rPr>
                <w:sz w:val="18"/>
                <w:szCs w:val="18"/>
              </w:rPr>
            </w:pPr>
            <w:r w:rsidRPr="005A6E1A">
              <w:rPr>
                <w:b/>
                <w:bCs/>
                <w:sz w:val="18"/>
                <w:szCs w:val="18"/>
                <w:lang w:val="en-US"/>
              </w:rPr>
              <w:t>Feedback assumption</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250FC078" w14:textId="77777777" w:rsidR="005A6E1A" w:rsidRPr="005A6E1A" w:rsidRDefault="005A6E1A" w:rsidP="005A6E1A">
            <w:pPr>
              <w:rPr>
                <w:sz w:val="18"/>
                <w:szCs w:val="18"/>
              </w:rPr>
            </w:pPr>
            <w:r w:rsidRPr="005A6E1A">
              <w:rPr>
                <w:sz w:val="18"/>
                <w:szCs w:val="18"/>
                <w:lang w:val="en-US"/>
              </w:rPr>
              <w:t>Realistic</w:t>
            </w:r>
          </w:p>
        </w:tc>
      </w:tr>
      <w:tr w:rsidR="005A6E1A" w:rsidRPr="005A6E1A" w14:paraId="0FA72612" w14:textId="77777777" w:rsidTr="005A6E1A">
        <w:trPr>
          <w:trHeight w:val="7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7FE7B934" w14:textId="77777777" w:rsidR="005A6E1A" w:rsidRPr="005A6E1A" w:rsidRDefault="005A6E1A" w:rsidP="005A6E1A">
            <w:pPr>
              <w:rPr>
                <w:sz w:val="18"/>
                <w:szCs w:val="18"/>
              </w:rPr>
            </w:pPr>
            <w:r w:rsidRPr="005A6E1A">
              <w:rPr>
                <w:b/>
                <w:bCs/>
                <w:sz w:val="18"/>
                <w:szCs w:val="18"/>
                <w:lang w:val="en-US"/>
              </w:rPr>
              <w:t>Channel estimation</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77B902A3" w14:textId="77777777" w:rsidR="005A6E1A" w:rsidRPr="005A6E1A" w:rsidRDefault="005A6E1A" w:rsidP="005A6E1A">
            <w:pPr>
              <w:rPr>
                <w:sz w:val="18"/>
                <w:szCs w:val="18"/>
              </w:rPr>
            </w:pPr>
            <w:r w:rsidRPr="005A6E1A">
              <w:rPr>
                <w:sz w:val="18"/>
                <w:szCs w:val="18"/>
                <w:lang w:val="en-US"/>
              </w:rPr>
              <w:t>Realistic</w:t>
            </w:r>
          </w:p>
        </w:tc>
      </w:tr>
      <w:tr w:rsidR="005A6E1A" w:rsidRPr="005A6E1A" w14:paraId="6F565EEE" w14:textId="77777777" w:rsidTr="005A6E1A">
        <w:trPr>
          <w:trHeight w:val="227"/>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1A6C47F3" w14:textId="77777777" w:rsidR="005A6E1A" w:rsidRPr="005A6E1A" w:rsidRDefault="005A6E1A" w:rsidP="005A6E1A">
            <w:pPr>
              <w:rPr>
                <w:sz w:val="18"/>
                <w:szCs w:val="18"/>
              </w:rPr>
            </w:pPr>
            <w:r w:rsidRPr="005A6E1A">
              <w:rPr>
                <w:b/>
                <w:bCs/>
                <w:sz w:val="18"/>
                <w:szCs w:val="18"/>
                <w:lang w:val="en-US"/>
              </w:rPr>
              <w:t>SRS error model and configuration</w:t>
            </w:r>
          </w:p>
        </w:tc>
        <w:tc>
          <w:tcPr>
            <w:tcW w:w="3507" w:type="pct"/>
            <w:tcBorders>
              <w:top w:val="single" w:sz="8" w:space="0" w:color="FFFFFF"/>
              <w:left w:val="single" w:sz="8" w:space="0" w:color="FFFFFF"/>
              <w:bottom w:val="single" w:sz="8" w:space="0" w:color="FFFFFF"/>
              <w:right w:val="single" w:sz="8" w:space="0" w:color="FFFFFF"/>
            </w:tcBorders>
            <w:shd w:val="clear" w:color="auto" w:fill="EFF0F2"/>
            <w:tcMar>
              <w:top w:w="14" w:type="dxa"/>
              <w:left w:w="27" w:type="dxa"/>
              <w:bottom w:w="14" w:type="dxa"/>
              <w:right w:w="27" w:type="dxa"/>
            </w:tcMar>
            <w:hideMark/>
          </w:tcPr>
          <w:p w14:paraId="6A6FE126" w14:textId="77777777" w:rsidR="005A6E1A" w:rsidRDefault="005A6E1A" w:rsidP="005A6E1A">
            <w:pPr>
              <w:spacing w:after="0"/>
              <w:rPr>
                <w:sz w:val="18"/>
                <w:szCs w:val="18"/>
              </w:rPr>
            </w:pPr>
            <w:r w:rsidRPr="005A6E1A">
              <w:rPr>
                <w:sz w:val="18"/>
                <w:szCs w:val="18"/>
              </w:rPr>
              <w:t>SRS error model in Table A.1-2 in 36.897 with Δ=9 dB</w:t>
            </w:r>
          </w:p>
          <w:p w14:paraId="4710ECB9" w14:textId="04C1FAAA" w:rsidR="005A6E1A" w:rsidRPr="005A6E1A" w:rsidRDefault="005A6E1A" w:rsidP="005A6E1A">
            <w:pPr>
              <w:rPr>
                <w:sz w:val="18"/>
                <w:szCs w:val="18"/>
              </w:rPr>
            </w:pPr>
            <w:r>
              <w:t>(</w:t>
            </w:r>
            <w:r w:rsidRPr="005A6E1A">
              <w:rPr>
                <w:sz w:val="18"/>
                <w:szCs w:val="18"/>
              </w:rPr>
              <w:t xml:space="preserve">SRS period, comb, # OFDM symbols, </w:t>
            </w:r>
            <w:r>
              <w:rPr>
                <w:sz w:val="18"/>
                <w:szCs w:val="18"/>
              </w:rPr>
              <w:t># UEs</w:t>
            </w:r>
            <w:r w:rsidRPr="005A6E1A">
              <w:rPr>
                <w:sz w:val="18"/>
                <w:szCs w:val="18"/>
              </w:rPr>
              <w:t>) = (</w:t>
            </w:r>
            <w:r w:rsidR="00617266">
              <w:rPr>
                <w:sz w:val="18"/>
                <w:szCs w:val="18"/>
              </w:rPr>
              <w:t>5</w:t>
            </w:r>
            <w:r w:rsidRPr="005A6E1A">
              <w:rPr>
                <w:sz w:val="18"/>
                <w:szCs w:val="18"/>
              </w:rPr>
              <w:t xml:space="preserve">ms, </w:t>
            </w:r>
            <w:r w:rsidR="00617266">
              <w:rPr>
                <w:sz w:val="18"/>
                <w:szCs w:val="18"/>
              </w:rPr>
              <w:t>4</w:t>
            </w:r>
            <w:r w:rsidRPr="005A6E1A">
              <w:rPr>
                <w:sz w:val="18"/>
                <w:szCs w:val="18"/>
              </w:rPr>
              <w:t xml:space="preserve">, </w:t>
            </w:r>
            <w:r w:rsidR="00617266">
              <w:rPr>
                <w:sz w:val="18"/>
                <w:szCs w:val="18"/>
              </w:rPr>
              <w:t>4</w:t>
            </w:r>
            <w:r w:rsidRPr="005A6E1A">
              <w:rPr>
                <w:sz w:val="18"/>
                <w:szCs w:val="18"/>
              </w:rPr>
              <w:t xml:space="preserve">, </w:t>
            </w:r>
            <w:r w:rsidR="00617266">
              <w:rPr>
                <w:sz w:val="18"/>
                <w:szCs w:val="18"/>
              </w:rPr>
              <w:t>8</w:t>
            </w:r>
            <w:r w:rsidRPr="005A6E1A">
              <w:rPr>
                <w:sz w:val="18"/>
                <w:szCs w:val="18"/>
              </w:rPr>
              <w:t>)</w:t>
            </w:r>
          </w:p>
        </w:tc>
      </w:tr>
      <w:tr w:rsidR="005A6E1A" w:rsidRPr="005A6E1A" w14:paraId="20D7D982" w14:textId="77777777" w:rsidTr="005A6E1A">
        <w:trPr>
          <w:trHeight w:val="414"/>
        </w:trPr>
        <w:tc>
          <w:tcPr>
            <w:tcW w:w="1493" w:type="pct"/>
            <w:tcBorders>
              <w:top w:val="single" w:sz="8" w:space="0" w:color="FFFFFF"/>
              <w:left w:val="single" w:sz="8" w:space="0" w:color="FFFFFF"/>
              <w:bottom w:val="single" w:sz="8" w:space="0" w:color="FFFFFF"/>
              <w:right w:val="single" w:sz="8" w:space="0" w:color="FFFFFF"/>
            </w:tcBorders>
            <w:shd w:val="clear" w:color="auto" w:fill="98A2AE"/>
            <w:tcMar>
              <w:top w:w="15" w:type="dxa"/>
              <w:left w:w="15" w:type="dxa"/>
              <w:bottom w:w="0" w:type="dxa"/>
              <w:right w:w="15" w:type="dxa"/>
            </w:tcMar>
            <w:hideMark/>
          </w:tcPr>
          <w:p w14:paraId="5F84B59D" w14:textId="77777777" w:rsidR="005A6E1A" w:rsidRPr="005A6E1A" w:rsidRDefault="005A6E1A" w:rsidP="005A6E1A">
            <w:pPr>
              <w:rPr>
                <w:sz w:val="18"/>
                <w:szCs w:val="18"/>
              </w:rPr>
            </w:pPr>
            <w:r w:rsidRPr="005A6E1A">
              <w:rPr>
                <w:b/>
                <w:bCs/>
                <w:sz w:val="18"/>
                <w:szCs w:val="18"/>
                <w:lang w:val="en-US"/>
              </w:rPr>
              <w:t>Calibration error model</w:t>
            </w:r>
          </w:p>
        </w:tc>
        <w:tc>
          <w:tcPr>
            <w:tcW w:w="3507" w:type="pct"/>
            <w:tcBorders>
              <w:top w:val="single" w:sz="8" w:space="0" w:color="FFFFFF"/>
              <w:left w:val="single" w:sz="8" w:space="0" w:color="FFFFFF"/>
              <w:bottom w:val="single" w:sz="8" w:space="0" w:color="FFFFFF"/>
              <w:right w:val="single" w:sz="8" w:space="0" w:color="FFFFFF"/>
            </w:tcBorders>
            <w:shd w:val="clear" w:color="auto" w:fill="DDE0E3"/>
            <w:tcMar>
              <w:top w:w="14" w:type="dxa"/>
              <w:left w:w="27" w:type="dxa"/>
              <w:bottom w:w="14" w:type="dxa"/>
              <w:right w:w="27" w:type="dxa"/>
            </w:tcMar>
            <w:hideMark/>
          </w:tcPr>
          <w:p w14:paraId="01382A45" w14:textId="494C77EC" w:rsidR="005A6E1A" w:rsidRPr="005A6E1A" w:rsidRDefault="00497DD0" w:rsidP="005A6E1A">
            <w:pPr>
              <w:rPr>
                <w:sz w:val="18"/>
                <w:szCs w:val="18"/>
              </w:rPr>
            </w:pPr>
            <m:oMathPara>
              <m:oMathParaPr>
                <m:jc m:val="centerGroup"/>
              </m:oMathParaPr>
              <m:oMath>
                <m:sSub>
                  <m:sSubPr>
                    <m:ctrlPr>
                      <w:rPr>
                        <w:rFonts w:ascii="Cambria Math" w:hAnsi="Cambria Math"/>
                        <w:i/>
                        <w:iCs/>
                        <w:sz w:val="18"/>
                        <w:szCs w:val="18"/>
                      </w:rPr>
                    </m:ctrlPr>
                  </m:sSubPr>
                  <m:e>
                    <m:acc>
                      <m:accPr>
                        <m:ctrlPr>
                          <w:rPr>
                            <w:rFonts w:ascii="Cambria Math" w:hAnsi="Cambria Math"/>
                            <w:i/>
                            <w:iCs/>
                            <w:sz w:val="18"/>
                            <w:szCs w:val="18"/>
                          </w:rPr>
                        </m:ctrlPr>
                      </m:accPr>
                      <m:e>
                        <m:r>
                          <m:rPr>
                            <m:sty m:val="p"/>
                          </m:rPr>
                          <w:rPr>
                            <w:rFonts w:ascii="Cambria Math" w:hAnsi="Cambria Math"/>
                            <w:sz w:val="18"/>
                            <w:szCs w:val="18"/>
                          </w:rPr>
                          <m:t>H</m:t>
                        </m:r>
                      </m:e>
                    </m:acc>
                  </m:e>
                  <m:sub>
                    <m:r>
                      <m:rPr>
                        <m:sty m:val="p"/>
                      </m:rPr>
                      <w:rPr>
                        <w:rFonts w:ascii="Cambria Math" w:hAnsi="Cambria Math"/>
                        <w:sz w:val="18"/>
                        <w:szCs w:val="18"/>
                      </w:rPr>
                      <m:t>UL</m:t>
                    </m:r>
                  </m:sub>
                </m:sSub>
                <m:r>
                  <m:rPr>
                    <m:sty m:val="p"/>
                  </m:rPr>
                  <w:rPr>
                    <w:rFonts w:ascii="Cambria Math" w:hAnsi="Cambria Math"/>
                    <w:sz w:val="18"/>
                    <w:szCs w:val="18"/>
                  </w:rPr>
                  <m:t>=</m:t>
                </m:r>
                <m:sSub>
                  <m:sSubPr>
                    <m:ctrlPr>
                      <w:rPr>
                        <w:rFonts w:ascii="Cambria Math" w:hAnsi="Cambria Math"/>
                        <w:i/>
                        <w:iCs/>
                        <w:sz w:val="18"/>
                        <w:szCs w:val="18"/>
                      </w:rPr>
                    </m:ctrlPr>
                  </m:sSubPr>
                  <m:e>
                    <m:r>
                      <m:rPr>
                        <m:sty m:val="p"/>
                      </m:rPr>
                      <w:rPr>
                        <w:rFonts w:ascii="Cambria Math" w:hAnsi="Cambria Math"/>
                        <w:sz w:val="18"/>
                        <w:szCs w:val="18"/>
                      </w:rPr>
                      <m:t>H</m:t>
                    </m:r>
                  </m:e>
                  <m:sub>
                    <m:r>
                      <m:rPr>
                        <m:sty m:val="p"/>
                      </m:rPr>
                      <w:rPr>
                        <w:rFonts w:ascii="Cambria Math" w:hAnsi="Cambria Math"/>
                        <w:sz w:val="18"/>
                        <w:szCs w:val="18"/>
                      </w:rPr>
                      <m:t>UL</m:t>
                    </m:r>
                  </m:sub>
                </m:sSub>
                <m:r>
                  <m:rPr>
                    <m:sty m:val="p"/>
                  </m:rPr>
                  <w:rPr>
                    <w:rFonts w:ascii="Cambria Math" w:hAnsi="Cambria Math"/>
                    <w:sz w:val="18"/>
                    <w:szCs w:val="18"/>
                  </w:rPr>
                  <m:t>⋅E=</m:t>
                </m:r>
                <m:sSub>
                  <m:sSubPr>
                    <m:ctrlPr>
                      <w:rPr>
                        <w:rFonts w:ascii="Cambria Math" w:hAnsi="Cambria Math"/>
                        <w:i/>
                        <w:iCs/>
                        <w:sz w:val="18"/>
                        <w:szCs w:val="18"/>
                      </w:rPr>
                    </m:ctrlPr>
                  </m:sSubPr>
                  <m:e>
                    <m:r>
                      <m:rPr>
                        <m:sty m:val="p"/>
                      </m:rPr>
                      <w:rPr>
                        <w:rFonts w:ascii="Cambria Math" w:hAnsi="Cambria Math"/>
                        <w:sz w:val="18"/>
                        <w:szCs w:val="18"/>
                      </w:rPr>
                      <m:t>H</m:t>
                    </m:r>
                  </m:e>
                  <m:sub>
                    <m:r>
                      <m:rPr>
                        <m:sty m:val="p"/>
                      </m:rPr>
                      <w:rPr>
                        <w:rFonts w:ascii="Cambria Math" w:hAnsi="Cambria Math"/>
                        <w:sz w:val="18"/>
                        <w:szCs w:val="18"/>
                      </w:rPr>
                      <m:t>UL</m:t>
                    </m:r>
                  </m:sub>
                </m:sSub>
                <m:r>
                  <m:rPr>
                    <m:sty m:val="p"/>
                  </m:rPr>
                  <w:rPr>
                    <w:rFonts w:ascii="Cambria Math" w:hAnsi="Cambria Math"/>
                    <w:sz w:val="18"/>
                    <w:szCs w:val="18"/>
                  </w:rPr>
                  <m:t>⋅</m:t>
                </m:r>
                <m:d>
                  <m:dPr>
                    <m:ctrlPr>
                      <w:rPr>
                        <w:rFonts w:ascii="Cambria Math" w:hAnsi="Cambria Math"/>
                        <w:i/>
                        <w:iCs/>
                        <w:sz w:val="18"/>
                        <w:szCs w:val="18"/>
                      </w:rPr>
                    </m:ctrlPr>
                  </m:dPr>
                  <m:e>
                    <m:m>
                      <m:mPr>
                        <m:mcs>
                          <m:mc>
                            <m:mcPr>
                              <m:count m:val="3"/>
                              <m:mcJc m:val="center"/>
                            </m:mcPr>
                          </m:mc>
                        </m:mcs>
                        <m:ctrlPr>
                          <w:rPr>
                            <w:rFonts w:ascii="Cambria Math" w:hAnsi="Cambria Math"/>
                            <w:i/>
                            <w:iCs/>
                            <w:sz w:val="18"/>
                            <w:szCs w:val="18"/>
                          </w:rPr>
                        </m:ctrlPr>
                      </m:mPr>
                      <m:mr>
                        <m:e>
                          <m:sSub>
                            <m:sSubPr>
                              <m:ctrlPr>
                                <w:rPr>
                                  <w:rFonts w:ascii="Cambria Math" w:hAnsi="Cambria Math"/>
                                  <w:i/>
                                  <w:iCs/>
                                  <w:sz w:val="18"/>
                                  <w:szCs w:val="18"/>
                                </w:rPr>
                              </m:ctrlPr>
                            </m:sSubPr>
                            <m:e>
                              <m:r>
                                <m:rPr>
                                  <m:sty m:val="p"/>
                                </m:rPr>
                                <w:rPr>
                                  <w:rFonts w:ascii="Cambria Math" w:hAnsi="Cambria Math"/>
                                  <w:sz w:val="18"/>
                                  <w:szCs w:val="18"/>
                                </w:rPr>
                                <m:t>a</m:t>
                              </m:r>
                            </m:e>
                            <m:sub>
                              <m:r>
                                <m:rPr>
                                  <m:sty m:val="p"/>
                                </m:rPr>
                                <w:rPr>
                                  <w:rFonts w:ascii="Cambria Math" w:hAnsi="Cambria Math"/>
                                  <w:sz w:val="18"/>
                                  <w:szCs w:val="18"/>
                                </w:rPr>
                                <m:t>1</m:t>
                              </m:r>
                            </m:sub>
                          </m:sSub>
                          <m:sSup>
                            <m:sSupPr>
                              <m:ctrlPr>
                                <w:rPr>
                                  <w:rFonts w:ascii="Cambria Math" w:hAnsi="Cambria Math"/>
                                  <w:i/>
                                  <w:iCs/>
                                  <w:sz w:val="18"/>
                                  <w:szCs w:val="18"/>
                                </w:rPr>
                              </m:ctrlPr>
                            </m:sSupPr>
                            <m:e>
                              <m:r>
                                <m:rPr>
                                  <m:sty m:val="p"/>
                                </m:rPr>
                                <w:rPr>
                                  <w:rFonts w:ascii="Cambria Math" w:hAnsi="Cambria Math"/>
                                  <w:sz w:val="18"/>
                                  <w:szCs w:val="18"/>
                                </w:rPr>
                                <m:t>e</m:t>
                              </m:r>
                            </m:e>
                            <m:sup>
                              <m:r>
                                <m:rPr>
                                  <m:sty m:val="p"/>
                                </m:rPr>
                                <w:rPr>
                                  <w:rFonts w:ascii="Cambria Math" w:hAnsi="Cambria Math"/>
                                  <w:sz w:val="18"/>
                                  <w:szCs w:val="18"/>
                                </w:rPr>
                                <m:t>j</m:t>
                              </m:r>
                              <m:sSub>
                                <m:sSubPr>
                                  <m:ctrlPr>
                                    <w:rPr>
                                      <w:rFonts w:ascii="Cambria Math" w:hAnsi="Cambria Math"/>
                                      <w:i/>
                                      <w:iCs/>
                                      <w:sz w:val="18"/>
                                      <w:szCs w:val="18"/>
                                    </w:rPr>
                                  </m:ctrlPr>
                                </m:sSubPr>
                                <m:e>
                                  <m:r>
                                    <m:rPr>
                                      <m:sty m:val="p"/>
                                    </m:rPr>
                                    <w:rPr>
                                      <w:rFonts w:ascii="Cambria Math" w:hAnsi="Cambria Math"/>
                                      <w:sz w:val="18"/>
                                      <w:szCs w:val="18"/>
                                    </w:rPr>
                                    <m:t>θ</m:t>
                                  </m:r>
                                </m:e>
                                <m:sub>
                                  <m:r>
                                    <m:rPr>
                                      <m:sty m:val="p"/>
                                    </m:rPr>
                                    <w:rPr>
                                      <w:rFonts w:ascii="Cambria Math" w:hAnsi="Cambria Math"/>
                                      <w:sz w:val="18"/>
                                      <w:szCs w:val="18"/>
                                    </w:rPr>
                                    <m:t>1</m:t>
                                  </m:r>
                                </m:sub>
                              </m:sSub>
                            </m:sup>
                          </m:sSup>
                        </m:e>
                        <m:e>
                          <m:r>
                            <m:rPr>
                              <m:sty m:val="p"/>
                            </m:rPr>
                            <w:rPr>
                              <w:rFonts w:ascii="Cambria Math" w:hAnsi="Cambria Math"/>
                              <w:sz w:val="18"/>
                              <w:szCs w:val="18"/>
                            </w:rPr>
                            <m:t>⋯</m:t>
                          </m:r>
                        </m:e>
                        <m:e>
                          <m:r>
                            <m:rPr>
                              <m:sty m:val="p"/>
                            </m:rPr>
                            <w:rPr>
                              <w:rFonts w:ascii="Cambria Math" w:hAnsi="Cambria Math"/>
                              <w:sz w:val="18"/>
                              <w:szCs w:val="18"/>
                            </w:rPr>
                            <m:t>0</m:t>
                          </m:r>
                        </m:e>
                      </m:mr>
                      <m:mr>
                        <m:e>
                          <m:r>
                            <m:rPr>
                              <m:sty m:val="p"/>
                            </m:rPr>
                            <w:rPr>
                              <w:rFonts w:ascii="Cambria Math" w:hAnsi="Cambria Math"/>
                              <w:sz w:val="18"/>
                              <w:szCs w:val="18"/>
                            </w:rPr>
                            <m:t>⋮</m:t>
                          </m:r>
                        </m:e>
                        <m:e>
                          <m:r>
                            <m:rPr>
                              <m:sty m:val="p"/>
                            </m:rPr>
                            <w:rPr>
                              <w:rFonts w:ascii="Cambria Math" w:hAnsi="Cambria Math"/>
                              <w:sz w:val="18"/>
                              <w:szCs w:val="18"/>
                            </w:rPr>
                            <m:t>⋱</m:t>
                          </m:r>
                        </m:e>
                        <m:e>
                          <m:r>
                            <m:rPr>
                              <m:sty m:val="p"/>
                            </m:rPr>
                            <w:rPr>
                              <w:rFonts w:ascii="Cambria Math" w:hAnsi="Cambria Math"/>
                              <w:sz w:val="18"/>
                              <w:szCs w:val="18"/>
                            </w:rPr>
                            <m:t>⋮</m:t>
                          </m:r>
                        </m:e>
                      </m:mr>
                      <m:mr>
                        <m:e>
                          <m:r>
                            <m:rPr>
                              <m:sty m:val="p"/>
                            </m:rPr>
                            <w:rPr>
                              <w:rFonts w:ascii="Cambria Math" w:hAnsi="Cambria Math"/>
                              <w:sz w:val="18"/>
                              <w:szCs w:val="18"/>
                            </w:rPr>
                            <m:t>0</m:t>
                          </m:r>
                        </m:e>
                        <m:e>
                          <m:r>
                            <m:rPr>
                              <m:sty m:val="p"/>
                            </m:rPr>
                            <w:rPr>
                              <w:rFonts w:ascii="Cambria Math" w:hAnsi="Cambria Math"/>
                              <w:sz w:val="18"/>
                              <w:szCs w:val="18"/>
                            </w:rPr>
                            <m:t>⋯</m:t>
                          </m:r>
                        </m:e>
                        <m:e>
                          <m:sSub>
                            <m:sSubPr>
                              <m:ctrlPr>
                                <w:rPr>
                                  <w:rFonts w:ascii="Cambria Math" w:hAnsi="Cambria Math"/>
                                  <w:i/>
                                  <w:iCs/>
                                  <w:sz w:val="18"/>
                                  <w:szCs w:val="18"/>
                                </w:rPr>
                              </m:ctrlPr>
                            </m:sSubPr>
                            <m:e>
                              <m:r>
                                <m:rPr>
                                  <m:sty m:val="p"/>
                                </m:rPr>
                                <w:rPr>
                                  <w:rFonts w:ascii="Cambria Math" w:hAnsi="Cambria Math"/>
                                  <w:sz w:val="18"/>
                                  <w:szCs w:val="18"/>
                                </w:rPr>
                                <m:t>a</m:t>
                              </m:r>
                            </m:e>
                            <m:sub>
                              <m:r>
                                <m:rPr>
                                  <m:sty m:val="p"/>
                                </m:rPr>
                                <w:rPr>
                                  <w:rFonts w:ascii="Cambria Math" w:hAnsi="Cambria Math"/>
                                  <w:sz w:val="18"/>
                                  <w:szCs w:val="18"/>
                                </w:rPr>
                                <m:t>N</m:t>
                              </m:r>
                            </m:sub>
                          </m:sSub>
                          <m:sSup>
                            <m:sSupPr>
                              <m:ctrlPr>
                                <w:rPr>
                                  <w:rFonts w:ascii="Cambria Math" w:hAnsi="Cambria Math"/>
                                  <w:i/>
                                  <w:iCs/>
                                  <w:sz w:val="18"/>
                                  <w:szCs w:val="18"/>
                                </w:rPr>
                              </m:ctrlPr>
                            </m:sSupPr>
                            <m:e>
                              <m:r>
                                <m:rPr>
                                  <m:sty m:val="p"/>
                                </m:rPr>
                                <w:rPr>
                                  <w:rFonts w:ascii="Cambria Math" w:hAnsi="Cambria Math"/>
                                  <w:sz w:val="18"/>
                                  <w:szCs w:val="18"/>
                                </w:rPr>
                                <m:t>e</m:t>
                              </m:r>
                            </m:e>
                            <m:sup>
                              <m:r>
                                <m:rPr>
                                  <m:sty m:val="p"/>
                                </m:rPr>
                                <w:rPr>
                                  <w:rFonts w:ascii="Cambria Math" w:hAnsi="Cambria Math"/>
                                  <w:sz w:val="18"/>
                                  <w:szCs w:val="18"/>
                                </w:rPr>
                                <m:t>j</m:t>
                              </m:r>
                              <m:sSub>
                                <m:sSubPr>
                                  <m:ctrlPr>
                                    <w:rPr>
                                      <w:rFonts w:ascii="Cambria Math" w:hAnsi="Cambria Math"/>
                                      <w:i/>
                                      <w:iCs/>
                                      <w:sz w:val="18"/>
                                      <w:szCs w:val="18"/>
                                    </w:rPr>
                                  </m:ctrlPr>
                                </m:sSubPr>
                                <m:e>
                                  <m:r>
                                    <m:rPr>
                                      <m:sty m:val="p"/>
                                    </m:rPr>
                                    <w:rPr>
                                      <w:rFonts w:ascii="Cambria Math" w:hAnsi="Cambria Math"/>
                                      <w:sz w:val="18"/>
                                      <w:szCs w:val="18"/>
                                    </w:rPr>
                                    <m:t>θ</m:t>
                                  </m:r>
                                </m:e>
                                <m:sub>
                                  <m:r>
                                    <m:rPr>
                                      <m:sty m:val="p"/>
                                    </m:rPr>
                                    <w:rPr>
                                      <w:rFonts w:ascii="Cambria Math" w:hAnsi="Cambria Math"/>
                                      <w:sz w:val="18"/>
                                      <w:szCs w:val="18"/>
                                    </w:rPr>
                                    <m:t>N</m:t>
                                  </m:r>
                                </m:sub>
                              </m:sSub>
                            </m:sup>
                          </m:sSup>
                        </m:e>
                      </m:mr>
                    </m:m>
                  </m:e>
                </m:d>
              </m:oMath>
            </m:oMathPara>
          </w:p>
          <w:p w14:paraId="62BA5190" w14:textId="6A27FCC0" w:rsidR="005A6E1A" w:rsidRPr="005A6E1A" w:rsidRDefault="005A6E1A" w:rsidP="005A6E1A">
            <w:pPr>
              <w:rPr>
                <w:sz w:val="18"/>
                <w:szCs w:val="18"/>
              </w:rPr>
            </w:pPr>
            <w:r w:rsidRPr="005A6E1A">
              <w:rPr>
                <w:sz w:val="18"/>
                <w:szCs w:val="18"/>
                <w:lang w:val="en-US"/>
              </w:rPr>
              <w:t xml:space="preserve">Amplitude error (expressed in decibel of </w:t>
            </w:r>
            <m:oMath>
              <m:r>
                <m:rPr>
                  <m:sty m:val="p"/>
                </m:rPr>
                <w:rPr>
                  <w:rFonts w:ascii="Cambria Math" w:hAnsi="Cambria Math"/>
                  <w:sz w:val="18"/>
                  <w:szCs w:val="18"/>
                </w:rPr>
                <m:t>x=20</m:t>
              </m:r>
              <m:func>
                <m:funcPr>
                  <m:ctrlPr>
                    <w:rPr>
                      <w:rFonts w:ascii="Cambria Math" w:hAnsi="Cambria Math"/>
                      <w:i/>
                      <w:iCs/>
                      <w:sz w:val="18"/>
                      <w:szCs w:val="18"/>
                    </w:rPr>
                  </m:ctrlPr>
                </m:funcPr>
                <m:fName>
                  <m:sSub>
                    <m:sSubPr>
                      <m:ctrlPr>
                        <w:rPr>
                          <w:rFonts w:ascii="Cambria Math" w:hAnsi="Cambria Math"/>
                          <w:i/>
                          <w:iCs/>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fName>
                <m:e>
                  <m:r>
                    <m:rPr>
                      <m:sty m:val="p"/>
                    </m:rPr>
                    <w:rPr>
                      <w:rFonts w:ascii="Cambria Math" w:hAnsi="Cambria Math"/>
                      <w:sz w:val="18"/>
                      <w:szCs w:val="18"/>
                    </w:rPr>
                    <m:t>a</m:t>
                  </m:r>
                </m:e>
              </m:func>
            </m:oMath>
            <w:r w:rsidRPr="005A6E1A">
              <w:rPr>
                <w:sz w:val="18"/>
                <w:szCs w:val="18"/>
                <w:lang w:val="en-US"/>
              </w:rPr>
              <w:t>) and phase error have normal distribution with 0.7dB and 5 degrees standard deviation, respectively.</w:t>
            </w:r>
          </w:p>
        </w:tc>
      </w:tr>
    </w:tbl>
    <w:p w14:paraId="7E4BE03F" w14:textId="77777777" w:rsidR="005A6E1A" w:rsidRPr="005A6E1A" w:rsidRDefault="005A6E1A" w:rsidP="005A6E1A"/>
    <w:p w14:paraId="7F94AE78" w14:textId="77777777" w:rsidR="00DE1518" w:rsidRPr="002D6B2B" w:rsidRDefault="00DE1518" w:rsidP="00DE1518">
      <w:pPr>
        <w:pStyle w:val="Heading1"/>
      </w:pPr>
      <w:r w:rsidRPr="002D6B2B">
        <w:lastRenderedPageBreak/>
        <w:t>References</w:t>
      </w:r>
    </w:p>
    <w:p w14:paraId="7E21EA7D" w14:textId="58692D59" w:rsidR="00DE1518" w:rsidRDefault="00DE1518" w:rsidP="00BE7B34">
      <w:pPr>
        <w:pStyle w:val="ListParagraph"/>
        <w:numPr>
          <w:ilvl w:val="0"/>
          <w:numId w:val="1"/>
        </w:numPr>
        <w:ind w:left="426" w:hanging="426"/>
        <w:rPr>
          <w:szCs w:val="20"/>
        </w:rPr>
      </w:pPr>
      <w:bookmarkStart w:id="30" w:name="_Ref525918101"/>
      <w:bookmarkStart w:id="31" w:name="_Ref37357160"/>
      <w:bookmarkStart w:id="32" w:name="_Ref40109439"/>
      <w:bookmarkEnd w:id="30"/>
      <w:r w:rsidRPr="002D6B2B">
        <w:rPr>
          <w:szCs w:val="20"/>
        </w:rPr>
        <w:t>RP-</w:t>
      </w:r>
      <w:r w:rsidR="006968DB">
        <w:rPr>
          <w:szCs w:val="20"/>
        </w:rPr>
        <w:t>202024</w:t>
      </w:r>
      <w:r w:rsidRPr="002D6B2B">
        <w:rPr>
          <w:szCs w:val="20"/>
        </w:rPr>
        <w:t>,</w:t>
      </w:r>
      <w:r w:rsidR="00F061A1">
        <w:rPr>
          <w:szCs w:val="20"/>
        </w:rPr>
        <w:t xml:space="preserve"> Samsung,</w:t>
      </w:r>
      <w:r w:rsidRPr="002D6B2B">
        <w:rPr>
          <w:szCs w:val="20"/>
        </w:rPr>
        <w:t xml:space="preserve"> “</w:t>
      </w:r>
      <w:r w:rsidR="006968DB" w:rsidRPr="006968DB">
        <w:rPr>
          <w:szCs w:val="20"/>
        </w:rPr>
        <w:t>Revised WID: Further enhancements on MIMO for NR</w:t>
      </w:r>
      <w:r w:rsidRPr="002D6B2B">
        <w:rPr>
          <w:szCs w:val="20"/>
        </w:rPr>
        <w:t>,” RAN#</w:t>
      </w:r>
      <w:r w:rsidR="006968DB">
        <w:rPr>
          <w:szCs w:val="20"/>
        </w:rPr>
        <w:t>89e</w:t>
      </w:r>
      <w:r w:rsidRPr="002D6B2B">
        <w:rPr>
          <w:szCs w:val="20"/>
        </w:rPr>
        <w:t xml:space="preserve">, </w:t>
      </w:r>
      <w:r w:rsidR="006968DB">
        <w:rPr>
          <w:szCs w:val="20"/>
        </w:rPr>
        <w:t>Sep</w:t>
      </w:r>
      <w:r w:rsidR="00E325D8">
        <w:rPr>
          <w:szCs w:val="20"/>
        </w:rPr>
        <w:t>.</w:t>
      </w:r>
      <w:r w:rsidRPr="002D6B2B">
        <w:rPr>
          <w:szCs w:val="20"/>
        </w:rPr>
        <w:t xml:space="preserve"> 20</w:t>
      </w:r>
      <w:bookmarkEnd w:id="31"/>
      <w:bookmarkEnd w:id="32"/>
      <w:r w:rsidR="006968DB">
        <w:rPr>
          <w:szCs w:val="20"/>
        </w:rPr>
        <w:t>20</w:t>
      </w:r>
      <w:r w:rsidR="005026C7" w:rsidRPr="002D6B2B">
        <w:rPr>
          <w:szCs w:val="20"/>
        </w:rPr>
        <w:t>.</w:t>
      </w:r>
    </w:p>
    <w:p w14:paraId="55FDA678" w14:textId="2A5F1B27" w:rsidR="00CC269F" w:rsidRDefault="00CC269F" w:rsidP="00BE7B34">
      <w:pPr>
        <w:pStyle w:val="ListParagraph"/>
        <w:numPr>
          <w:ilvl w:val="0"/>
          <w:numId w:val="1"/>
        </w:numPr>
        <w:ind w:left="426" w:hanging="426"/>
        <w:rPr>
          <w:szCs w:val="20"/>
        </w:rPr>
      </w:pPr>
      <w:bookmarkStart w:id="33" w:name="_Ref59455851"/>
      <w:r w:rsidRPr="00CC269F">
        <w:rPr>
          <w:szCs w:val="20"/>
        </w:rPr>
        <w:t>R1-2009832</w:t>
      </w:r>
      <w:r>
        <w:rPr>
          <w:szCs w:val="20"/>
        </w:rPr>
        <w:t>, Ad-hoc Chair (Samsung), “</w:t>
      </w:r>
      <w:r w:rsidRPr="00CC269F">
        <w:rPr>
          <w:szCs w:val="20"/>
        </w:rPr>
        <w:t>Session notes for 8.1 (Further enhancements on MIMO for NR)</w:t>
      </w:r>
      <w:r>
        <w:rPr>
          <w:szCs w:val="20"/>
        </w:rPr>
        <w:t>,” RAN1#103-e, Oct.-Nov. 2020.</w:t>
      </w:r>
      <w:bookmarkEnd w:id="33"/>
    </w:p>
    <w:p w14:paraId="75FAD69D" w14:textId="040E6523" w:rsidR="006F6C18" w:rsidRDefault="006F6C18" w:rsidP="00BE7B34">
      <w:pPr>
        <w:pStyle w:val="ListParagraph"/>
        <w:numPr>
          <w:ilvl w:val="0"/>
          <w:numId w:val="1"/>
        </w:numPr>
        <w:ind w:left="426" w:hanging="426"/>
        <w:rPr>
          <w:szCs w:val="20"/>
        </w:rPr>
      </w:pPr>
      <w:r w:rsidRPr="006F6C18">
        <w:rPr>
          <w:szCs w:val="20"/>
        </w:rPr>
        <w:t>R1-2009529</w:t>
      </w:r>
      <w:r>
        <w:rPr>
          <w:szCs w:val="20"/>
        </w:rPr>
        <w:t>, Huawei, “</w:t>
      </w:r>
      <w:r w:rsidR="00807FA2" w:rsidRPr="00807FA2">
        <w:rPr>
          <w:szCs w:val="20"/>
        </w:rPr>
        <w:t>Summary of CSI enhancements for MTRP and FDD</w:t>
      </w:r>
      <w:r>
        <w:rPr>
          <w:szCs w:val="20"/>
        </w:rPr>
        <w:t>,”</w:t>
      </w:r>
      <w:r w:rsidR="00807FA2">
        <w:rPr>
          <w:szCs w:val="20"/>
        </w:rPr>
        <w:t xml:space="preserve"> RAN1#103-e, Oct.-Nov. 2020.</w:t>
      </w:r>
    </w:p>
    <w:p w14:paraId="374AA98F" w14:textId="0D8DC3BA" w:rsidR="00807FA2" w:rsidRDefault="00807FA2" w:rsidP="00BE7B34">
      <w:pPr>
        <w:pStyle w:val="ListParagraph"/>
        <w:numPr>
          <w:ilvl w:val="0"/>
          <w:numId w:val="1"/>
        </w:numPr>
        <w:ind w:left="426" w:hanging="426"/>
        <w:rPr>
          <w:szCs w:val="20"/>
        </w:rPr>
      </w:pPr>
      <w:r w:rsidRPr="00807FA2">
        <w:rPr>
          <w:szCs w:val="20"/>
        </w:rPr>
        <w:t>R1-2009530</w:t>
      </w:r>
      <w:r>
        <w:rPr>
          <w:szCs w:val="20"/>
        </w:rPr>
        <w:t xml:space="preserve">, </w:t>
      </w:r>
      <w:r w:rsidRPr="00807FA2">
        <w:rPr>
          <w:szCs w:val="20"/>
        </w:rPr>
        <w:t>Huawei</w:t>
      </w:r>
      <w:r>
        <w:rPr>
          <w:szCs w:val="20"/>
        </w:rPr>
        <w:t>,</w:t>
      </w:r>
      <w:r w:rsidRPr="00807FA2">
        <w:rPr>
          <w:szCs w:val="20"/>
        </w:rPr>
        <w:t xml:space="preserve"> </w:t>
      </w:r>
      <w:r>
        <w:rPr>
          <w:szCs w:val="20"/>
        </w:rPr>
        <w:t>“</w:t>
      </w:r>
      <w:r w:rsidRPr="00807FA2">
        <w:rPr>
          <w:szCs w:val="20"/>
        </w:rPr>
        <w:t>Summary of Further Email discussion for Rel-17 CSI enhancements</w:t>
      </w:r>
      <w:r>
        <w:rPr>
          <w:szCs w:val="20"/>
        </w:rPr>
        <w:t>,” RAN1#103-e, Oct.-Nov. 2020.</w:t>
      </w:r>
    </w:p>
    <w:p w14:paraId="78EFCEA6" w14:textId="5C4F059A" w:rsidR="00E325D8" w:rsidRDefault="00807FA2" w:rsidP="00807FA2">
      <w:pPr>
        <w:pStyle w:val="ListParagraph"/>
        <w:numPr>
          <w:ilvl w:val="0"/>
          <w:numId w:val="1"/>
        </w:numPr>
        <w:ind w:left="426" w:hanging="426"/>
        <w:rPr>
          <w:szCs w:val="20"/>
        </w:rPr>
      </w:pPr>
      <w:r w:rsidRPr="00807FA2">
        <w:rPr>
          <w:szCs w:val="20"/>
        </w:rPr>
        <w:t>R1-2009759</w:t>
      </w:r>
      <w:r>
        <w:rPr>
          <w:szCs w:val="20"/>
        </w:rPr>
        <w:t>,</w:t>
      </w:r>
      <w:r w:rsidRPr="00807FA2">
        <w:rPr>
          <w:szCs w:val="20"/>
        </w:rPr>
        <w:t xml:space="preserve"> Huawei</w:t>
      </w:r>
      <w:r>
        <w:rPr>
          <w:szCs w:val="20"/>
        </w:rPr>
        <w:t>,</w:t>
      </w:r>
      <w:r w:rsidRPr="00807FA2">
        <w:rPr>
          <w:szCs w:val="20"/>
        </w:rPr>
        <w:t xml:space="preserve"> </w:t>
      </w:r>
      <w:r>
        <w:rPr>
          <w:szCs w:val="20"/>
        </w:rPr>
        <w:t>“</w:t>
      </w:r>
      <w:r w:rsidRPr="00807FA2">
        <w:rPr>
          <w:szCs w:val="20"/>
        </w:rPr>
        <w:t>Summary of Phase 3 Email discussion for Rel-17 CSI enhancements</w:t>
      </w:r>
      <w:r>
        <w:rPr>
          <w:szCs w:val="20"/>
        </w:rPr>
        <w:t>,” RAN1#103-e, Oct.-Nov. 2020.</w:t>
      </w:r>
    </w:p>
    <w:p w14:paraId="5E96BCF7" w14:textId="22E72978" w:rsidR="00807FA2" w:rsidRPr="00807FA2" w:rsidRDefault="00807FA2" w:rsidP="00807FA2">
      <w:pPr>
        <w:pStyle w:val="ListParagraph"/>
        <w:numPr>
          <w:ilvl w:val="0"/>
          <w:numId w:val="1"/>
        </w:numPr>
        <w:ind w:left="426" w:hanging="426"/>
        <w:rPr>
          <w:szCs w:val="20"/>
        </w:rPr>
      </w:pPr>
      <w:r w:rsidRPr="002D6B2B">
        <w:rPr>
          <w:rFonts w:eastAsia="Times New Roman"/>
          <w:szCs w:val="20"/>
        </w:rPr>
        <w:t>R1-</w:t>
      </w:r>
      <w:r>
        <w:rPr>
          <w:rFonts w:eastAsia="Times New Roman"/>
          <w:szCs w:val="20"/>
        </w:rPr>
        <w:t>2008909</w:t>
      </w:r>
      <w:r w:rsidRPr="002D6B2B">
        <w:rPr>
          <w:rFonts w:eastAsia="Times New Roman"/>
          <w:szCs w:val="20"/>
        </w:rPr>
        <w:t>,</w:t>
      </w:r>
      <w:r>
        <w:rPr>
          <w:rFonts w:eastAsia="Times New Roman"/>
          <w:szCs w:val="20"/>
        </w:rPr>
        <w:t xml:space="preserve"> </w:t>
      </w:r>
      <w:r w:rsidRPr="002D6B2B">
        <w:rPr>
          <w:rFonts w:eastAsia="Times New Roman"/>
          <w:szCs w:val="20"/>
        </w:rPr>
        <w:t>Nokia, Nokia Shanghai Bell</w:t>
      </w:r>
      <w:r>
        <w:rPr>
          <w:rFonts w:eastAsia="Times New Roman"/>
          <w:szCs w:val="20"/>
        </w:rPr>
        <w:t>,</w:t>
      </w:r>
      <w:r w:rsidRPr="002D6B2B">
        <w:rPr>
          <w:rFonts w:eastAsia="Times New Roman"/>
          <w:szCs w:val="20"/>
        </w:rPr>
        <w:t xml:space="preserve"> “</w:t>
      </w:r>
      <w:r w:rsidRPr="00591ED4">
        <w:rPr>
          <w:rFonts w:eastAsia="Times New Roman"/>
          <w:szCs w:val="20"/>
        </w:rPr>
        <w:t>Enhancement on CSI measurement and reporting</w:t>
      </w:r>
      <w:r w:rsidRPr="002D6B2B">
        <w:rPr>
          <w:rFonts w:eastAsia="Times New Roman"/>
          <w:szCs w:val="20"/>
        </w:rPr>
        <w:t>”, RAN1 #</w:t>
      </w:r>
      <w:r>
        <w:rPr>
          <w:rFonts w:eastAsia="Times New Roman"/>
          <w:szCs w:val="20"/>
        </w:rPr>
        <w:t>103-e</w:t>
      </w:r>
      <w:r w:rsidRPr="002D6B2B">
        <w:rPr>
          <w:rFonts w:eastAsia="Times New Roman"/>
          <w:szCs w:val="20"/>
        </w:rPr>
        <w:t xml:space="preserve">, </w:t>
      </w:r>
      <w:r>
        <w:rPr>
          <w:rFonts w:eastAsia="Times New Roman"/>
          <w:szCs w:val="20"/>
        </w:rPr>
        <w:t>Oct.-Nov.</w:t>
      </w:r>
      <w:r w:rsidRPr="002D6B2B">
        <w:rPr>
          <w:rFonts w:eastAsia="Times New Roman"/>
          <w:szCs w:val="20"/>
        </w:rPr>
        <w:t xml:space="preserve"> 20</w:t>
      </w:r>
      <w:r>
        <w:rPr>
          <w:rFonts w:eastAsia="Times New Roman"/>
          <w:szCs w:val="20"/>
        </w:rPr>
        <w:t>20</w:t>
      </w:r>
      <w:r w:rsidRPr="002D6B2B">
        <w:rPr>
          <w:rFonts w:eastAsia="Times New Roman"/>
          <w:szCs w:val="20"/>
        </w:rPr>
        <w:t>.</w:t>
      </w:r>
    </w:p>
    <w:p w14:paraId="2CEA1672" w14:textId="582C9A86" w:rsidR="00591ED4" w:rsidRDefault="00591ED4" w:rsidP="00BE7B34">
      <w:pPr>
        <w:pStyle w:val="ListParagraph"/>
        <w:numPr>
          <w:ilvl w:val="0"/>
          <w:numId w:val="1"/>
        </w:numPr>
        <w:ind w:left="426" w:hanging="426"/>
        <w:rPr>
          <w:szCs w:val="20"/>
        </w:rPr>
      </w:pPr>
      <w:r w:rsidRPr="002D6B2B">
        <w:rPr>
          <w:rFonts w:eastAsia="Times New Roman"/>
          <w:szCs w:val="20"/>
        </w:rPr>
        <w:t>R1-</w:t>
      </w:r>
      <w:r>
        <w:rPr>
          <w:rFonts w:eastAsia="Times New Roman"/>
          <w:szCs w:val="20"/>
        </w:rPr>
        <w:t>2006849</w:t>
      </w:r>
      <w:r w:rsidRPr="002D6B2B">
        <w:rPr>
          <w:rFonts w:eastAsia="Times New Roman"/>
          <w:szCs w:val="20"/>
        </w:rPr>
        <w:t>,</w:t>
      </w:r>
      <w:r>
        <w:rPr>
          <w:rFonts w:eastAsia="Times New Roman"/>
          <w:szCs w:val="20"/>
        </w:rPr>
        <w:t xml:space="preserve"> </w:t>
      </w:r>
      <w:r w:rsidRPr="002D6B2B">
        <w:rPr>
          <w:rFonts w:eastAsia="Times New Roman"/>
          <w:szCs w:val="20"/>
        </w:rPr>
        <w:t>Nokia, Nokia Shanghai Bell</w:t>
      </w:r>
      <w:r>
        <w:rPr>
          <w:rFonts w:eastAsia="Times New Roman"/>
          <w:szCs w:val="20"/>
        </w:rPr>
        <w:t>,</w:t>
      </w:r>
      <w:r w:rsidRPr="002D6B2B">
        <w:rPr>
          <w:rFonts w:eastAsia="Times New Roman"/>
          <w:szCs w:val="20"/>
        </w:rPr>
        <w:t xml:space="preserve"> “</w:t>
      </w:r>
      <w:r w:rsidRPr="00591ED4">
        <w:rPr>
          <w:rFonts w:eastAsia="Times New Roman"/>
          <w:szCs w:val="20"/>
        </w:rPr>
        <w:t>Enhancement on CSI measurement and reporting</w:t>
      </w:r>
      <w:r w:rsidRPr="002D6B2B">
        <w:rPr>
          <w:rFonts w:eastAsia="Times New Roman"/>
          <w:szCs w:val="20"/>
        </w:rPr>
        <w:t>”, RAN1 #</w:t>
      </w:r>
      <w:r>
        <w:rPr>
          <w:rFonts w:eastAsia="Times New Roman"/>
          <w:szCs w:val="20"/>
        </w:rPr>
        <w:t>102-e</w:t>
      </w:r>
      <w:r w:rsidRPr="002D6B2B">
        <w:rPr>
          <w:rFonts w:eastAsia="Times New Roman"/>
          <w:szCs w:val="20"/>
        </w:rPr>
        <w:t xml:space="preserve">, </w:t>
      </w:r>
      <w:r>
        <w:rPr>
          <w:rFonts w:eastAsia="Times New Roman"/>
          <w:szCs w:val="20"/>
        </w:rPr>
        <w:t>Aug.</w:t>
      </w:r>
      <w:r w:rsidRPr="002D6B2B">
        <w:rPr>
          <w:rFonts w:eastAsia="Times New Roman"/>
          <w:szCs w:val="20"/>
        </w:rPr>
        <w:t xml:space="preserve"> 20</w:t>
      </w:r>
      <w:r>
        <w:rPr>
          <w:rFonts w:eastAsia="Times New Roman"/>
          <w:szCs w:val="20"/>
        </w:rPr>
        <w:t>20</w:t>
      </w:r>
      <w:r w:rsidRPr="002D6B2B">
        <w:rPr>
          <w:rFonts w:eastAsia="Times New Roman"/>
          <w:szCs w:val="20"/>
        </w:rPr>
        <w:t>.</w:t>
      </w:r>
    </w:p>
    <w:p w14:paraId="1FFCEED0" w14:textId="3B336A5D" w:rsidR="006A704D" w:rsidRPr="005109D2" w:rsidRDefault="00975DB2" w:rsidP="005109D2">
      <w:pPr>
        <w:pStyle w:val="ListParagraph"/>
        <w:numPr>
          <w:ilvl w:val="0"/>
          <w:numId w:val="1"/>
        </w:numPr>
        <w:ind w:left="426" w:hanging="426"/>
        <w:rPr>
          <w:szCs w:val="20"/>
        </w:rPr>
      </w:pPr>
      <w:bookmarkStart w:id="34" w:name="_Ref47619143"/>
      <w:r w:rsidRPr="00975DB2">
        <w:rPr>
          <w:szCs w:val="20"/>
        </w:rPr>
        <w:t>“3GPP RAN1#</w:t>
      </w:r>
      <w:r w:rsidR="005109D2">
        <w:rPr>
          <w:szCs w:val="20"/>
        </w:rPr>
        <w:t>103-e</w:t>
      </w:r>
      <w:r w:rsidRPr="00975DB2">
        <w:rPr>
          <w:szCs w:val="20"/>
        </w:rPr>
        <w:t xml:space="preserve"> Chairman’s Notes”, Oct</w:t>
      </w:r>
      <w:r w:rsidR="00E325D8">
        <w:rPr>
          <w:szCs w:val="20"/>
        </w:rPr>
        <w:t>.</w:t>
      </w:r>
      <w:r w:rsidR="005109D2">
        <w:rPr>
          <w:szCs w:val="20"/>
        </w:rPr>
        <w:t>-Nov.</w:t>
      </w:r>
      <w:r w:rsidRPr="00975DB2">
        <w:rPr>
          <w:szCs w:val="20"/>
        </w:rPr>
        <w:t xml:space="preserve"> 20</w:t>
      </w:r>
      <w:bookmarkEnd w:id="34"/>
      <w:r w:rsidR="005109D2">
        <w:rPr>
          <w:szCs w:val="20"/>
        </w:rPr>
        <w:t>20.</w:t>
      </w:r>
    </w:p>
    <w:p w14:paraId="06CECB36" w14:textId="21140158" w:rsidR="00090A5F" w:rsidRDefault="00090A5F" w:rsidP="00090A5F">
      <w:pPr>
        <w:rPr>
          <w:rFonts w:eastAsia="Times New Roman"/>
        </w:rPr>
      </w:pPr>
    </w:p>
    <w:p w14:paraId="17845D85" w14:textId="13BB1C81" w:rsidR="00090A5F" w:rsidRDefault="00090A5F" w:rsidP="00090A5F">
      <w:pPr>
        <w:rPr>
          <w:rFonts w:eastAsia="Times New Roman"/>
        </w:rPr>
      </w:pPr>
    </w:p>
    <w:p w14:paraId="0C4134F1" w14:textId="566EBAEC" w:rsidR="00090A5F" w:rsidRDefault="00090A5F" w:rsidP="00090A5F">
      <w:pPr>
        <w:rPr>
          <w:rFonts w:eastAsia="Times New Roman"/>
        </w:rPr>
      </w:pPr>
    </w:p>
    <w:p w14:paraId="7105C5AD" w14:textId="6D7378AB" w:rsidR="00090A5F" w:rsidRDefault="00090A5F" w:rsidP="00090A5F">
      <w:pPr>
        <w:rPr>
          <w:rFonts w:eastAsia="Times New Roman"/>
        </w:rPr>
      </w:pPr>
    </w:p>
    <w:p w14:paraId="01E9194F" w14:textId="7D01FA2B" w:rsidR="00090A5F" w:rsidRDefault="00090A5F" w:rsidP="00090A5F">
      <w:pPr>
        <w:rPr>
          <w:rFonts w:eastAsia="Times New Roman"/>
        </w:rPr>
      </w:pPr>
    </w:p>
    <w:p w14:paraId="4FE72D32" w14:textId="67D73360" w:rsidR="00090A5F" w:rsidRDefault="00090A5F" w:rsidP="00090A5F">
      <w:pPr>
        <w:rPr>
          <w:rFonts w:eastAsia="Times New Roman"/>
        </w:rPr>
      </w:pPr>
    </w:p>
    <w:p w14:paraId="45DAD1CD" w14:textId="6C39EC5E" w:rsidR="00090A5F" w:rsidRDefault="00090A5F" w:rsidP="00090A5F">
      <w:pPr>
        <w:rPr>
          <w:rFonts w:eastAsia="Times New Roman"/>
        </w:rPr>
      </w:pPr>
    </w:p>
    <w:p w14:paraId="052DC159" w14:textId="67EB8954" w:rsidR="00090A5F" w:rsidRDefault="00090A5F" w:rsidP="00090A5F">
      <w:pPr>
        <w:rPr>
          <w:rFonts w:eastAsia="Times New Roman"/>
        </w:rPr>
      </w:pPr>
    </w:p>
    <w:p w14:paraId="52004769" w14:textId="72B5DF64" w:rsidR="00090A5F" w:rsidRDefault="00090A5F" w:rsidP="00090A5F">
      <w:pPr>
        <w:rPr>
          <w:rFonts w:eastAsia="Times New Roman"/>
        </w:rPr>
      </w:pPr>
    </w:p>
    <w:bookmarkEnd w:id="0"/>
    <w:p w14:paraId="4647FAA9" w14:textId="77777777" w:rsidR="00090A5F" w:rsidRPr="00090A5F" w:rsidRDefault="00090A5F" w:rsidP="00090A5F">
      <w:pPr>
        <w:rPr>
          <w:rFonts w:eastAsia="Times New Roman"/>
        </w:rPr>
      </w:pPr>
    </w:p>
    <w:sectPr w:rsidR="00090A5F" w:rsidRPr="00090A5F" w:rsidSect="0064119D">
      <w:foot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7BCDF" w14:textId="77777777" w:rsidR="00E26D2B" w:rsidRDefault="00E26D2B" w:rsidP="00D872F1">
      <w:pPr>
        <w:spacing w:after="0"/>
      </w:pPr>
      <w:r>
        <w:separator/>
      </w:r>
    </w:p>
  </w:endnote>
  <w:endnote w:type="continuationSeparator" w:id="0">
    <w:p w14:paraId="74884023" w14:textId="77777777" w:rsidR="00E26D2B" w:rsidRDefault="00E26D2B"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40288" w14:textId="77777777" w:rsidR="00E26D2B" w:rsidRDefault="00E26D2B">
    <w:pPr>
      <w:pStyle w:val="Footer"/>
    </w:pPr>
    <w:r>
      <w:rPr>
        <w:lang w:eastAsia="zh-CN"/>
      </w:rPr>
      <mc:AlternateContent>
        <mc:Choice Requires="wps">
          <w:drawing>
            <wp:anchor distT="0" distB="0" distL="114300" distR="114300" simplePos="0" relativeHeight="251659264" behindDoc="0" locked="0" layoutInCell="0" allowOverlap="1" wp14:anchorId="7CD1734A" wp14:editId="0A40C85C">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3293E" w14:textId="77777777" w:rsidR="00E26D2B" w:rsidRPr="00B75603" w:rsidRDefault="00E26D2B" w:rsidP="00641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D1734A"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o:allowincell="f" filled="f" stroked="f" strokeweight=".5pt">
              <v:textbox inset=",0,,0">
                <w:txbxContent>
                  <w:p w14:paraId="7253293E" w14:textId="77777777" w:rsidR="00E26D2B" w:rsidRPr="00B75603" w:rsidRDefault="00E26D2B" w:rsidP="0064119D">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574C9" w14:textId="77777777" w:rsidR="00E26D2B" w:rsidRDefault="00E26D2B" w:rsidP="00D872F1">
      <w:pPr>
        <w:spacing w:after="0"/>
      </w:pPr>
      <w:r>
        <w:separator/>
      </w:r>
    </w:p>
  </w:footnote>
  <w:footnote w:type="continuationSeparator" w:id="0">
    <w:p w14:paraId="473E2961" w14:textId="77777777" w:rsidR="00E26D2B" w:rsidRDefault="00E26D2B"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912E9"/>
    <w:multiLevelType w:val="hybridMultilevel"/>
    <w:tmpl w:val="72AE1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F667C8"/>
    <w:multiLevelType w:val="hybridMultilevel"/>
    <w:tmpl w:val="8D522D36"/>
    <w:lvl w:ilvl="0" w:tplc="DDB02E36">
      <w:start w:val="1"/>
      <w:numFmt w:val="decimal"/>
      <w:lvlText w:val="%1)"/>
      <w:lvlJc w:val="left"/>
      <w:pPr>
        <w:ind w:left="720" w:hanging="360"/>
      </w:pPr>
      <w:rPr>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9D4703"/>
    <w:multiLevelType w:val="hybridMultilevel"/>
    <w:tmpl w:val="0CEAAD80"/>
    <w:lvl w:ilvl="0" w:tplc="88F6E28E">
      <w:start w:val="1"/>
      <w:numFmt w:val="bullet"/>
      <w:lvlText w:val="o"/>
      <w:lvlJc w:val="left"/>
      <w:pPr>
        <w:tabs>
          <w:tab w:val="num" w:pos="720"/>
        </w:tabs>
        <w:ind w:left="720" w:hanging="360"/>
      </w:pPr>
      <w:rPr>
        <w:rFonts w:ascii="Courier New" w:hAnsi="Courier New" w:hint="default"/>
      </w:rPr>
    </w:lvl>
    <w:lvl w:ilvl="1" w:tplc="E1F291DA">
      <w:start w:val="1"/>
      <w:numFmt w:val="bullet"/>
      <w:lvlText w:val="o"/>
      <w:lvlJc w:val="left"/>
      <w:pPr>
        <w:tabs>
          <w:tab w:val="num" w:pos="1440"/>
        </w:tabs>
        <w:ind w:left="1440" w:hanging="360"/>
      </w:pPr>
      <w:rPr>
        <w:rFonts w:ascii="Courier New" w:hAnsi="Courier New" w:hint="default"/>
      </w:rPr>
    </w:lvl>
    <w:lvl w:ilvl="2" w:tplc="F68ABE8E" w:tentative="1">
      <w:start w:val="1"/>
      <w:numFmt w:val="bullet"/>
      <w:lvlText w:val="o"/>
      <w:lvlJc w:val="left"/>
      <w:pPr>
        <w:tabs>
          <w:tab w:val="num" w:pos="2160"/>
        </w:tabs>
        <w:ind w:left="2160" w:hanging="360"/>
      </w:pPr>
      <w:rPr>
        <w:rFonts w:ascii="Courier New" w:hAnsi="Courier New" w:hint="default"/>
      </w:rPr>
    </w:lvl>
    <w:lvl w:ilvl="3" w:tplc="C5B65924" w:tentative="1">
      <w:start w:val="1"/>
      <w:numFmt w:val="bullet"/>
      <w:lvlText w:val="o"/>
      <w:lvlJc w:val="left"/>
      <w:pPr>
        <w:tabs>
          <w:tab w:val="num" w:pos="2880"/>
        </w:tabs>
        <w:ind w:left="2880" w:hanging="360"/>
      </w:pPr>
      <w:rPr>
        <w:rFonts w:ascii="Courier New" w:hAnsi="Courier New" w:hint="default"/>
      </w:rPr>
    </w:lvl>
    <w:lvl w:ilvl="4" w:tplc="3E50F348" w:tentative="1">
      <w:start w:val="1"/>
      <w:numFmt w:val="bullet"/>
      <w:lvlText w:val="o"/>
      <w:lvlJc w:val="left"/>
      <w:pPr>
        <w:tabs>
          <w:tab w:val="num" w:pos="3600"/>
        </w:tabs>
        <w:ind w:left="3600" w:hanging="360"/>
      </w:pPr>
      <w:rPr>
        <w:rFonts w:ascii="Courier New" w:hAnsi="Courier New" w:hint="default"/>
      </w:rPr>
    </w:lvl>
    <w:lvl w:ilvl="5" w:tplc="D730FB0A" w:tentative="1">
      <w:start w:val="1"/>
      <w:numFmt w:val="bullet"/>
      <w:lvlText w:val="o"/>
      <w:lvlJc w:val="left"/>
      <w:pPr>
        <w:tabs>
          <w:tab w:val="num" w:pos="4320"/>
        </w:tabs>
        <w:ind w:left="4320" w:hanging="360"/>
      </w:pPr>
      <w:rPr>
        <w:rFonts w:ascii="Courier New" w:hAnsi="Courier New" w:hint="default"/>
      </w:rPr>
    </w:lvl>
    <w:lvl w:ilvl="6" w:tplc="75C6B74E" w:tentative="1">
      <w:start w:val="1"/>
      <w:numFmt w:val="bullet"/>
      <w:lvlText w:val="o"/>
      <w:lvlJc w:val="left"/>
      <w:pPr>
        <w:tabs>
          <w:tab w:val="num" w:pos="5040"/>
        </w:tabs>
        <w:ind w:left="5040" w:hanging="360"/>
      </w:pPr>
      <w:rPr>
        <w:rFonts w:ascii="Courier New" w:hAnsi="Courier New" w:hint="default"/>
      </w:rPr>
    </w:lvl>
    <w:lvl w:ilvl="7" w:tplc="DD464A70" w:tentative="1">
      <w:start w:val="1"/>
      <w:numFmt w:val="bullet"/>
      <w:lvlText w:val="o"/>
      <w:lvlJc w:val="left"/>
      <w:pPr>
        <w:tabs>
          <w:tab w:val="num" w:pos="5760"/>
        </w:tabs>
        <w:ind w:left="5760" w:hanging="360"/>
      </w:pPr>
      <w:rPr>
        <w:rFonts w:ascii="Courier New" w:hAnsi="Courier New" w:hint="default"/>
      </w:rPr>
    </w:lvl>
    <w:lvl w:ilvl="8" w:tplc="3F6A50B2"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C181C3D"/>
    <w:multiLevelType w:val="hybridMultilevel"/>
    <w:tmpl w:val="F96E8C92"/>
    <w:lvl w:ilvl="0" w:tplc="1CFA0F7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4E4E17"/>
    <w:multiLevelType w:val="hybridMultilevel"/>
    <w:tmpl w:val="2026D022"/>
    <w:lvl w:ilvl="0" w:tplc="DDB02E36">
      <w:start w:val="1"/>
      <w:numFmt w:val="decimal"/>
      <w:lvlText w:val="%1)"/>
      <w:lvlJc w:val="left"/>
      <w:pPr>
        <w:ind w:left="720" w:hanging="360"/>
      </w:pPr>
      <w:rPr>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6428A1"/>
    <w:multiLevelType w:val="hybridMultilevel"/>
    <w:tmpl w:val="C852777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D08"/>
    <w:multiLevelType w:val="hybridMultilevel"/>
    <w:tmpl w:val="2EA266D4"/>
    <w:lvl w:ilvl="0" w:tplc="1CFA0F72">
      <w:numFmt w:val="bullet"/>
      <w:lvlText w:val="-"/>
      <w:lvlJc w:val="left"/>
      <w:pPr>
        <w:ind w:left="720" w:hanging="360"/>
      </w:pPr>
      <w:rPr>
        <w:rFonts w:ascii="Arial" w:eastAsia="Times New Roman" w:hAnsi="Arial" w:cs="Arial" w:hint="default"/>
      </w:rPr>
    </w:lvl>
    <w:lvl w:ilvl="1" w:tplc="912E162E">
      <w:start w:val="238"/>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5D1023"/>
    <w:multiLevelType w:val="hybridMultilevel"/>
    <w:tmpl w:val="7E46B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117D6A"/>
    <w:multiLevelType w:val="hybridMultilevel"/>
    <w:tmpl w:val="32F07A3C"/>
    <w:lvl w:ilvl="0" w:tplc="BA109296">
      <w:start w:val="1"/>
      <w:numFmt w:val="bullet"/>
      <w:lvlText w:val=""/>
      <w:lvlJc w:val="left"/>
      <w:pPr>
        <w:tabs>
          <w:tab w:val="num" w:pos="360"/>
        </w:tabs>
        <w:ind w:left="360" w:hanging="360"/>
      </w:pPr>
      <w:rPr>
        <w:rFonts w:ascii="Symbol" w:hAnsi="Symbol" w:hint="default"/>
      </w:rPr>
    </w:lvl>
    <w:lvl w:ilvl="1" w:tplc="F4502E86">
      <w:numFmt w:val="bullet"/>
      <w:lvlText w:val="o"/>
      <w:lvlJc w:val="left"/>
      <w:pPr>
        <w:tabs>
          <w:tab w:val="num" w:pos="1080"/>
        </w:tabs>
        <w:ind w:left="1080" w:hanging="360"/>
      </w:pPr>
      <w:rPr>
        <w:rFonts w:ascii="Courier New" w:hAnsi="Courier New" w:hint="default"/>
      </w:rPr>
    </w:lvl>
    <w:lvl w:ilvl="2" w:tplc="304ACD74">
      <w:numFmt w:val="bullet"/>
      <w:lvlText w:val=""/>
      <w:lvlJc w:val="left"/>
      <w:pPr>
        <w:tabs>
          <w:tab w:val="num" w:pos="1800"/>
        </w:tabs>
        <w:ind w:left="1800" w:hanging="360"/>
      </w:pPr>
      <w:rPr>
        <w:rFonts w:ascii="Wingdings" w:hAnsi="Wingdings" w:hint="default"/>
      </w:rPr>
    </w:lvl>
    <w:lvl w:ilvl="3" w:tplc="94CA9634">
      <w:numFmt w:val="bullet"/>
      <w:lvlText w:val=""/>
      <w:lvlJc w:val="left"/>
      <w:pPr>
        <w:tabs>
          <w:tab w:val="num" w:pos="2520"/>
        </w:tabs>
        <w:ind w:left="2520" w:hanging="360"/>
      </w:pPr>
      <w:rPr>
        <w:rFonts w:ascii="Symbol" w:hAnsi="Symbol" w:hint="default"/>
      </w:rPr>
    </w:lvl>
    <w:lvl w:ilvl="4" w:tplc="E6C6D7FE" w:tentative="1">
      <w:start w:val="1"/>
      <w:numFmt w:val="bullet"/>
      <w:lvlText w:val=""/>
      <w:lvlJc w:val="left"/>
      <w:pPr>
        <w:tabs>
          <w:tab w:val="num" w:pos="3240"/>
        </w:tabs>
        <w:ind w:left="3240" w:hanging="360"/>
      </w:pPr>
      <w:rPr>
        <w:rFonts w:ascii="Symbol" w:hAnsi="Symbol" w:hint="default"/>
      </w:rPr>
    </w:lvl>
    <w:lvl w:ilvl="5" w:tplc="A698C6E8" w:tentative="1">
      <w:start w:val="1"/>
      <w:numFmt w:val="bullet"/>
      <w:lvlText w:val=""/>
      <w:lvlJc w:val="left"/>
      <w:pPr>
        <w:tabs>
          <w:tab w:val="num" w:pos="3960"/>
        </w:tabs>
        <w:ind w:left="3960" w:hanging="360"/>
      </w:pPr>
      <w:rPr>
        <w:rFonts w:ascii="Symbol" w:hAnsi="Symbol" w:hint="default"/>
      </w:rPr>
    </w:lvl>
    <w:lvl w:ilvl="6" w:tplc="363605F8" w:tentative="1">
      <w:start w:val="1"/>
      <w:numFmt w:val="bullet"/>
      <w:lvlText w:val=""/>
      <w:lvlJc w:val="left"/>
      <w:pPr>
        <w:tabs>
          <w:tab w:val="num" w:pos="4680"/>
        </w:tabs>
        <w:ind w:left="4680" w:hanging="360"/>
      </w:pPr>
      <w:rPr>
        <w:rFonts w:ascii="Symbol" w:hAnsi="Symbol" w:hint="default"/>
      </w:rPr>
    </w:lvl>
    <w:lvl w:ilvl="7" w:tplc="46D491EC" w:tentative="1">
      <w:start w:val="1"/>
      <w:numFmt w:val="bullet"/>
      <w:lvlText w:val=""/>
      <w:lvlJc w:val="left"/>
      <w:pPr>
        <w:tabs>
          <w:tab w:val="num" w:pos="5400"/>
        </w:tabs>
        <w:ind w:left="5400" w:hanging="360"/>
      </w:pPr>
      <w:rPr>
        <w:rFonts w:ascii="Symbol" w:hAnsi="Symbol" w:hint="default"/>
      </w:rPr>
    </w:lvl>
    <w:lvl w:ilvl="8" w:tplc="7D5A660A" w:tentative="1">
      <w:start w:val="1"/>
      <w:numFmt w:val="bullet"/>
      <w:lvlText w:val=""/>
      <w:lvlJc w:val="left"/>
      <w:pPr>
        <w:tabs>
          <w:tab w:val="num" w:pos="6120"/>
        </w:tabs>
        <w:ind w:left="6120" w:hanging="360"/>
      </w:pPr>
      <w:rPr>
        <w:rFonts w:ascii="Symbol" w:hAnsi="Symbol" w:hint="default"/>
      </w:rPr>
    </w:lvl>
  </w:abstractNum>
  <w:abstractNum w:abstractNumId="9" w15:restartNumberingAfterBreak="0">
    <w:nsid w:val="1C5638BD"/>
    <w:multiLevelType w:val="hybridMultilevel"/>
    <w:tmpl w:val="C08405F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2509FF"/>
    <w:multiLevelType w:val="hybridMultilevel"/>
    <w:tmpl w:val="3DA2D52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844764"/>
    <w:multiLevelType w:val="hybridMultilevel"/>
    <w:tmpl w:val="128839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D91FD1"/>
    <w:multiLevelType w:val="hybridMultilevel"/>
    <w:tmpl w:val="340C2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7D187F"/>
    <w:multiLevelType w:val="hybridMultilevel"/>
    <w:tmpl w:val="0C84A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3241A9"/>
    <w:multiLevelType w:val="hybridMultilevel"/>
    <w:tmpl w:val="78C0D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E453CF"/>
    <w:multiLevelType w:val="hybridMultilevel"/>
    <w:tmpl w:val="4A1EC4FC"/>
    <w:lvl w:ilvl="0" w:tplc="DDB02E36">
      <w:start w:val="1"/>
      <w:numFmt w:val="decimal"/>
      <w:lvlText w:val="%1)"/>
      <w:lvlJc w:val="left"/>
      <w:pPr>
        <w:ind w:left="720" w:hanging="360"/>
      </w:pPr>
      <w:rPr>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E041643"/>
    <w:multiLevelType w:val="hybridMultilevel"/>
    <w:tmpl w:val="817E206A"/>
    <w:lvl w:ilvl="0" w:tplc="1CFA0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1900A7"/>
    <w:multiLevelType w:val="hybridMultilevel"/>
    <w:tmpl w:val="711C9CB4"/>
    <w:lvl w:ilvl="0" w:tplc="08090019">
      <w:start w:val="1"/>
      <w:numFmt w:val="lowerLetter"/>
      <w:lvlText w:val="%1."/>
      <w:lvlJc w:val="left"/>
      <w:pPr>
        <w:ind w:left="2844" w:hanging="360"/>
      </w:pPr>
    </w:lvl>
    <w:lvl w:ilvl="1" w:tplc="08090019" w:tentative="1">
      <w:start w:val="1"/>
      <w:numFmt w:val="lowerLetter"/>
      <w:lvlText w:val="%2."/>
      <w:lvlJc w:val="left"/>
      <w:pPr>
        <w:ind w:left="3564" w:hanging="360"/>
      </w:pPr>
    </w:lvl>
    <w:lvl w:ilvl="2" w:tplc="0809001B" w:tentative="1">
      <w:start w:val="1"/>
      <w:numFmt w:val="lowerRoman"/>
      <w:lvlText w:val="%3."/>
      <w:lvlJc w:val="right"/>
      <w:pPr>
        <w:ind w:left="4284" w:hanging="180"/>
      </w:pPr>
    </w:lvl>
    <w:lvl w:ilvl="3" w:tplc="0809000F" w:tentative="1">
      <w:start w:val="1"/>
      <w:numFmt w:val="decimal"/>
      <w:lvlText w:val="%4."/>
      <w:lvlJc w:val="left"/>
      <w:pPr>
        <w:ind w:left="5004" w:hanging="360"/>
      </w:pPr>
    </w:lvl>
    <w:lvl w:ilvl="4" w:tplc="08090019" w:tentative="1">
      <w:start w:val="1"/>
      <w:numFmt w:val="lowerLetter"/>
      <w:lvlText w:val="%5."/>
      <w:lvlJc w:val="left"/>
      <w:pPr>
        <w:ind w:left="5724" w:hanging="360"/>
      </w:pPr>
    </w:lvl>
    <w:lvl w:ilvl="5" w:tplc="0809001B" w:tentative="1">
      <w:start w:val="1"/>
      <w:numFmt w:val="lowerRoman"/>
      <w:lvlText w:val="%6."/>
      <w:lvlJc w:val="right"/>
      <w:pPr>
        <w:ind w:left="6444" w:hanging="180"/>
      </w:pPr>
    </w:lvl>
    <w:lvl w:ilvl="6" w:tplc="0809000F" w:tentative="1">
      <w:start w:val="1"/>
      <w:numFmt w:val="decimal"/>
      <w:lvlText w:val="%7."/>
      <w:lvlJc w:val="left"/>
      <w:pPr>
        <w:ind w:left="7164" w:hanging="360"/>
      </w:pPr>
    </w:lvl>
    <w:lvl w:ilvl="7" w:tplc="08090019" w:tentative="1">
      <w:start w:val="1"/>
      <w:numFmt w:val="lowerLetter"/>
      <w:lvlText w:val="%8."/>
      <w:lvlJc w:val="left"/>
      <w:pPr>
        <w:ind w:left="7884" w:hanging="360"/>
      </w:pPr>
    </w:lvl>
    <w:lvl w:ilvl="8" w:tplc="0809001B" w:tentative="1">
      <w:start w:val="1"/>
      <w:numFmt w:val="lowerRoman"/>
      <w:lvlText w:val="%9."/>
      <w:lvlJc w:val="right"/>
      <w:pPr>
        <w:ind w:left="8604" w:hanging="180"/>
      </w:pPr>
    </w:lvl>
  </w:abstractNum>
  <w:abstractNum w:abstractNumId="19" w15:restartNumberingAfterBreak="0">
    <w:nsid w:val="3B707470"/>
    <w:multiLevelType w:val="hybridMultilevel"/>
    <w:tmpl w:val="8E283250"/>
    <w:lvl w:ilvl="0" w:tplc="1CFA0F72">
      <w:numFmt w:val="bullet"/>
      <w:lvlText w:val="-"/>
      <w:lvlJc w:val="left"/>
      <w:pPr>
        <w:ind w:left="720" w:hanging="360"/>
      </w:pPr>
      <w:rPr>
        <w:rFonts w:ascii="Arial" w:eastAsia="Times New Roman" w:hAnsi="Arial" w:cs="Arial" w:hint="default"/>
      </w:rPr>
    </w:lvl>
    <w:lvl w:ilvl="1" w:tplc="912E162E">
      <w:start w:val="238"/>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2637D0"/>
    <w:multiLevelType w:val="hybridMultilevel"/>
    <w:tmpl w:val="C206DD9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tentative="1">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2" w15:restartNumberingAfterBreak="0">
    <w:nsid w:val="4ACB1714"/>
    <w:multiLevelType w:val="hybridMultilevel"/>
    <w:tmpl w:val="0FCA1968"/>
    <w:lvl w:ilvl="0" w:tplc="1CFA0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E458C3"/>
    <w:multiLevelType w:val="hybridMultilevel"/>
    <w:tmpl w:val="FFFFFFFF"/>
    <w:lvl w:ilvl="0" w:tplc="F4F26D8A">
      <w:start w:val="1"/>
      <w:numFmt w:val="bullet"/>
      <w:lvlText w:val=""/>
      <w:lvlJc w:val="left"/>
      <w:pPr>
        <w:ind w:left="720" w:hanging="360"/>
      </w:pPr>
      <w:rPr>
        <w:rFonts w:ascii="Symbol" w:hAnsi="Symbol" w:hint="default"/>
      </w:rPr>
    </w:lvl>
    <w:lvl w:ilvl="1" w:tplc="D010895E">
      <w:start w:val="1"/>
      <w:numFmt w:val="bullet"/>
      <w:lvlText w:val="o"/>
      <w:lvlJc w:val="left"/>
      <w:pPr>
        <w:ind w:left="1440" w:hanging="360"/>
      </w:pPr>
      <w:rPr>
        <w:rFonts w:ascii="Courier New" w:hAnsi="Courier New" w:hint="default"/>
      </w:rPr>
    </w:lvl>
    <w:lvl w:ilvl="2" w:tplc="5E985492">
      <w:start w:val="1"/>
      <w:numFmt w:val="bullet"/>
      <w:lvlText w:val=""/>
      <w:lvlJc w:val="left"/>
      <w:pPr>
        <w:ind w:left="2160" w:hanging="360"/>
      </w:pPr>
      <w:rPr>
        <w:rFonts w:ascii="Wingdings" w:hAnsi="Wingdings" w:hint="default"/>
      </w:rPr>
    </w:lvl>
    <w:lvl w:ilvl="3" w:tplc="B9EC1ED4">
      <w:start w:val="1"/>
      <w:numFmt w:val="bullet"/>
      <w:lvlText w:val=""/>
      <w:lvlJc w:val="left"/>
      <w:pPr>
        <w:ind w:left="2880" w:hanging="360"/>
      </w:pPr>
      <w:rPr>
        <w:rFonts w:ascii="Symbol" w:hAnsi="Symbol" w:hint="default"/>
      </w:rPr>
    </w:lvl>
    <w:lvl w:ilvl="4" w:tplc="F4D08D02">
      <w:start w:val="1"/>
      <w:numFmt w:val="bullet"/>
      <w:lvlText w:val="o"/>
      <w:lvlJc w:val="left"/>
      <w:pPr>
        <w:ind w:left="3600" w:hanging="360"/>
      </w:pPr>
      <w:rPr>
        <w:rFonts w:ascii="Courier New" w:hAnsi="Courier New" w:hint="default"/>
      </w:rPr>
    </w:lvl>
    <w:lvl w:ilvl="5" w:tplc="0EFC5A64">
      <w:start w:val="1"/>
      <w:numFmt w:val="bullet"/>
      <w:lvlText w:val=""/>
      <w:lvlJc w:val="left"/>
      <w:pPr>
        <w:ind w:left="4320" w:hanging="360"/>
      </w:pPr>
      <w:rPr>
        <w:rFonts w:ascii="Wingdings" w:hAnsi="Wingdings" w:hint="default"/>
      </w:rPr>
    </w:lvl>
    <w:lvl w:ilvl="6" w:tplc="2C563D78">
      <w:start w:val="1"/>
      <w:numFmt w:val="bullet"/>
      <w:lvlText w:val=""/>
      <w:lvlJc w:val="left"/>
      <w:pPr>
        <w:ind w:left="5040" w:hanging="360"/>
      </w:pPr>
      <w:rPr>
        <w:rFonts w:ascii="Symbol" w:hAnsi="Symbol" w:hint="default"/>
      </w:rPr>
    </w:lvl>
    <w:lvl w:ilvl="7" w:tplc="9FAE6A36">
      <w:start w:val="1"/>
      <w:numFmt w:val="bullet"/>
      <w:lvlText w:val="o"/>
      <w:lvlJc w:val="left"/>
      <w:pPr>
        <w:ind w:left="5760" w:hanging="360"/>
      </w:pPr>
      <w:rPr>
        <w:rFonts w:ascii="Courier New" w:hAnsi="Courier New" w:hint="default"/>
      </w:rPr>
    </w:lvl>
    <w:lvl w:ilvl="8" w:tplc="198206C8">
      <w:start w:val="1"/>
      <w:numFmt w:val="bullet"/>
      <w:lvlText w:val=""/>
      <w:lvlJc w:val="left"/>
      <w:pPr>
        <w:ind w:left="6480" w:hanging="360"/>
      </w:pPr>
      <w:rPr>
        <w:rFonts w:ascii="Wingdings" w:hAnsi="Wingdings" w:hint="default"/>
      </w:rPr>
    </w:lvl>
  </w:abstractNum>
  <w:abstractNum w:abstractNumId="24" w15:restartNumberingAfterBreak="0">
    <w:nsid w:val="4D365C98"/>
    <w:multiLevelType w:val="hybridMultilevel"/>
    <w:tmpl w:val="E58AA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C547EF"/>
    <w:multiLevelType w:val="hybridMultilevel"/>
    <w:tmpl w:val="C47A1508"/>
    <w:lvl w:ilvl="0" w:tplc="3006C568">
      <w:start w:val="1"/>
      <w:numFmt w:val="bullet"/>
      <w:lvlText w:val="o"/>
      <w:lvlJc w:val="left"/>
      <w:pPr>
        <w:tabs>
          <w:tab w:val="num" w:pos="720"/>
        </w:tabs>
        <w:ind w:left="720" w:hanging="360"/>
      </w:pPr>
      <w:rPr>
        <w:rFonts w:ascii="Courier New" w:hAnsi="Courier New" w:hint="default"/>
      </w:rPr>
    </w:lvl>
    <w:lvl w:ilvl="1" w:tplc="E3DC0C7E">
      <w:start w:val="1"/>
      <w:numFmt w:val="bullet"/>
      <w:lvlText w:val="o"/>
      <w:lvlJc w:val="left"/>
      <w:pPr>
        <w:tabs>
          <w:tab w:val="num" w:pos="1440"/>
        </w:tabs>
        <w:ind w:left="1440" w:hanging="360"/>
      </w:pPr>
      <w:rPr>
        <w:rFonts w:ascii="Courier New" w:hAnsi="Courier New" w:hint="default"/>
      </w:rPr>
    </w:lvl>
    <w:lvl w:ilvl="2" w:tplc="7E8C5A00" w:tentative="1">
      <w:start w:val="1"/>
      <w:numFmt w:val="bullet"/>
      <w:lvlText w:val="o"/>
      <w:lvlJc w:val="left"/>
      <w:pPr>
        <w:tabs>
          <w:tab w:val="num" w:pos="2160"/>
        </w:tabs>
        <w:ind w:left="2160" w:hanging="360"/>
      </w:pPr>
      <w:rPr>
        <w:rFonts w:ascii="Courier New" w:hAnsi="Courier New" w:hint="default"/>
      </w:rPr>
    </w:lvl>
    <w:lvl w:ilvl="3" w:tplc="42447548" w:tentative="1">
      <w:start w:val="1"/>
      <w:numFmt w:val="bullet"/>
      <w:lvlText w:val="o"/>
      <w:lvlJc w:val="left"/>
      <w:pPr>
        <w:tabs>
          <w:tab w:val="num" w:pos="2880"/>
        </w:tabs>
        <w:ind w:left="2880" w:hanging="360"/>
      </w:pPr>
      <w:rPr>
        <w:rFonts w:ascii="Courier New" w:hAnsi="Courier New" w:hint="default"/>
      </w:rPr>
    </w:lvl>
    <w:lvl w:ilvl="4" w:tplc="B6348F3A" w:tentative="1">
      <w:start w:val="1"/>
      <w:numFmt w:val="bullet"/>
      <w:lvlText w:val="o"/>
      <w:lvlJc w:val="left"/>
      <w:pPr>
        <w:tabs>
          <w:tab w:val="num" w:pos="3600"/>
        </w:tabs>
        <w:ind w:left="3600" w:hanging="360"/>
      </w:pPr>
      <w:rPr>
        <w:rFonts w:ascii="Courier New" w:hAnsi="Courier New" w:hint="default"/>
      </w:rPr>
    </w:lvl>
    <w:lvl w:ilvl="5" w:tplc="2840953A" w:tentative="1">
      <w:start w:val="1"/>
      <w:numFmt w:val="bullet"/>
      <w:lvlText w:val="o"/>
      <w:lvlJc w:val="left"/>
      <w:pPr>
        <w:tabs>
          <w:tab w:val="num" w:pos="4320"/>
        </w:tabs>
        <w:ind w:left="4320" w:hanging="360"/>
      </w:pPr>
      <w:rPr>
        <w:rFonts w:ascii="Courier New" w:hAnsi="Courier New" w:hint="default"/>
      </w:rPr>
    </w:lvl>
    <w:lvl w:ilvl="6" w:tplc="6E1A5AFA" w:tentative="1">
      <w:start w:val="1"/>
      <w:numFmt w:val="bullet"/>
      <w:lvlText w:val="o"/>
      <w:lvlJc w:val="left"/>
      <w:pPr>
        <w:tabs>
          <w:tab w:val="num" w:pos="5040"/>
        </w:tabs>
        <w:ind w:left="5040" w:hanging="360"/>
      </w:pPr>
      <w:rPr>
        <w:rFonts w:ascii="Courier New" w:hAnsi="Courier New" w:hint="default"/>
      </w:rPr>
    </w:lvl>
    <w:lvl w:ilvl="7" w:tplc="7D9C6C84" w:tentative="1">
      <w:start w:val="1"/>
      <w:numFmt w:val="bullet"/>
      <w:lvlText w:val="o"/>
      <w:lvlJc w:val="left"/>
      <w:pPr>
        <w:tabs>
          <w:tab w:val="num" w:pos="5760"/>
        </w:tabs>
        <w:ind w:left="5760" w:hanging="360"/>
      </w:pPr>
      <w:rPr>
        <w:rFonts w:ascii="Courier New" w:hAnsi="Courier New" w:hint="default"/>
      </w:rPr>
    </w:lvl>
    <w:lvl w:ilvl="8" w:tplc="704A545C"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50825618"/>
    <w:multiLevelType w:val="hybridMultilevel"/>
    <w:tmpl w:val="849CC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9357C3"/>
    <w:multiLevelType w:val="hybridMultilevel"/>
    <w:tmpl w:val="35E85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E37B0A"/>
    <w:multiLevelType w:val="hybridMultilevel"/>
    <w:tmpl w:val="E4AC58AE"/>
    <w:lvl w:ilvl="0" w:tplc="08090001">
      <w:start w:val="1"/>
      <w:numFmt w:val="bullet"/>
      <w:lvlText w:val=""/>
      <w:lvlJc w:val="left"/>
      <w:pPr>
        <w:tabs>
          <w:tab w:val="num" w:pos="720"/>
        </w:tabs>
        <w:ind w:left="720" w:hanging="360"/>
      </w:pPr>
      <w:rPr>
        <w:rFonts w:ascii="Symbol" w:hAnsi="Symbol" w:hint="default"/>
      </w:rPr>
    </w:lvl>
    <w:lvl w:ilvl="1" w:tplc="80A223B8">
      <w:start w:val="1"/>
      <w:numFmt w:val="bullet"/>
      <w:lvlText w:val="o"/>
      <w:lvlJc w:val="left"/>
      <w:pPr>
        <w:tabs>
          <w:tab w:val="num" w:pos="1440"/>
        </w:tabs>
        <w:ind w:left="1440" w:hanging="360"/>
      </w:pPr>
      <w:rPr>
        <w:rFonts w:ascii="Courier New" w:hAnsi="Courier New" w:hint="default"/>
      </w:rPr>
    </w:lvl>
    <w:lvl w:ilvl="2" w:tplc="AD1EC44E" w:tentative="1">
      <w:start w:val="1"/>
      <w:numFmt w:val="bullet"/>
      <w:lvlText w:val="o"/>
      <w:lvlJc w:val="left"/>
      <w:pPr>
        <w:tabs>
          <w:tab w:val="num" w:pos="2160"/>
        </w:tabs>
        <w:ind w:left="2160" w:hanging="360"/>
      </w:pPr>
      <w:rPr>
        <w:rFonts w:ascii="Courier New" w:hAnsi="Courier New" w:hint="default"/>
      </w:rPr>
    </w:lvl>
    <w:lvl w:ilvl="3" w:tplc="58AC46A0" w:tentative="1">
      <w:start w:val="1"/>
      <w:numFmt w:val="bullet"/>
      <w:lvlText w:val="o"/>
      <w:lvlJc w:val="left"/>
      <w:pPr>
        <w:tabs>
          <w:tab w:val="num" w:pos="2880"/>
        </w:tabs>
        <w:ind w:left="2880" w:hanging="360"/>
      </w:pPr>
      <w:rPr>
        <w:rFonts w:ascii="Courier New" w:hAnsi="Courier New" w:hint="default"/>
      </w:rPr>
    </w:lvl>
    <w:lvl w:ilvl="4" w:tplc="BA1EAB62" w:tentative="1">
      <w:start w:val="1"/>
      <w:numFmt w:val="bullet"/>
      <w:lvlText w:val="o"/>
      <w:lvlJc w:val="left"/>
      <w:pPr>
        <w:tabs>
          <w:tab w:val="num" w:pos="3600"/>
        </w:tabs>
        <w:ind w:left="3600" w:hanging="360"/>
      </w:pPr>
      <w:rPr>
        <w:rFonts w:ascii="Courier New" w:hAnsi="Courier New" w:hint="default"/>
      </w:rPr>
    </w:lvl>
    <w:lvl w:ilvl="5" w:tplc="5EF2EE2E" w:tentative="1">
      <w:start w:val="1"/>
      <w:numFmt w:val="bullet"/>
      <w:lvlText w:val="o"/>
      <w:lvlJc w:val="left"/>
      <w:pPr>
        <w:tabs>
          <w:tab w:val="num" w:pos="4320"/>
        </w:tabs>
        <w:ind w:left="4320" w:hanging="360"/>
      </w:pPr>
      <w:rPr>
        <w:rFonts w:ascii="Courier New" w:hAnsi="Courier New" w:hint="default"/>
      </w:rPr>
    </w:lvl>
    <w:lvl w:ilvl="6" w:tplc="F148F58C" w:tentative="1">
      <w:start w:val="1"/>
      <w:numFmt w:val="bullet"/>
      <w:lvlText w:val="o"/>
      <w:lvlJc w:val="left"/>
      <w:pPr>
        <w:tabs>
          <w:tab w:val="num" w:pos="5040"/>
        </w:tabs>
        <w:ind w:left="5040" w:hanging="360"/>
      </w:pPr>
      <w:rPr>
        <w:rFonts w:ascii="Courier New" w:hAnsi="Courier New" w:hint="default"/>
      </w:rPr>
    </w:lvl>
    <w:lvl w:ilvl="7" w:tplc="BC36F520" w:tentative="1">
      <w:start w:val="1"/>
      <w:numFmt w:val="bullet"/>
      <w:lvlText w:val="o"/>
      <w:lvlJc w:val="left"/>
      <w:pPr>
        <w:tabs>
          <w:tab w:val="num" w:pos="5760"/>
        </w:tabs>
        <w:ind w:left="5760" w:hanging="360"/>
      </w:pPr>
      <w:rPr>
        <w:rFonts w:ascii="Courier New" w:hAnsi="Courier New" w:hint="default"/>
      </w:rPr>
    </w:lvl>
    <w:lvl w:ilvl="8" w:tplc="902A3402"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596E2676"/>
    <w:multiLevelType w:val="hybridMultilevel"/>
    <w:tmpl w:val="B35A3008"/>
    <w:lvl w:ilvl="0" w:tplc="08090011">
      <w:start w:val="1"/>
      <w:numFmt w:val="decimal"/>
      <w:lvlText w:val="%1)"/>
      <w:lvlJc w:val="left"/>
      <w:pPr>
        <w:ind w:left="720" w:hanging="360"/>
      </w:pPr>
      <w:rPr>
        <w:rFonts w:hint="default"/>
      </w:rPr>
    </w:lvl>
    <w:lvl w:ilvl="1" w:tplc="A82AFA44">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CC35EEF"/>
    <w:multiLevelType w:val="hybridMultilevel"/>
    <w:tmpl w:val="07EE7732"/>
    <w:lvl w:ilvl="0" w:tplc="08090001">
      <w:start w:val="1"/>
      <w:numFmt w:val="bullet"/>
      <w:lvlText w:val=""/>
      <w:lvlJc w:val="left"/>
      <w:pPr>
        <w:tabs>
          <w:tab w:val="num" w:pos="720"/>
        </w:tabs>
        <w:ind w:left="720" w:hanging="360"/>
      </w:pPr>
      <w:rPr>
        <w:rFonts w:ascii="Symbol" w:hAnsi="Symbol" w:hint="default"/>
      </w:rPr>
    </w:lvl>
    <w:lvl w:ilvl="1" w:tplc="7D56A95A">
      <w:start w:val="1"/>
      <w:numFmt w:val="bullet"/>
      <w:lvlText w:val="o"/>
      <w:lvlJc w:val="left"/>
      <w:pPr>
        <w:tabs>
          <w:tab w:val="num" w:pos="1440"/>
        </w:tabs>
        <w:ind w:left="1440" w:hanging="360"/>
      </w:pPr>
      <w:rPr>
        <w:rFonts w:ascii="Courier New" w:hAnsi="Courier New" w:hint="default"/>
      </w:rPr>
    </w:lvl>
    <w:lvl w:ilvl="2" w:tplc="55089DAE" w:tentative="1">
      <w:start w:val="1"/>
      <w:numFmt w:val="bullet"/>
      <w:lvlText w:val="o"/>
      <w:lvlJc w:val="left"/>
      <w:pPr>
        <w:tabs>
          <w:tab w:val="num" w:pos="2160"/>
        </w:tabs>
        <w:ind w:left="2160" w:hanging="360"/>
      </w:pPr>
      <w:rPr>
        <w:rFonts w:ascii="Courier New" w:hAnsi="Courier New" w:hint="default"/>
      </w:rPr>
    </w:lvl>
    <w:lvl w:ilvl="3" w:tplc="8C2C1598" w:tentative="1">
      <w:start w:val="1"/>
      <w:numFmt w:val="bullet"/>
      <w:lvlText w:val="o"/>
      <w:lvlJc w:val="left"/>
      <w:pPr>
        <w:tabs>
          <w:tab w:val="num" w:pos="2880"/>
        </w:tabs>
        <w:ind w:left="2880" w:hanging="360"/>
      </w:pPr>
      <w:rPr>
        <w:rFonts w:ascii="Courier New" w:hAnsi="Courier New" w:hint="default"/>
      </w:rPr>
    </w:lvl>
    <w:lvl w:ilvl="4" w:tplc="CC323C60" w:tentative="1">
      <w:start w:val="1"/>
      <w:numFmt w:val="bullet"/>
      <w:lvlText w:val="o"/>
      <w:lvlJc w:val="left"/>
      <w:pPr>
        <w:tabs>
          <w:tab w:val="num" w:pos="3600"/>
        </w:tabs>
        <w:ind w:left="3600" w:hanging="360"/>
      </w:pPr>
      <w:rPr>
        <w:rFonts w:ascii="Courier New" w:hAnsi="Courier New" w:hint="default"/>
      </w:rPr>
    </w:lvl>
    <w:lvl w:ilvl="5" w:tplc="B28E9E2A" w:tentative="1">
      <w:start w:val="1"/>
      <w:numFmt w:val="bullet"/>
      <w:lvlText w:val="o"/>
      <w:lvlJc w:val="left"/>
      <w:pPr>
        <w:tabs>
          <w:tab w:val="num" w:pos="4320"/>
        </w:tabs>
        <w:ind w:left="4320" w:hanging="360"/>
      </w:pPr>
      <w:rPr>
        <w:rFonts w:ascii="Courier New" w:hAnsi="Courier New" w:hint="default"/>
      </w:rPr>
    </w:lvl>
    <w:lvl w:ilvl="6" w:tplc="55C28298" w:tentative="1">
      <w:start w:val="1"/>
      <w:numFmt w:val="bullet"/>
      <w:lvlText w:val="o"/>
      <w:lvlJc w:val="left"/>
      <w:pPr>
        <w:tabs>
          <w:tab w:val="num" w:pos="5040"/>
        </w:tabs>
        <w:ind w:left="5040" w:hanging="360"/>
      </w:pPr>
      <w:rPr>
        <w:rFonts w:ascii="Courier New" w:hAnsi="Courier New" w:hint="default"/>
      </w:rPr>
    </w:lvl>
    <w:lvl w:ilvl="7" w:tplc="7FDA76A4" w:tentative="1">
      <w:start w:val="1"/>
      <w:numFmt w:val="bullet"/>
      <w:lvlText w:val="o"/>
      <w:lvlJc w:val="left"/>
      <w:pPr>
        <w:tabs>
          <w:tab w:val="num" w:pos="5760"/>
        </w:tabs>
        <w:ind w:left="5760" w:hanging="360"/>
      </w:pPr>
      <w:rPr>
        <w:rFonts w:ascii="Courier New" w:hAnsi="Courier New" w:hint="default"/>
      </w:rPr>
    </w:lvl>
    <w:lvl w:ilvl="8" w:tplc="F650FE9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5FCE36D4"/>
    <w:multiLevelType w:val="hybridMultilevel"/>
    <w:tmpl w:val="5314ADC8"/>
    <w:lvl w:ilvl="0" w:tplc="08090001">
      <w:start w:val="1"/>
      <w:numFmt w:val="bullet"/>
      <w:lvlText w:val=""/>
      <w:lvlJc w:val="left"/>
      <w:pPr>
        <w:tabs>
          <w:tab w:val="num" w:pos="720"/>
        </w:tabs>
        <w:ind w:left="720" w:hanging="360"/>
      </w:pPr>
      <w:rPr>
        <w:rFonts w:ascii="Symbol" w:hAnsi="Symbol" w:hint="default"/>
      </w:rPr>
    </w:lvl>
    <w:lvl w:ilvl="1" w:tplc="878A4F76">
      <w:start w:val="1"/>
      <w:numFmt w:val="bullet"/>
      <w:lvlText w:val="o"/>
      <w:lvlJc w:val="left"/>
      <w:pPr>
        <w:tabs>
          <w:tab w:val="num" w:pos="1440"/>
        </w:tabs>
        <w:ind w:left="1440" w:hanging="360"/>
      </w:pPr>
      <w:rPr>
        <w:rFonts w:ascii="Courier New" w:hAnsi="Courier New" w:hint="default"/>
      </w:rPr>
    </w:lvl>
    <w:lvl w:ilvl="2" w:tplc="DE3A1906" w:tentative="1">
      <w:start w:val="1"/>
      <w:numFmt w:val="bullet"/>
      <w:lvlText w:val="o"/>
      <w:lvlJc w:val="left"/>
      <w:pPr>
        <w:tabs>
          <w:tab w:val="num" w:pos="2160"/>
        </w:tabs>
        <w:ind w:left="2160" w:hanging="360"/>
      </w:pPr>
      <w:rPr>
        <w:rFonts w:ascii="Courier New" w:hAnsi="Courier New" w:hint="default"/>
      </w:rPr>
    </w:lvl>
    <w:lvl w:ilvl="3" w:tplc="5E9C1708" w:tentative="1">
      <w:start w:val="1"/>
      <w:numFmt w:val="bullet"/>
      <w:lvlText w:val="o"/>
      <w:lvlJc w:val="left"/>
      <w:pPr>
        <w:tabs>
          <w:tab w:val="num" w:pos="2880"/>
        </w:tabs>
        <w:ind w:left="2880" w:hanging="360"/>
      </w:pPr>
      <w:rPr>
        <w:rFonts w:ascii="Courier New" w:hAnsi="Courier New" w:hint="default"/>
      </w:rPr>
    </w:lvl>
    <w:lvl w:ilvl="4" w:tplc="05CCD92E" w:tentative="1">
      <w:start w:val="1"/>
      <w:numFmt w:val="bullet"/>
      <w:lvlText w:val="o"/>
      <w:lvlJc w:val="left"/>
      <w:pPr>
        <w:tabs>
          <w:tab w:val="num" w:pos="3600"/>
        </w:tabs>
        <w:ind w:left="3600" w:hanging="360"/>
      </w:pPr>
      <w:rPr>
        <w:rFonts w:ascii="Courier New" w:hAnsi="Courier New" w:hint="default"/>
      </w:rPr>
    </w:lvl>
    <w:lvl w:ilvl="5" w:tplc="7B388EA6" w:tentative="1">
      <w:start w:val="1"/>
      <w:numFmt w:val="bullet"/>
      <w:lvlText w:val="o"/>
      <w:lvlJc w:val="left"/>
      <w:pPr>
        <w:tabs>
          <w:tab w:val="num" w:pos="4320"/>
        </w:tabs>
        <w:ind w:left="4320" w:hanging="360"/>
      </w:pPr>
      <w:rPr>
        <w:rFonts w:ascii="Courier New" w:hAnsi="Courier New" w:hint="default"/>
      </w:rPr>
    </w:lvl>
    <w:lvl w:ilvl="6" w:tplc="1E5E5372" w:tentative="1">
      <w:start w:val="1"/>
      <w:numFmt w:val="bullet"/>
      <w:lvlText w:val="o"/>
      <w:lvlJc w:val="left"/>
      <w:pPr>
        <w:tabs>
          <w:tab w:val="num" w:pos="5040"/>
        </w:tabs>
        <w:ind w:left="5040" w:hanging="360"/>
      </w:pPr>
      <w:rPr>
        <w:rFonts w:ascii="Courier New" w:hAnsi="Courier New" w:hint="default"/>
      </w:rPr>
    </w:lvl>
    <w:lvl w:ilvl="7" w:tplc="A42EE7B0" w:tentative="1">
      <w:start w:val="1"/>
      <w:numFmt w:val="bullet"/>
      <w:lvlText w:val="o"/>
      <w:lvlJc w:val="left"/>
      <w:pPr>
        <w:tabs>
          <w:tab w:val="num" w:pos="5760"/>
        </w:tabs>
        <w:ind w:left="5760" w:hanging="360"/>
      </w:pPr>
      <w:rPr>
        <w:rFonts w:ascii="Courier New" w:hAnsi="Courier New" w:hint="default"/>
      </w:rPr>
    </w:lvl>
    <w:lvl w:ilvl="8" w:tplc="0B98490A"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624A0EB2"/>
    <w:multiLevelType w:val="hybridMultilevel"/>
    <w:tmpl w:val="EC5624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44E3E79"/>
    <w:multiLevelType w:val="hybridMultilevel"/>
    <w:tmpl w:val="D5CC9092"/>
    <w:lvl w:ilvl="0" w:tplc="1CFA0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4D783F"/>
    <w:multiLevelType w:val="hybridMultilevel"/>
    <w:tmpl w:val="B0B80A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6343B4"/>
    <w:multiLevelType w:val="hybridMultilevel"/>
    <w:tmpl w:val="5BF09160"/>
    <w:lvl w:ilvl="0" w:tplc="983EF6EA">
      <w:start w:val="1"/>
      <w:numFmt w:val="lowerLetter"/>
      <w:lvlText w:val="2%1)"/>
      <w:lvlJc w:val="left"/>
      <w:pPr>
        <w:ind w:left="720" w:hanging="360"/>
      </w:pPr>
      <w:rPr>
        <w:rFonts w:hint="default"/>
      </w:r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A124FB"/>
    <w:multiLevelType w:val="hybridMultilevel"/>
    <w:tmpl w:val="E4A4E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5E6883"/>
    <w:multiLevelType w:val="multilevel"/>
    <w:tmpl w:val="665E68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8071D20"/>
    <w:multiLevelType w:val="hybridMultilevel"/>
    <w:tmpl w:val="1A34C66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7F7716"/>
    <w:multiLevelType w:val="hybridMultilevel"/>
    <w:tmpl w:val="CDEEC92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FA543E"/>
    <w:multiLevelType w:val="hybridMultilevel"/>
    <w:tmpl w:val="0930B698"/>
    <w:lvl w:ilvl="0" w:tplc="08090011">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41" w15:restartNumberingAfterBreak="0">
    <w:nsid w:val="6E463F01"/>
    <w:multiLevelType w:val="hybridMultilevel"/>
    <w:tmpl w:val="3BEE7876"/>
    <w:lvl w:ilvl="0" w:tplc="08090001">
      <w:start w:val="1"/>
      <w:numFmt w:val="bullet"/>
      <w:lvlText w:val=""/>
      <w:lvlJc w:val="left"/>
      <w:pPr>
        <w:tabs>
          <w:tab w:val="num" w:pos="720"/>
        </w:tabs>
        <w:ind w:left="720" w:hanging="360"/>
      </w:pPr>
      <w:rPr>
        <w:rFonts w:ascii="Symbol" w:hAnsi="Symbol" w:hint="default"/>
      </w:rPr>
    </w:lvl>
    <w:lvl w:ilvl="1" w:tplc="5F7C925E">
      <w:start w:val="1"/>
      <w:numFmt w:val="bullet"/>
      <w:lvlText w:val="o"/>
      <w:lvlJc w:val="left"/>
      <w:pPr>
        <w:tabs>
          <w:tab w:val="num" w:pos="1440"/>
        </w:tabs>
        <w:ind w:left="1440" w:hanging="360"/>
      </w:pPr>
      <w:rPr>
        <w:rFonts w:ascii="Courier New" w:hAnsi="Courier New" w:hint="default"/>
      </w:rPr>
    </w:lvl>
    <w:lvl w:ilvl="2" w:tplc="BB486800" w:tentative="1">
      <w:start w:val="1"/>
      <w:numFmt w:val="bullet"/>
      <w:lvlText w:val="o"/>
      <w:lvlJc w:val="left"/>
      <w:pPr>
        <w:tabs>
          <w:tab w:val="num" w:pos="2160"/>
        </w:tabs>
        <w:ind w:left="2160" w:hanging="360"/>
      </w:pPr>
      <w:rPr>
        <w:rFonts w:ascii="Courier New" w:hAnsi="Courier New" w:hint="default"/>
      </w:rPr>
    </w:lvl>
    <w:lvl w:ilvl="3" w:tplc="509603B2" w:tentative="1">
      <w:start w:val="1"/>
      <w:numFmt w:val="bullet"/>
      <w:lvlText w:val="o"/>
      <w:lvlJc w:val="left"/>
      <w:pPr>
        <w:tabs>
          <w:tab w:val="num" w:pos="2880"/>
        </w:tabs>
        <w:ind w:left="2880" w:hanging="360"/>
      </w:pPr>
      <w:rPr>
        <w:rFonts w:ascii="Courier New" w:hAnsi="Courier New" w:hint="default"/>
      </w:rPr>
    </w:lvl>
    <w:lvl w:ilvl="4" w:tplc="23909294" w:tentative="1">
      <w:start w:val="1"/>
      <w:numFmt w:val="bullet"/>
      <w:lvlText w:val="o"/>
      <w:lvlJc w:val="left"/>
      <w:pPr>
        <w:tabs>
          <w:tab w:val="num" w:pos="3600"/>
        </w:tabs>
        <w:ind w:left="3600" w:hanging="360"/>
      </w:pPr>
      <w:rPr>
        <w:rFonts w:ascii="Courier New" w:hAnsi="Courier New" w:hint="default"/>
      </w:rPr>
    </w:lvl>
    <w:lvl w:ilvl="5" w:tplc="D966AC24" w:tentative="1">
      <w:start w:val="1"/>
      <w:numFmt w:val="bullet"/>
      <w:lvlText w:val="o"/>
      <w:lvlJc w:val="left"/>
      <w:pPr>
        <w:tabs>
          <w:tab w:val="num" w:pos="4320"/>
        </w:tabs>
        <w:ind w:left="4320" w:hanging="360"/>
      </w:pPr>
      <w:rPr>
        <w:rFonts w:ascii="Courier New" w:hAnsi="Courier New" w:hint="default"/>
      </w:rPr>
    </w:lvl>
    <w:lvl w:ilvl="6" w:tplc="96723062" w:tentative="1">
      <w:start w:val="1"/>
      <w:numFmt w:val="bullet"/>
      <w:lvlText w:val="o"/>
      <w:lvlJc w:val="left"/>
      <w:pPr>
        <w:tabs>
          <w:tab w:val="num" w:pos="5040"/>
        </w:tabs>
        <w:ind w:left="5040" w:hanging="360"/>
      </w:pPr>
      <w:rPr>
        <w:rFonts w:ascii="Courier New" w:hAnsi="Courier New" w:hint="default"/>
      </w:rPr>
    </w:lvl>
    <w:lvl w:ilvl="7" w:tplc="A8F0A360" w:tentative="1">
      <w:start w:val="1"/>
      <w:numFmt w:val="bullet"/>
      <w:lvlText w:val="o"/>
      <w:lvlJc w:val="left"/>
      <w:pPr>
        <w:tabs>
          <w:tab w:val="num" w:pos="5760"/>
        </w:tabs>
        <w:ind w:left="5760" w:hanging="360"/>
      </w:pPr>
      <w:rPr>
        <w:rFonts w:ascii="Courier New" w:hAnsi="Courier New" w:hint="default"/>
      </w:rPr>
    </w:lvl>
    <w:lvl w:ilvl="8" w:tplc="3A0422F2" w:tentative="1">
      <w:start w:val="1"/>
      <w:numFmt w:val="bullet"/>
      <w:lvlText w:val="o"/>
      <w:lvlJc w:val="left"/>
      <w:pPr>
        <w:tabs>
          <w:tab w:val="num" w:pos="6480"/>
        </w:tabs>
        <w:ind w:left="6480" w:hanging="360"/>
      </w:pPr>
      <w:rPr>
        <w:rFonts w:ascii="Courier New" w:hAnsi="Courier New" w:hint="default"/>
      </w:rPr>
    </w:lvl>
  </w:abstractNum>
  <w:abstractNum w:abstractNumId="42" w15:restartNumberingAfterBreak="0">
    <w:nsid w:val="706F2E3F"/>
    <w:multiLevelType w:val="hybridMultilevel"/>
    <w:tmpl w:val="AB0C7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822931"/>
    <w:multiLevelType w:val="hybridMultilevel"/>
    <w:tmpl w:val="CE68F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933A4D"/>
    <w:multiLevelType w:val="hybridMultilevel"/>
    <w:tmpl w:val="1A34C66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862235C"/>
    <w:multiLevelType w:val="hybridMultilevel"/>
    <w:tmpl w:val="66925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8B400B"/>
    <w:multiLevelType w:val="hybridMultilevel"/>
    <w:tmpl w:val="C73E16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B040AB1"/>
    <w:multiLevelType w:val="hybridMultilevel"/>
    <w:tmpl w:val="C4684FAC"/>
    <w:lvl w:ilvl="0" w:tplc="1CFA0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29"/>
  </w:num>
  <w:num w:numId="3">
    <w:abstractNumId w:val="35"/>
  </w:num>
  <w:num w:numId="4">
    <w:abstractNumId w:val="20"/>
  </w:num>
  <w:num w:numId="5">
    <w:abstractNumId w:val="10"/>
  </w:num>
  <w:num w:numId="6">
    <w:abstractNumId w:val="47"/>
  </w:num>
  <w:num w:numId="7">
    <w:abstractNumId w:val="5"/>
  </w:num>
  <w:num w:numId="8">
    <w:abstractNumId w:val="22"/>
  </w:num>
  <w:num w:numId="9">
    <w:abstractNumId w:val="33"/>
  </w:num>
  <w:num w:numId="10">
    <w:abstractNumId w:val="3"/>
  </w:num>
  <w:num w:numId="11">
    <w:abstractNumId w:val="17"/>
  </w:num>
  <w:num w:numId="12">
    <w:abstractNumId w:val="8"/>
  </w:num>
  <w:num w:numId="13">
    <w:abstractNumId w:val="19"/>
  </w:num>
  <w:num w:numId="14">
    <w:abstractNumId w:val="6"/>
  </w:num>
  <w:num w:numId="15">
    <w:abstractNumId w:val="31"/>
  </w:num>
  <w:num w:numId="16">
    <w:abstractNumId w:val="26"/>
  </w:num>
  <w:num w:numId="17">
    <w:abstractNumId w:val="46"/>
  </w:num>
  <w:num w:numId="18">
    <w:abstractNumId w:val="24"/>
  </w:num>
  <w:num w:numId="19">
    <w:abstractNumId w:val="28"/>
  </w:num>
  <w:num w:numId="20">
    <w:abstractNumId w:val="2"/>
  </w:num>
  <w:num w:numId="21">
    <w:abstractNumId w:val="25"/>
  </w:num>
  <w:num w:numId="22">
    <w:abstractNumId w:val="14"/>
  </w:num>
  <w:num w:numId="23">
    <w:abstractNumId w:val="13"/>
  </w:num>
  <w:num w:numId="24">
    <w:abstractNumId w:val="30"/>
  </w:num>
  <w:num w:numId="25">
    <w:abstractNumId w:val="7"/>
  </w:num>
  <w:num w:numId="26">
    <w:abstractNumId w:val="41"/>
  </w:num>
  <w:num w:numId="27">
    <w:abstractNumId w:val="27"/>
  </w:num>
  <w:num w:numId="28">
    <w:abstractNumId w:val="32"/>
  </w:num>
  <w:num w:numId="29">
    <w:abstractNumId w:val="11"/>
  </w:num>
  <w:num w:numId="30">
    <w:abstractNumId w:val="1"/>
  </w:num>
  <w:num w:numId="31">
    <w:abstractNumId w:val="4"/>
  </w:num>
  <w:num w:numId="32">
    <w:abstractNumId w:val="16"/>
  </w:num>
  <w:num w:numId="33">
    <w:abstractNumId w:val="34"/>
  </w:num>
  <w:num w:numId="34">
    <w:abstractNumId w:val="18"/>
  </w:num>
  <w:num w:numId="35">
    <w:abstractNumId w:val="37"/>
  </w:num>
  <w:num w:numId="36">
    <w:abstractNumId w:val="36"/>
  </w:num>
  <w:num w:numId="37">
    <w:abstractNumId w:val="45"/>
  </w:num>
  <w:num w:numId="38">
    <w:abstractNumId w:val="43"/>
  </w:num>
  <w:num w:numId="39">
    <w:abstractNumId w:val="42"/>
  </w:num>
  <w:num w:numId="40">
    <w:abstractNumId w:val="0"/>
  </w:num>
  <w:num w:numId="41">
    <w:abstractNumId w:val="39"/>
  </w:num>
  <w:num w:numId="42">
    <w:abstractNumId w:val="9"/>
  </w:num>
  <w:num w:numId="43">
    <w:abstractNumId w:val="40"/>
  </w:num>
  <w:num w:numId="44">
    <w:abstractNumId w:val="12"/>
  </w:num>
  <w:num w:numId="45">
    <w:abstractNumId w:val="23"/>
  </w:num>
  <w:num w:numId="46">
    <w:abstractNumId w:val="38"/>
  </w:num>
  <w:num w:numId="47">
    <w:abstractNumId w:val="15"/>
  </w:num>
  <w:num w:numId="48">
    <w:abstractNumId w:val="4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2058"/>
    <w:rsid w:val="0000288E"/>
    <w:rsid w:val="000035D2"/>
    <w:rsid w:val="00004288"/>
    <w:rsid w:val="0000492A"/>
    <w:rsid w:val="000056C0"/>
    <w:rsid w:val="000058BB"/>
    <w:rsid w:val="00005C69"/>
    <w:rsid w:val="0000663F"/>
    <w:rsid w:val="00010386"/>
    <w:rsid w:val="00011771"/>
    <w:rsid w:val="00011BB9"/>
    <w:rsid w:val="000156F9"/>
    <w:rsid w:val="0002094A"/>
    <w:rsid w:val="00021C0A"/>
    <w:rsid w:val="00024E5D"/>
    <w:rsid w:val="00026B84"/>
    <w:rsid w:val="0002799C"/>
    <w:rsid w:val="000343C7"/>
    <w:rsid w:val="000348CE"/>
    <w:rsid w:val="00034F76"/>
    <w:rsid w:val="00036C23"/>
    <w:rsid w:val="000378A2"/>
    <w:rsid w:val="00040AE4"/>
    <w:rsid w:val="000426F7"/>
    <w:rsid w:val="00043639"/>
    <w:rsid w:val="00043CFB"/>
    <w:rsid w:val="0004505C"/>
    <w:rsid w:val="0004700D"/>
    <w:rsid w:val="000478E4"/>
    <w:rsid w:val="00047D8B"/>
    <w:rsid w:val="0005002D"/>
    <w:rsid w:val="00050CF9"/>
    <w:rsid w:val="00051472"/>
    <w:rsid w:val="00054332"/>
    <w:rsid w:val="00056505"/>
    <w:rsid w:val="000600AC"/>
    <w:rsid w:val="00061492"/>
    <w:rsid w:val="00062272"/>
    <w:rsid w:val="000636F0"/>
    <w:rsid w:val="000657FD"/>
    <w:rsid w:val="00065EAF"/>
    <w:rsid w:val="00067058"/>
    <w:rsid w:val="000714E6"/>
    <w:rsid w:val="00072588"/>
    <w:rsid w:val="0007316D"/>
    <w:rsid w:val="00073F58"/>
    <w:rsid w:val="00073FF9"/>
    <w:rsid w:val="00077C0E"/>
    <w:rsid w:val="000805A1"/>
    <w:rsid w:val="00080B99"/>
    <w:rsid w:val="0008143E"/>
    <w:rsid w:val="00081ACE"/>
    <w:rsid w:val="00082B6A"/>
    <w:rsid w:val="0008304C"/>
    <w:rsid w:val="00083C05"/>
    <w:rsid w:val="00083E8E"/>
    <w:rsid w:val="00084FB0"/>
    <w:rsid w:val="0008686D"/>
    <w:rsid w:val="0008723D"/>
    <w:rsid w:val="00090A5F"/>
    <w:rsid w:val="000A3305"/>
    <w:rsid w:val="000A4256"/>
    <w:rsid w:val="000A43A0"/>
    <w:rsid w:val="000A4DEA"/>
    <w:rsid w:val="000A6D4A"/>
    <w:rsid w:val="000B1503"/>
    <w:rsid w:val="000B2BF4"/>
    <w:rsid w:val="000B3966"/>
    <w:rsid w:val="000B3E3C"/>
    <w:rsid w:val="000B4239"/>
    <w:rsid w:val="000B53E6"/>
    <w:rsid w:val="000C07B2"/>
    <w:rsid w:val="000C0CC2"/>
    <w:rsid w:val="000C31C6"/>
    <w:rsid w:val="000C41A2"/>
    <w:rsid w:val="000C6BE9"/>
    <w:rsid w:val="000C7F38"/>
    <w:rsid w:val="000D37BB"/>
    <w:rsid w:val="000D3FD4"/>
    <w:rsid w:val="000D43FE"/>
    <w:rsid w:val="000D4CDE"/>
    <w:rsid w:val="000D60B1"/>
    <w:rsid w:val="000D6F36"/>
    <w:rsid w:val="000D70D0"/>
    <w:rsid w:val="000E032A"/>
    <w:rsid w:val="000E11FC"/>
    <w:rsid w:val="000E172E"/>
    <w:rsid w:val="000E1FAC"/>
    <w:rsid w:val="000E3906"/>
    <w:rsid w:val="000E491B"/>
    <w:rsid w:val="000E52BF"/>
    <w:rsid w:val="000E61D6"/>
    <w:rsid w:val="000F1E14"/>
    <w:rsid w:val="000F2E43"/>
    <w:rsid w:val="000F66FA"/>
    <w:rsid w:val="000F70A9"/>
    <w:rsid w:val="0010011B"/>
    <w:rsid w:val="0010094C"/>
    <w:rsid w:val="00100EAE"/>
    <w:rsid w:val="00103515"/>
    <w:rsid w:val="0010468A"/>
    <w:rsid w:val="00106A45"/>
    <w:rsid w:val="00107171"/>
    <w:rsid w:val="0010735C"/>
    <w:rsid w:val="001106F1"/>
    <w:rsid w:val="00111068"/>
    <w:rsid w:val="001118C0"/>
    <w:rsid w:val="00111B58"/>
    <w:rsid w:val="0011293A"/>
    <w:rsid w:val="00113726"/>
    <w:rsid w:val="00113B34"/>
    <w:rsid w:val="00113E43"/>
    <w:rsid w:val="00116C09"/>
    <w:rsid w:val="00122E03"/>
    <w:rsid w:val="00123F85"/>
    <w:rsid w:val="00124D50"/>
    <w:rsid w:val="00125DFF"/>
    <w:rsid w:val="00126BFF"/>
    <w:rsid w:val="00130001"/>
    <w:rsid w:val="001306D2"/>
    <w:rsid w:val="001317C7"/>
    <w:rsid w:val="00132586"/>
    <w:rsid w:val="00132AE3"/>
    <w:rsid w:val="00136A84"/>
    <w:rsid w:val="0013782A"/>
    <w:rsid w:val="00137901"/>
    <w:rsid w:val="0014084A"/>
    <w:rsid w:val="00140FBB"/>
    <w:rsid w:val="001429A8"/>
    <w:rsid w:val="0014320E"/>
    <w:rsid w:val="001466F3"/>
    <w:rsid w:val="00152262"/>
    <w:rsid w:val="001544BC"/>
    <w:rsid w:val="00155A4D"/>
    <w:rsid w:val="00156AA9"/>
    <w:rsid w:val="001572A5"/>
    <w:rsid w:val="00157ACC"/>
    <w:rsid w:val="0016009C"/>
    <w:rsid w:val="00162A0A"/>
    <w:rsid w:val="0016322E"/>
    <w:rsid w:val="0016720E"/>
    <w:rsid w:val="001711CC"/>
    <w:rsid w:val="00171DAC"/>
    <w:rsid w:val="00172411"/>
    <w:rsid w:val="001725D5"/>
    <w:rsid w:val="00175364"/>
    <w:rsid w:val="00176154"/>
    <w:rsid w:val="00176FBE"/>
    <w:rsid w:val="001771A3"/>
    <w:rsid w:val="001806A9"/>
    <w:rsid w:val="001819A3"/>
    <w:rsid w:val="00183018"/>
    <w:rsid w:val="00183E4E"/>
    <w:rsid w:val="00183F06"/>
    <w:rsid w:val="00185102"/>
    <w:rsid w:val="001862F8"/>
    <w:rsid w:val="0018631C"/>
    <w:rsid w:val="001914A4"/>
    <w:rsid w:val="00192E5A"/>
    <w:rsid w:val="001939D3"/>
    <w:rsid w:val="00194335"/>
    <w:rsid w:val="00194DFE"/>
    <w:rsid w:val="00195325"/>
    <w:rsid w:val="0019712B"/>
    <w:rsid w:val="001A0ED7"/>
    <w:rsid w:val="001A166E"/>
    <w:rsid w:val="001A1D0B"/>
    <w:rsid w:val="001A1DEB"/>
    <w:rsid w:val="001A2508"/>
    <w:rsid w:val="001A2988"/>
    <w:rsid w:val="001A2DBB"/>
    <w:rsid w:val="001A3652"/>
    <w:rsid w:val="001A5E90"/>
    <w:rsid w:val="001B0743"/>
    <w:rsid w:val="001B11A7"/>
    <w:rsid w:val="001B528F"/>
    <w:rsid w:val="001B6172"/>
    <w:rsid w:val="001B655A"/>
    <w:rsid w:val="001B69A2"/>
    <w:rsid w:val="001C02C2"/>
    <w:rsid w:val="001C06E0"/>
    <w:rsid w:val="001C3DEF"/>
    <w:rsid w:val="001C46EF"/>
    <w:rsid w:val="001C5A6F"/>
    <w:rsid w:val="001C7C12"/>
    <w:rsid w:val="001D2EFA"/>
    <w:rsid w:val="001D335F"/>
    <w:rsid w:val="001D3D2A"/>
    <w:rsid w:val="001D5DF5"/>
    <w:rsid w:val="001D5FFF"/>
    <w:rsid w:val="001D7B64"/>
    <w:rsid w:val="001E2690"/>
    <w:rsid w:val="001E41CA"/>
    <w:rsid w:val="001E67D7"/>
    <w:rsid w:val="001F1B3E"/>
    <w:rsid w:val="001F38A7"/>
    <w:rsid w:val="001F4E56"/>
    <w:rsid w:val="001F4F4F"/>
    <w:rsid w:val="001F5F1C"/>
    <w:rsid w:val="0020151E"/>
    <w:rsid w:val="00201526"/>
    <w:rsid w:val="002051CF"/>
    <w:rsid w:val="00205801"/>
    <w:rsid w:val="002119EB"/>
    <w:rsid w:val="0021398F"/>
    <w:rsid w:val="00213BA0"/>
    <w:rsid w:val="00214ADB"/>
    <w:rsid w:val="00215AB3"/>
    <w:rsid w:val="002174A6"/>
    <w:rsid w:val="00221325"/>
    <w:rsid w:val="00221A8F"/>
    <w:rsid w:val="00221E44"/>
    <w:rsid w:val="0022203F"/>
    <w:rsid w:val="0022298F"/>
    <w:rsid w:val="00222CCB"/>
    <w:rsid w:val="00223045"/>
    <w:rsid w:val="002264FB"/>
    <w:rsid w:val="002266C2"/>
    <w:rsid w:val="00231324"/>
    <w:rsid w:val="002318F3"/>
    <w:rsid w:val="00231E90"/>
    <w:rsid w:val="002347E0"/>
    <w:rsid w:val="00236298"/>
    <w:rsid w:val="0023660E"/>
    <w:rsid w:val="00240738"/>
    <w:rsid w:val="00242687"/>
    <w:rsid w:val="002431E1"/>
    <w:rsid w:val="002438B0"/>
    <w:rsid w:val="0024464F"/>
    <w:rsid w:val="002448C4"/>
    <w:rsid w:val="00246F75"/>
    <w:rsid w:val="002523E5"/>
    <w:rsid w:val="00253502"/>
    <w:rsid w:val="00263B01"/>
    <w:rsid w:val="00263D03"/>
    <w:rsid w:val="00263F88"/>
    <w:rsid w:val="00264081"/>
    <w:rsid w:val="00265D60"/>
    <w:rsid w:val="002668C2"/>
    <w:rsid w:val="0027062B"/>
    <w:rsid w:val="00274F93"/>
    <w:rsid w:val="00275377"/>
    <w:rsid w:val="00276E06"/>
    <w:rsid w:val="00276E32"/>
    <w:rsid w:val="002774B4"/>
    <w:rsid w:val="002802D6"/>
    <w:rsid w:val="002803D4"/>
    <w:rsid w:val="00281A9E"/>
    <w:rsid w:val="00281D6C"/>
    <w:rsid w:val="002821B4"/>
    <w:rsid w:val="002825AF"/>
    <w:rsid w:val="00282AC0"/>
    <w:rsid w:val="00283EFB"/>
    <w:rsid w:val="00287526"/>
    <w:rsid w:val="00290021"/>
    <w:rsid w:val="0029212B"/>
    <w:rsid w:val="002921EC"/>
    <w:rsid w:val="002928A2"/>
    <w:rsid w:val="00296720"/>
    <w:rsid w:val="00296987"/>
    <w:rsid w:val="002A0245"/>
    <w:rsid w:val="002A0285"/>
    <w:rsid w:val="002A374B"/>
    <w:rsid w:val="002A4ECC"/>
    <w:rsid w:val="002A72AD"/>
    <w:rsid w:val="002B1089"/>
    <w:rsid w:val="002B140D"/>
    <w:rsid w:val="002B453C"/>
    <w:rsid w:val="002B45DD"/>
    <w:rsid w:val="002B5074"/>
    <w:rsid w:val="002B5F11"/>
    <w:rsid w:val="002B7130"/>
    <w:rsid w:val="002B758C"/>
    <w:rsid w:val="002B78C7"/>
    <w:rsid w:val="002C10A0"/>
    <w:rsid w:val="002C252D"/>
    <w:rsid w:val="002C40C8"/>
    <w:rsid w:val="002C5819"/>
    <w:rsid w:val="002C670F"/>
    <w:rsid w:val="002C7C91"/>
    <w:rsid w:val="002D0303"/>
    <w:rsid w:val="002D1D1A"/>
    <w:rsid w:val="002D329B"/>
    <w:rsid w:val="002D6B2B"/>
    <w:rsid w:val="002E062F"/>
    <w:rsid w:val="002E2BFB"/>
    <w:rsid w:val="002E4638"/>
    <w:rsid w:val="002E5BA9"/>
    <w:rsid w:val="002E64C9"/>
    <w:rsid w:val="002E7F1A"/>
    <w:rsid w:val="002F11BD"/>
    <w:rsid w:val="002F1359"/>
    <w:rsid w:val="002F18F0"/>
    <w:rsid w:val="002F23E7"/>
    <w:rsid w:val="002F4416"/>
    <w:rsid w:val="002F4AD8"/>
    <w:rsid w:val="002F602C"/>
    <w:rsid w:val="002F7DCE"/>
    <w:rsid w:val="00304D8B"/>
    <w:rsid w:val="00305466"/>
    <w:rsid w:val="00307C05"/>
    <w:rsid w:val="0031114D"/>
    <w:rsid w:val="00311A08"/>
    <w:rsid w:val="00312B44"/>
    <w:rsid w:val="00314999"/>
    <w:rsid w:val="0031555B"/>
    <w:rsid w:val="003155E4"/>
    <w:rsid w:val="003169D0"/>
    <w:rsid w:val="003173F5"/>
    <w:rsid w:val="00320C44"/>
    <w:rsid w:val="00321442"/>
    <w:rsid w:val="00321B42"/>
    <w:rsid w:val="00323136"/>
    <w:rsid w:val="0032591B"/>
    <w:rsid w:val="00326969"/>
    <w:rsid w:val="0033127C"/>
    <w:rsid w:val="003326C6"/>
    <w:rsid w:val="0033635E"/>
    <w:rsid w:val="00336A3F"/>
    <w:rsid w:val="00340FE3"/>
    <w:rsid w:val="0034154C"/>
    <w:rsid w:val="00341A00"/>
    <w:rsid w:val="00343A09"/>
    <w:rsid w:val="0034482F"/>
    <w:rsid w:val="0034484A"/>
    <w:rsid w:val="003453CB"/>
    <w:rsid w:val="00346EED"/>
    <w:rsid w:val="003523DC"/>
    <w:rsid w:val="00352A29"/>
    <w:rsid w:val="00354ED2"/>
    <w:rsid w:val="00355A98"/>
    <w:rsid w:val="00356991"/>
    <w:rsid w:val="003601FF"/>
    <w:rsid w:val="00361BD8"/>
    <w:rsid w:val="00364B61"/>
    <w:rsid w:val="00364D8B"/>
    <w:rsid w:val="0036574D"/>
    <w:rsid w:val="00365C0C"/>
    <w:rsid w:val="00366687"/>
    <w:rsid w:val="0037104F"/>
    <w:rsid w:val="0037499A"/>
    <w:rsid w:val="00374C3D"/>
    <w:rsid w:val="00383A17"/>
    <w:rsid w:val="00383FCA"/>
    <w:rsid w:val="00385572"/>
    <w:rsid w:val="003907E6"/>
    <w:rsid w:val="00391BC5"/>
    <w:rsid w:val="00392875"/>
    <w:rsid w:val="00392D1C"/>
    <w:rsid w:val="00393D72"/>
    <w:rsid w:val="003947D6"/>
    <w:rsid w:val="003A3FA9"/>
    <w:rsid w:val="003A4C51"/>
    <w:rsid w:val="003A5613"/>
    <w:rsid w:val="003A7076"/>
    <w:rsid w:val="003B0155"/>
    <w:rsid w:val="003B0290"/>
    <w:rsid w:val="003B11B2"/>
    <w:rsid w:val="003B2892"/>
    <w:rsid w:val="003B4098"/>
    <w:rsid w:val="003B4117"/>
    <w:rsid w:val="003B6099"/>
    <w:rsid w:val="003C0A18"/>
    <w:rsid w:val="003C140B"/>
    <w:rsid w:val="003C1E4F"/>
    <w:rsid w:val="003C305D"/>
    <w:rsid w:val="003C4805"/>
    <w:rsid w:val="003C4A9F"/>
    <w:rsid w:val="003C4BDE"/>
    <w:rsid w:val="003C5603"/>
    <w:rsid w:val="003C6E40"/>
    <w:rsid w:val="003C72C5"/>
    <w:rsid w:val="003C7A80"/>
    <w:rsid w:val="003D2A1F"/>
    <w:rsid w:val="003D371A"/>
    <w:rsid w:val="003D6A1D"/>
    <w:rsid w:val="003E2A87"/>
    <w:rsid w:val="003E4BC9"/>
    <w:rsid w:val="003E56F5"/>
    <w:rsid w:val="003E5880"/>
    <w:rsid w:val="003E6F45"/>
    <w:rsid w:val="003F00DF"/>
    <w:rsid w:val="003F2206"/>
    <w:rsid w:val="003F277D"/>
    <w:rsid w:val="003F59FD"/>
    <w:rsid w:val="003F6472"/>
    <w:rsid w:val="003F7BF3"/>
    <w:rsid w:val="00400463"/>
    <w:rsid w:val="00402013"/>
    <w:rsid w:val="00402921"/>
    <w:rsid w:val="00403B4F"/>
    <w:rsid w:val="00403C42"/>
    <w:rsid w:val="004047C4"/>
    <w:rsid w:val="00407FF7"/>
    <w:rsid w:val="00411820"/>
    <w:rsid w:val="00412889"/>
    <w:rsid w:val="00414E11"/>
    <w:rsid w:val="00414EB7"/>
    <w:rsid w:val="00415B07"/>
    <w:rsid w:val="0041661E"/>
    <w:rsid w:val="00416718"/>
    <w:rsid w:val="004170CA"/>
    <w:rsid w:val="00417145"/>
    <w:rsid w:val="004204E6"/>
    <w:rsid w:val="0042081D"/>
    <w:rsid w:val="00420D82"/>
    <w:rsid w:val="00425987"/>
    <w:rsid w:val="00426FFE"/>
    <w:rsid w:val="00427C9A"/>
    <w:rsid w:val="00427E63"/>
    <w:rsid w:val="004307C6"/>
    <w:rsid w:val="00432CCB"/>
    <w:rsid w:val="004331DE"/>
    <w:rsid w:val="004349CE"/>
    <w:rsid w:val="00435934"/>
    <w:rsid w:val="00436916"/>
    <w:rsid w:val="00437959"/>
    <w:rsid w:val="00440421"/>
    <w:rsid w:val="00440671"/>
    <w:rsid w:val="00443173"/>
    <w:rsid w:val="00447F15"/>
    <w:rsid w:val="00450371"/>
    <w:rsid w:val="00450DCE"/>
    <w:rsid w:val="00451647"/>
    <w:rsid w:val="00451AA8"/>
    <w:rsid w:val="00452814"/>
    <w:rsid w:val="00452E38"/>
    <w:rsid w:val="00453773"/>
    <w:rsid w:val="00454FA3"/>
    <w:rsid w:val="004555FD"/>
    <w:rsid w:val="00457B76"/>
    <w:rsid w:val="004622C7"/>
    <w:rsid w:val="00465E89"/>
    <w:rsid w:val="00466EAF"/>
    <w:rsid w:val="00467219"/>
    <w:rsid w:val="00467939"/>
    <w:rsid w:val="004704F2"/>
    <w:rsid w:val="0047150C"/>
    <w:rsid w:val="0047157F"/>
    <w:rsid w:val="00471C1D"/>
    <w:rsid w:val="004724CE"/>
    <w:rsid w:val="00472F24"/>
    <w:rsid w:val="004733EE"/>
    <w:rsid w:val="0047477D"/>
    <w:rsid w:val="004750D9"/>
    <w:rsid w:val="0047786D"/>
    <w:rsid w:val="00480B25"/>
    <w:rsid w:val="00481ABB"/>
    <w:rsid w:val="00482463"/>
    <w:rsid w:val="00483C11"/>
    <w:rsid w:val="00485246"/>
    <w:rsid w:val="004871E5"/>
    <w:rsid w:val="00487A15"/>
    <w:rsid w:val="004904FC"/>
    <w:rsid w:val="00492056"/>
    <w:rsid w:val="00494C8D"/>
    <w:rsid w:val="00497C1D"/>
    <w:rsid w:val="00497DD0"/>
    <w:rsid w:val="004A0124"/>
    <w:rsid w:val="004A39E5"/>
    <w:rsid w:val="004A4DD2"/>
    <w:rsid w:val="004A607A"/>
    <w:rsid w:val="004B0084"/>
    <w:rsid w:val="004C094D"/>
    <w:rsid w:val="004C4F7A"/>
    <w:rsid w:val="004C762D"/>
    <w:rsid w:val="004D5012"/>
    <w:rsid w:val="004D5502"/>
    <w:rsid w:val="004D55D7"/>
    <w:rsid w:val="004D71A5"/>
    <w:rsid w:val="004D76D7"/>
    <w:rsid w:val="004E2612"/>
    <w:rsid w:val="004E3370"/>
    <w:rsid w:val="004E5032"/>
    <w:rsid w:val="004E608E"/>
    <w:rsid w:val="004E6B4F"/>
    <w:rsid w:val="004E7D1D"/>
    <w:rsid w:val="004F10E3"/>
    <w:rsid w:val="004F1136"/>
    <w:rsid w:val="004F41A4"/>
    <w:rsid w:val="004F4231"/>
    <w:rsid w:val="004F648A"/>
    <w:rsid w:val="004F65B4"/>
    <w:rsid w:val="004F70EA"/>
    <w:rsid w:val="004F745D"/>
    <w:rsid w:val="004F7502"/>
    <w:rsid w:val="00501CAA"/>
    <w:rsid w:val="005026C7"/>
    <w:rsid w:val="00503070"/>
    <w:rsid w:val="00503DDE"/>
    <w:rsid w:val="00503F82"/>
    <w:rsid w:val="0050439C"/>
    <w:rsid w:val="005062BC"/>
    <w:rsid w:val="00507D9F"/>
    <w:rsid w:val="005109D2"/>
    <w:rsid w:val="00510F61"/>
    <w:rsid w:val="005146BC"/>
    <w:rsid w:val="005168F4"/>
    <w:rsid w:val="005223DA"/>
    <w:rsid w:val="00524232"/>
    <w:rsid w:val="00524550"/>
    <w:rsid w:val="0052583C"/>
    <w:rsid w:val="0052640A"/>
    <w:rsid w:val="00526918"/>
    <w:rsid w:val="00527755"/>
    <w:rsid w:val="005304E8"/>
    <w:rsid w:val="00531822"/>
    <w:rsid w:val="005326ED"/>
    <w:rsid w:val="00533AA5"/>
    <w:rsid w:val="00535749"/>
    <w:rsid w:val="005373AD"/>
    <w:rsid w:val="0054078C"/>
    <w:rsid w:val="00540E53"/>
    <w:rsid w:val="00541EAC"/>
    <w:rsid w:val="005444C9"/>
    <w:rsid w:val="005445C5"/>
    <w:rsid w:val="00544D67"/>
    <w:rsid w:val="00545584"/>
    <w:rsid w:val="005471DB"/>
    <w:rsid w:val="005476C8"/>
    <w:rsid w:val="00552BA9"/>
    <w:rsid w:val="00553071"/>
    <w:rsid w:val="0055446E"/>
    <w:rsid w:val="005558B8"/>
    <w:rsid w:val="00563307"/>
    <w:rsid w:val="00564DF0"/>
    <w:rsid w:val="00565A2D"/>
    <w:rsid w:val="00565EE6"/>
    <w:rsid w:val="0056626C"/>
    <w:rsid w:val="00570328"/>
    <w:rsid w:val="00572D67"/>
    <w:rsid w:val="00572FCA"/>
    <w:rsid w:val="00573174"/>
    <w:rsid w:val="00575B46"/>
    <w:rsid w:val="0057619F"/>
    <w:rsid w:val="00577FD4"/>
    <w:rsid w:val="00584538"/>
    <w:rsid w:val="00584A4B"/>
    <w:rsid w:val="00585292"/>
    <w:rsid w:val="00585334"/>
    <w:rsid w:val="005854ED"/>
    <w:rsid w:val="00586D24"/>
    <w:rsid w:val="005900FE"/>
    <w:rsid w:val="00591ED4"/>
    <w:rsid w:val="00592FFF"/>
    <w:rsid w:val="005935AE"/>
    <w:rsid w:val="0059385C"/>
    <w:rsid w:val="00596CC8"/>
    <w:rsid w:val="00597A53"/>
    <w:rsid w:val="005A06F1"/>
    <w:rsid w:val="005A1827"/>
    <w:rsid w:val="005A474C"/>
    <w:rsid w:val="005A53C1"/>
    <w:rsid w:val="005A55AB"/>
    <w:rsid w:val="005A5A5C"/>
    <w:rsid w:val="005A5E5D"/>
    <w:rsid w:val="005A6E1A"/>
    <w:rsid w:val="005B054B"/>
    <w:rsid w:val="005B135B"/>
    <w:rsid w:val="005B3F21"/>
    <w:rsid w:val="005B6C6F"/>
    <w:rsid w:val="005B75A8"/>
    <w:rsid w:val="005C18BA"/>
    <w:rsid w:val="005C24AB"/>
    <w:rsid w:val="005C45C0"/>
    <w:rsid w:val="005C4BD9"/>
    <w:rsid w:val="005C50F9"/>
    <w:rsid w:val="005C5FFD"/>
    <w:rsid w:val="005C64DF"/>
    <w:rsid w:val="005C7BF8"/>
    <w:rsid w:val="005D1B37"/>
    <w:rsid w:val="005D66E1"/>
    <w:rsid w:val="005D6D52"/>
    <w:rsid w:val="005D75B4"/>
    <w:rsid w:val="005D7667"/>
    <w:rsid w:val="005E05CF"/>
    <w:rsid w:val="005E146B"/>
    <w:rsid w:val="005E398F"/>
    <w:rsid w:val="005E4348"/>
    <w:rsid w:val="005E446A"/>
    <w:rsid w:val="005E5F9D"/>
    <w:rsid w:val="005E67BE"/>
    <w:rsid w:val="005E6B81"/>
    <w:rsid w:val="005E6C4B"/>
    <w:rsid w:val="005E7EE3"/>
    <w:rsid w:val="005F171F"/>
    <w:rsid w:val="005F397B"/>
    <w:rsid w:val="005F7A22"/>
    <w:rsid w:val="006015CA"/>
    <w:rsid w:val="00602E4A"/>
    <w:rsid w:val="00602FC1"/>
    <w:rsid w:val="00605C52"/>
    <w:rsid w:val="0060730C"/>
    <w:rsid w:val="00611D9D"/>
    <w:rsid w:val="00613567"/>
    <w:rsid w:val="00614696"/>
    <w:rsid w:val="006164BC"/>
    <w:rsid w:val="006166E9"/>
    <w:rsid w:val="00616870"/>
    <w:rsid w:val="00617266"/>
    <w:rsid w:val="0062372D"/>
    <w:rsid w:val="00624E92"/>
    <w:rsid w:val="00626724"/>
    <w:rsid w:val="00626FE2"/>
    <w:rsid w:val="006272D1"/>
    <w:rsid w:val="006302C0"/>
    <w:rsid w:val="00630F80"/>
    <w:rsid w:val="006321A0"/>
    <w:rsid w:val="00632F4A"/>
    <w:rsid w:val="00632F7F"/>
    <w:rsid w:val="0063729E"/>
    <w:rsid w:val="00640176"/>
    <w:rsid w:val="0064119D"/>
    <w:rsid w:val="00641227"/>
    <w:rsid w:val="00644639"/>
    <w:rsid w:val="00645F5C"/>
    <w:rsid w:val="00647AF7"/>
    <w:rsid w:val="006503C6"/>
    <w:rsid w:val="00650D45"/>
    <w:rsid w:val="006511F0"/>
    <w:rsid w:val="00656870"/>
    <w:rsid w:val="00656B4F"/>
    <w:rsid w:val="006575AB"/>
    <w:rsid w:val="00657AE1"/>
    <w:rsid w:val="00663E03"/>
    <w:rsid w:val="00664785"/>
    <w:rsid w:val="006662CD"/>
    <w:rsid w:val="006701C5"/>
    <w:rsid w:val="006742A8"/>
    <w:rsid w:val="00676570"/>
    <w:rsid w:val="006769EB"/>
    <w:rsid w:val="0068001E"/>
    <w:rsid w:val="00681CF1"/>
    <w:rsid w:val="00685E26"/>
    <w:rsid w:val="00687563"/>
    <w:rsid w:val="006879AD"/>
    <w:rsid w:val="006901C4"/>
    <w:rsid w:val="00691151"/>
    <w:rsid w:val="00694A26"/>
    <w:rsid w:val="0069682B"/>
    <w:rsid w:val="006968DB"/>
    <w:rsid w:val="006A0008"/>
    <w:rsid w:val="006A07A9"/>
    <w:rsid w:val="006A0E9F"/>
    <w:rsid w:val="006A1335"/>
    <w:rsid w:val="006A2253"/>
    <w:rsid w:val="006A4EE5"/>
    <w:rsid w:val="006A4FF3"/>
    <w:rsid w:val="006A6B12"/>
    <w:rsid w:val="006A704D"/>
    <w:rsid w:val="006A736A"/>
    <w:rsid w:val="006A7D2F"/>
    <w:rsid w:val="006B0605"/>
    <w:rsid w:val="006B2AE5"/>
    <w:rsid w:val="006B3896"/>
    <w:rsid w:val="006B4965"/>
    <w:rsid w:val="006B4B6E"/>
    <w:rsid w:val="006B5FC5"/>
    <w:rsid w:val="006B66D4"/>
    <w:rsid w:val="006B68E3"/>
    <w:rsid w:val="006B6F8A"/>
    <w:rsid w:val="006C07D4"/>
    <w:rsid w:val="006C1C50"/>
    <w:rsid w:val="006C5AE5"/>
    <w:rsid w:val="006C6FE8"/>
    <w:rsid w:val="006C71F2"/>
    <w:rsid w:val="006C7DAD"/>
    <w:rsid w:val="006D123A"/>
    <w:rsid w:val="006D14B3"/>
    <w:rsid w:val="006D1B54"/>
    <w:rsid w:val="006D5479"/>
    <w:rsid w:val="006D56A1"/>
    <w:rsid w:val="006D6404"/>
    <w:rsid w:val="006D7647"/>
    <w:rsid w:val="006D79CD"/>
    <w:rsid w:val="006E0651"/>
    <w:rsid w:val="006E5244"/>
    <w:rsid w:val="006E6738"/>
    <w:rsid w:val="006E6853"/>
    <w:rsid w:val="006F021F"/>
    <w:rsid w:val="006F25AB"/>
    <w:rsid w:val="006F3F25"/>
    <w:rsid w:val="006F448B"/>
    <w:rsid w:val="006F4AFC"/>
    <w:rsid w:val="006F6B6C"/>
    <w:rsid w:val="006F6C18"/>
    <w:rsid w:val="006F7120"/>
    <w:rsid w:val="00700C60"/>
    <w:rsid w:val="00702546"/>
    <w:rsid w:val="00704B1A"/>
    <w:rsid w:val="0070581C"/>
    <w:rsid w:val="00706FEE"/>
    <w:rsid w:val="00710347"/>
    <w:rsid w:val="00711759"/>
    <w:rsid w:val="00711A2B"/>
    <w:rsid w:val="00713668"/>
    <w:rsid w:val="00714AF3"/>
    <w:rsid w:val="00715FB6"/>
    <w:rsid w:val="0072239F"/>
    <w:rsid w:val="00722FA5"/>
    <w:rsid w:val="00724020"/>
    <w:rsid w:val="00725763"/>
    <w:rsid w:val="00725D09"/>
    <w:rsid w:val="007317AD"/>
    <w:rsid w:val="00736475"/>
    <w:rsid w:val="00736C1D"/>
    <w:rsid w:val="00737097"/>
    <w:rsid w:val="007370C0"/>
    <w:rsid w:val="007439D1"/>
    <w:rsid w:val="00743E0F"/>
    <w:rsid w:val="00744446"/>
    <w:rsid w:val="00744721"/>
    <w:rsid w:val="00747067"/>
    <w:rsid w:val="0075067B"/>
    <w:rsid w:val="00752E25"/>
    <w:rsid w:val="00753E07"/>
    <w:rsid w:val="00753F4C"/>
    <w:rsid w:val="00754CFD"/>
    <w:rsid w:val="00755877"/>
    <w:rsid w:val="00762196"/>
    <w:rsid w:val="007622EC"/>
    <w:rsid w:val="00762955"/>
    <w:rsid w:val="00763B6C"/>
    <w:rsid w:val="00764A98"/>
    <w:rsid w:val="00765C59"/>
    <w:rsid w:val="00765F59"/>
    <w:rsid w:val="00765F8E"/>
    <w:rsid w:val="007661F1"/>
    <w:rsid w:val="00767133"/>
    <w:rsid w:val="00774DCA"/>
    <w:rsid w:val="00776DDC"/>
    <w:rsid w:val="00776FE5"/>
    <w:rsid w:val="00781ED4"/>
    <w:rsid w:val="0078647C"/>
    <w:rsid w:val="00791AFA"/>
    <w:rsid w:val="00791CA7"/>
    <w:rsid w:val="00792394"/>
    <w:rsid w:val="0079245D"/>
    <w:rsid w:val="00793610"/>
    <w:rsid w:val="007948AD"/>
    <w:rsid w:val="00794AA2"/>
    <w:rsid w:val="007A161E"/>
    <w:rsid w:val="007A1C04"/>
    <w:rsid w:val="007A1C26"/>
    <w:rsid w:val="007A359E"/>
    <w:rsid w:val="007A3C20"/>
    <w:rsid w:val="007A505B"/>
    <w:rsid w:val="007A583A"/>
    <w:rsid w:val="007A6848"/>
    <w:rsid w:val="007B0486"/>
    <w:rsid w:val="007B18E8"/>
    <w:rsid w:val="007B3414"/>
    <w:rsid w:val="007B45EB"/>
    <w:rsid w:val="007B6ED5"/>
    <w:rsid w:val="007C0603"/>
    <w:rsid w:val="007C17D7"/>
    <w:rsid w:val="007C219E"/>
    <w:rsid w:val="007C45B3"/>
    <w:rsid w:val="007C5064"/>
    <w:rsid w:val="007C5120"/>
    <w:rsid w:val="007C5359"/>
    <w:rsid w:val="007D16B4"/>
    <w:rsid w:val="007D24F7"/>
    <w:rsid w:val="007D2EDE"/>
    <w:rsid w:val="007D5E99"/>
    <w:rsid w:val="007E002B"/>
    <w:rsid w:val="007E0519"/>
    <w:rsid w:val="007E0C4A"/>
    <w:rsid w:val="007E17A4"/>
    <w:rsid w:val="007E3230"/>
    <w:rsid w:val="007E61D6"/>
    <w:rsid w:val="007F060F"/>
    <w:rsid w:val="007F1AEE"/>
    <w:rsid w:val="007F1CD5"/>
    <w:rsid w:val="007F1F2B"/>
    <w:rsid w:val="007F2D2E"/>
    <w:rsid w:val="007F2F11"/>
    <w:rsid w:val="007F6112"/>
    <w:rsid w:val="007F700E"/>
    <w:rsid w:val="007F706B"/>
    <w:rsid w:val="0080211B"/>
    <w:rsid w:val="008035B2"/>
    <w:rsid w:val="00804019"/>
    <w:rsid w:val="00804173"/>
    <w:rsid w:val="008050F7"/>
    <w:rsid w:val="00807FA2"/>
    <w:rsid w:val="0081184D"/>
    <w:rsid w:val="00811B92"/>
    <w:rsid w:val="0081279C"/>
    <w:rsid w:val="00812B28"/>
    <w:rsid w:val="00814918"/>
    <w:rsid w:val="00814EC8"/>
    <w:rsid w:val="0081591E"/>
    <w:rsid w:val="00816217"/>
    <w:rsid w:val="008163D7"/>
    <w:rsid w:val="008174E8"/>
    <w:rsid w:val="008178AC"/>
    <w:rsid w:val="00817C24"/>
    <w:rsid w:val="00820070"/>
    <w:rsid w:val="00820E88"/>
    <w:rsid w:val="00821BA1"/>
    <w:rsid w:val="00821F04"/>
    <w:rsid w:val="00821FA3"/>
    <w:rsid w:val="0082316D"/>
    <w:rsid w:val="008242A4"/>
    <w:rsid w:val="00825A6F"/>
    <w:rsid w:val="008260E1"/>
    <w:rsid w:val="008265F3"/>
    <w:rsid w:val="00826C28"/>
    <w:rsid w:val="00827D1D"/>
    <w:rsid w:val="008301B3"/>
    <w:rsid w:val="00830441"/>
    <w:rsid w:val="008308B5"/>
    <w:rsid w:val="008308E9"/>
    <w:rsid w:val="008312E6"/>
    <w:rsid w:val="008340B2"/>
    <w:rsid w:val="00834127"/>
    <w:rsid w:val="008346A6"/>
    <w:rsid w:val="00834D4B"/>
    <w:rsid w:val="00836610"/>
    <w:rsid w:val="00837037"/>
    <w:rsid w:val="00837DE2"/>
    <w:rsid w:val="00842ECF"/>
    <w:rsid w:val="008436D7"/>
    <w:rsid w:val="0084545E"/>
    <w:rsid w:val="00846A5A"/>
    <w:rsid w:val="008478B4"/>
    <w:rsid w:val="00847ED0"/>
    <w:rsid w:val="00851DF3"/>
    <w:rsid w:val="00854190"/>
    <w:rsid w:val="008545C3"/>
    <w:rsid w:val="00856680"/>
    <w:rsid w:val="00856DAD"/>
    <w:rsid w:val="0085717D"/>
    <w:rsid w:val="00857635"/>
    <w:rsid w:val="00863024"/>
    <w:rsid w:val="0086354A"/>
    <w:rsid w:val="00865A8C"/>
    <w:rsid w:val="008715EE"/>
    <w:rsid w:val="008721B4"/>
    <w:rsid w:val="00872271"/>
    <w:rsid w:val="00873A4D"/>
    <w:rsid w:val="00875929"/>
    <w:rsid w:val="00875951"/>
    <w:rsid w:val="00880701"/>
    <w:rsid w:val="00880F1F"/>
    <w:rsid w:val="00881021"/>
    <w:rsid w:val="008822B1"/>
    <w:rsid w:val="00882368"/>
    <w:rsid w:val="00883760"/>
    <w:rsid w:val="008851CC"/>
    <w:rsid w:val="008879AC"/>
    <w:rsid w:val="00887BCE"/>
    <w:rsid w:val="00892299"/>
    <w:rsid w:val="008926FB"/>
    <w:rsid w:val="00893777"/>
    <w:rsid w:val="00893D79"/>
    <w:rsid w:val="008962FF"/>
    <w:rsid w:val="008976B2"/>
    <w:rsid w:val="008A30DB"/>
    <w:rsid w:val="008A3147"/>
    <w:rsid w:val="008A4229"/>
    <w:rsid w:val="008A432E"/>
    <w:rsid w:val="008A55CC"/>
    <w:rsid w:val="008A5A4A"/>
    <w:rsid w:val="008B1AF8"/>
    <w:rsid w:val="008B24D2"/>
    <w:rsid w:val="008B2B49"/>
    <w:rsid w:val="008B666E"/>
    <w:rsid w:val="008C0A12"/>
    <w:rsid w:val="008C31C1"/>
    <w:rsid w:val="008C4C7F"/>
    <w:rsid w:val="008C5365"/>
    <w:rsid w:val="008C56DB"/>
    <w:rsid w:val="008C5D13"/>
    <w:rsid w:val="008C5D3D"/>
    <w:rsid w:val="008C6400"/>
    <w:rsid w:val="008C7B7C"/>
    <w:rsid w:val="008D08DA"/>
    <w:rsid w:val="008D199D"/>
    <w:rsid w:val="008E0947"/>
    <w:rsid w:val="008E0A05"/>
    <w:rsid w:val="008E29B7"/>
    <w:rsid w:val="008F101B"/>
    <w:rsid w:val="008F6CC7"/>
    <w:rsid w:val="009003E3"/>
    <w:rsid w:val="009021DD"/>
    <w:rsid w:val="0090384A"/>
    <w:rsid w:val="00903C5C"/>
    <w:rsid w:val="0090524E"/>
    <w:rsid w:val="009142AB"/>
    <w:rsid w:val="009142C2"/>
    <w:rsid w:val="00914D55"/>
    <w:rsid w:val="00916346"/>
    <w:rsid w:val="00916516"/>
    <w:rsid w:val="00924A1C"/>
    <w:rsid w:val="00925BD2"/>
    <w:rsid w:val="00926D81"/>
    <w:rsid w:val="0093173D"/>
    <w:rsid w:val="00931DCD"/>
    <w:rsid w:val="009329E1"/>
    <w:rsid w:val="009348AF"/>
    <w:rsid w:val="00935535"/>
    <w:rsid w:val="00935770"/>
    <w:rsid w:val="00936520"/>
    <w:rsid w:val="00940090"/>
    <w:rsid w:val="00942AB9"/>
    <w:rsid w:val="009439DB"/>
    <w:rsid w:val="009446F7"/>
    <w:rsid w:val="00944B7E"/>
    <w:rsid w:val="00945371"/>
    <w:rsid w:val="0094758F"/>
    <w:rsid w:val="00953092"/>
    <w:rsid w:val="00953376"/>
    <w:rsid w:val="00953FB2"/>
    <w:rsid w:val="00954FCD"/>
    <w:rsid w:val="00955D54"/>
    <w:rsid w:val="0096341B"/>
    <w:rsid w:val="00965719"/>
    <w:rsid w:val="00965C3C"/>
    <w:rsid w:val="00966B12"/>
    <w:rsid w:val="00967155"/>
    <w:rsid w:val="00967689"/>
    <w:rsid w:val="00967D76"/>
    <w:rsid w:val="00970EFF"/>
    <w:rsid w:val="00971155"/>
    <w:rsid w:val="0097331F"/>
    <w:rsid w:val="00975DB2"/>
    <w:rsid w:val="00975E88"/>
    <w:rsid w:val="00975F49"/>
    <w:rsid w:val="0097740A"/>
    <w:rsid w:val="00980636"/>
    <w:rsid w:val="00983CD1"/>
    <w:rsid w:val="00983DF9"/>
    <w:rsid w:val="0098478E"/>
    <w:rsid w:val="00984ABE"/>
    <w:rsid w:val="0098611D"/>
    <w:rsid w:val="00987FAE"/>
    <w:rsid w:val="009902DB"/>
    <w:rsid w:val="0099362D"/>
    <w:rsid w:val="009941E6"/>
    <w:rsid w:val="0099462E"/>
    <w:rsid w:val="0099616E"/>
    <w:rsid w:val="0099643C"/>
    <w:rsid w:val="00996AE0"/>
    <w:rsid w:val="00996C87"/>
    <w:rsid w:val="009A14B5"/>
    <w:rsid w:val="009A29CE"/>
    <w:rsid w:val="009A30E7"/>
    <w:rsid w:val="009A4418"/>
    <w:rsid w:val="009A53E1"/>
    <w:rsid w:val="009A5CDC"/>
    <w:rsid w:val="009A6024"/>
    <w:rsid w:val="009A67E2"/>
    <w:rsid w:val="009A7C3E"/>
    <w:rsid w:val="009B1425"/>
    <w:rsid w:val="009B1571"/>
    <w:rsid w:val="009B1E5F"/>
    <w:rsid w:val="009B33BD"/>
    <w:rsid w:val="009B33D4"/>
    <w:rsid w:val="009C01AC"/>
    <w:rsid w:val="009C0690"/>
    <w:rsid w:val="009C2299"/>
    <w:rsid w:val="009C278B"/>
    <w:rsid w:val="009C6EDA"/>
    <w:rsid w:val="009C763F"/>
    <w:rsid w:val="009D091C"/>
    <w:rsid w:val="009D0D15"/>
    <w:rsid w:val="009D304C"/>
    <w:rsid w:val="009D609F"/>
    <w:rsid w:val="009D7317"/>
    <w:rsid w:val="009E1DDB"/>
    <w:rsid w:val="009E62B8"/>
    <w:rsid w:val="009F10AC"/>
    <w:rsid w:val="009F1BF5"/>
    <w:rsid w:val="009F300C"/>
    <w:rsid w:val="009F4E8C"/>
    <w:rsid w:val="009F69F0"/>
    <w:rsid w:val="00A00BFD"/>
    <w:rsid w:val="00A019EE"/>
    <w:rsid w:val="00A02754"/>
    <w:rsid w:val="00A03B56"/>
    <w:rsid w:val="00A04715"/>
    <w:rsid w:val="00A04E81"/>
    <w:rsid w:val="00A050DC"/>
    <w:rsid w:val="00A052DB"/>
    <w:rsid w:val="00A10E23"/>
    <w:rsid w:val="00A12132"/>
    <w:rsid w:val="00A12C41"/>
    <w:rsid w:val="00A12D0A"/>
    <w:rsid w:val="00A12E36"/>
    <w:rsid w:val="00A13D6F"/>
    <w:rsid w:val="00A151C2"/>
    <w:rsid w:val="00A2383B"/>
    <w:rsid w:val="00A24601"/>
    <w:rsid w:val="00A2464B"/>
    <w:rsid w:val="00A30198"/>
    <w:rsid w:val="00A302E3"/>
    <w:rsid w:val="00A30738"/>
    <w:rsid w:val="00A31C97"/>
    <w:rsid w:val="00A34B0A"/>
    <w:rsid w:val="00A3599F"/>
    <w:rsid w:val="00A363CB"/>
    <w:rsid w:val="00A37625"/>
    <w:rsid w:val="00A37763"/>
    <w:rsid w:val="00A4026E"/>
    <w:rsid w:val="00A43D2A"/>
    <w:rsid w:val="00A448D1"/>
    <w:rsid w:val="00A47923"/>
    <w:rsid w:val="00A51A85"/>
    <w:rsid w:val="00A53297"/>
    <w:rsid w:val="00A53314"/>
    <w:rsid w:val="00A5474D"/>
    <w:rsid w:val="00A56C95"/>
    <w:rsid w:val="00A573FD"/>
    <w:rsid w:val="00A6066C"/>
    <w:rsid w:val="00A617A5"/>
    <w:rsid w:val="00A62834"/>
    <w:rsid w:val="00A63A54"/>
    <w:rsid w:val="00A63C30"/>
    <w:rsid w:val="00A63F45"/>
    <w:rsid w:val="00A65D2F"/>
    <w:rsid w:val="00A66211"/>
    <w:rsid w:val="00A6725B"/>
    <w:rsid w:val="00A67E44"/>
    <w:rsid w:val="00A70AE2"/>
    <w:rsid w:val="00A71213"/>
    <w:rsid w:val="00A72740"/>
    <w:rsid w:val="00A73893"/>
    <w:rsid w:val="00A738A3"/>
    <w:rsid w:val="00A74634"/>
    <w:rsid w:val="00A74DA6"/>
    <w:rsid w:val="00A74E8B"/>
    <w:rsid w:val="00A76FD0"/>
    <w:rsid w:val="00A77A9A"/>
    <w:rsid w:val="00A77F1E"/>
    <w:rsid w:val="00A80085"/>
    <w:rsid w:val="00A8134A"/>
    <w:rsid w:val="00A81564"/>
    <w:rsid w:val="00A81FDB"/>
    <w:rsid w:val="00A84CDB"/>
    <w:rsid w:val="00A86004"/>
    <w:rsid w:val="00A87059"/>
    <w:rsid w:val="00A90F32"/>
    <w:rsid w:val="00A92259"/>
    <w:rsid w:val="00A932BB"/>
    <w:rsid w:val="00A96A1A"/>
    <w:rsid w:val="00A97DEA"/>
    <w:rsid w:val="00AA0209"/>
    <w:rsid w:val="00AA14D9"/>
    <w:rsid w:val="00AA1CB3"/>
    <w:rsid w:val="00AA73EE"/>
    <w:rsid w:val="00AA7993"/>
    <w:rsid w:val="00AB014D"/>
    <w:rsid w:val="00AB545E"/>
    <w:rsid w:val="00AB5FCF"/>
    <w:rsid w:val="00AB7690"/>
    <w:rsid w:val="00AC1351"/>
    <w:rsid w:val="00AC6139"/>
    <w:rsid w:val="00AC76E7"/>
    <w:rsid w:val="00AD0CA9"/>
    <w:rsid w:val="00AD3DC3"/>
    <w:rsid w:val="00AE17B3"/>
    <w:rsid w:val="00AE1A06"/>
    <w:rsid w:val="00AE4357"/>
    <w:rsid w:val="00AE4486"/>
    <w:rsid w:val="00AE465F"/>
    <w:rsid w:val="00AF2D24"/>
    <w:rsid w:val="00AF774E"/>
    <w:rsid w:val="00B035A1"/>
    <w:rsid w:val="00B04877"/>
    <w:rsid w:val="00B05BA2"/>
    <w:rsid w:val="00B0609E"/>
    <w:rsid w:val="00B06415"/>
    <w:rsid w:val="00B06C7D"/>
    <w:rsid w:val="00B11C5E"/>
    <w:rsid w:val="00B11DE0"/>
    <w:rsid w:val="00B1234D"/>
    <w:rsid w:val="00B12F15"/>
    <w:rsid w:val="00B12F9B"/>
    <w:rsid w:val="00B16F14"/>
    <w:rsid w:val="00B20735"/>
    <w:rsid w:val="00B20DFF"/>
    <w:rsid w:val="00B220B0"/>
    <w:rsid w:val="00B24007"/>
    <w:rsid w:val="00B25A2D"/>
    <w:rsid w:val="00B25D36"/>
    <w:rsid w:val="00B27BC9"/>
    <w:rsid w:val="00B319BB"/>
    <w:rsid w:val="00B321BE"/>
    <w:rsid w:val="00B34523"/>
    <w:rsid w:val="00B355B8"/>
    <w:rsid w:val="00B35F7C"/>
    <w:rsid w:val="00B36042"/>
    <w:rsid w:val="00B3681B"/>
    <w:rsid w:val="00B4158E"/>
    <w:rsid w:val="00B42A0B"/>
    <w:rsid w:val="00B42FF8"/>
    <w:rsid w:val="00B430AC"/>
    <w:rsid w:val="00B43DB7"/>
    <w:rsid w:val="00B450C6"/>
    <w:rsid w:val="00B462B9"/>
    <w:rsid w:val="00B4717D"/>
    <w:rsid w:val="00B477BC"/>
    <w:rsid w:val="00B47D2B"/>
    <w:rsid w:val="00B5040D"/>
    <w:rsid w:val="00B52E1A"/>
    <w:rsid w:val="00B53EBF"/>
    <w:rsid w:val="00B53EFB"/>
    <w:rsid w:val="00B53FDA"/>
    <w:rsid w:val="00B57E19"/>
    <w:rsid w:val="00B64CBC"/>
    <w:rsid w:val="00B66050"/>
    <w:rsid w:val="00B71AAB"/>
    <w:rsid w:val="00B71C4A"/>
    <w:rsid w:val="00B7375E"/>
    <w:rsid w:val="00B75495"/>
    <w:rsid w:val="00B75C82"/>
    <w:rsid w:val="00B76F7D"/>
    <w:rsid w:val="00B777F0"/>
    <w:rsid w:val="00B801C5"/>
    <w:rsid w:val="00B827B4"/>
    <w:rsid w:val="00B83211"/>
    <w:rsid w:val="00B834DD"/>
    <w:rsid w:val="00B90FFB"/>
    <w:rsid w:val="00B919AB"/>
    <w:rsid w:val="00B923C9"/>
    <w:rsid w:val="00B93A3F"/>
    <w:rsid w:val="00B9620C"/>
    <w:rsid w:val="00B97B98"/>
    <w:rsid w:val="00BA18D7"/>
    <w:rsid w:val="00BA3ADE"/>
    <w:rsid w:val="00BA4530"/>
    <w:rsid w:val="00BA56C0"/>
    <w:rsid w:val="00BA6BC0"/>
    <w:rsid w:val="00BA745A"/>
    <w:rsid w:val="00BB4E32"/>
    <w:rsid w:val="00BB762A"/>
    <w:rsid w:val="00BC1070"/>
    <w:rsid w:val="00BC2A06"/>
    <w:rsid w:val="00BC551E"/>
    <w:rsid w:val="00BD0E3B"/>
    <w:rsid w:val="00BD2356"/>
    <w:rsid w:val="00BD4129"/>
    <w:rsid w:val="00BE19A5"/>
    <w:rsid w:val="00BE334D"/>
    <w:rsid w:val="00BE3C25"/>
    <w:rsid w:val="00BE4517"/>
    <w:rsid w:val="00BE627F"/>
    <w:rsid w:val="00BE7B34"/>
    <w:rsid w:val="00BF2942"/>
    <w:rsid w:val="00BF2A1F"/>
    <w:rsid w:val="00BF78C6"/>
    <w:rsid w:val="00BF7BDC"/>
    <w:rsid w:val="00C0007D"/>
    <w:rsid w:val="00C008A2"/>
    <w:rsid w:val="00C0134B"/>
    <w:rsid w:val="00C02B9E"/>
    <w:rsid w:val="00C04B56"/>
    <w:rsid w:val="00C05B15"/>
    <w:rsid w:val="00C06ED3"/>
    <w:rsid w:val="00C0754F"/>
    <w:rsid w:val="00C07DA7"/>
    <w:rsid w:val="00C10730"/>
    <w:rsid w:val="00C1138A"/>
    <w:rsid w:val="00C11DAC"/>
    <w:rsid w:val="00C121DA"/>
    <w:rsid w:val="00C12274"/>
    <w:rsid w:val="00C12C0C"/>
    <w:rsid w:val="00C12C35"/>
    <w:rsid w:val="00C13FA6"/>
    <w:rsid w:val="00C16595"/>
    <w:rsid w:val="00C165F9"/>
    <w:rsid w:val="00C16C83"/>
    <w:rsid w:val="00C17C71"/>
    <w:rsid w:val="00C20512"/>
    <w:rsid w:val="00C20F52"/>
    <w:rsid w:val="00C21A33"/>
    <w:rsid w:val="00C24174"/>
    <w:rsid w:val="00C258F3"/>
    <w:rsid w:val="00C27A54"/>
    <w:rsid w:val="00C31AD1"/>
    <w:rsid w:val="00C33375"/>
    <w:rsid w:val="00C33FB4"/>
    <w:rsid w:val="00C35198"/>
    <w:rsid w:val="00C3740E"/>
    <w:rsid w:val="00C40B71"/>
    <w:rsid w:val="00C43041"/>
    <w:rsid w:val="00C43CBB"/>
    <w:rsid w:val="00C43FCB"/>
    <w:rsid w:val="00C456AE"/>
    <w:rsid w:val="00C466D8"/>
    <w:rsid w:val="00C46E0D"/>
    <w:rsid w:val="00C47019"/>
    <w:rsid w:val="00C472F4"/>
    <w:rsid w:val="00C473CC"/>
    <w:rsid w:val="00C47E2A"/>
    <w:rsid w:val="00C53DAC"/>
    <w:rsid w:val="00C53FCC"/>
    <w:rsid w:val="00C53FE1"/>
    <w:rsid w:val="00C55102"/>
    <w:rsid w:val="00C5574E"/>
    <w:rsid w:val="00C55793"/>
    <w:rsid w:val="00C57565"/>
    <w:rsid w:val="00C60549"/>
    <w:rsid w:val="00C62D45"/>
    <w:rsid w:val="00C6339B"/>
    <w:rsid w:val="00C64D24"/>
    <w:rsid w:val="00C6544A"/>
    <w:rsid w:val="00C7365D"/>
    <w:rsid w:val="00C736DF"/>
    <w:rsid w:val="00C76DDB"/>
    <w:rsid w:val="00C80FA2"/>
    <w:rsid w:val="00C81775"/>
    <w:rsid w:val="00C823F0"/>
    <w:rsid w:val="00C82AA8"/>
    <w:rsid w:val="00C82C27"/>
    <w:rsid w:val="00C84394"/>
    <w:rsid w:val="00C8443A"/>
    <w:rsid w:val="00C853A0"/>
    <w:rsid w:val="00C85785"/>
    <w:rsid w:val="00C90D61"/>
    <w:rsid w:val="00C9391D"/>
    <w:rsid w:val="00C95002"/>
    <w:rsid w:val="00C951EC"/>
    <w:rsid w:val="00C956A4"/>
    <w:rsid w:val="00CA0143"/>
    <w:rsid w:val="00CA078A"/>
    <w:rsid w:val="00CA2512"/>
    <w:rsid w:val="00CA48D9"/>
    <w:rsid w:val="00CB0058"/>
    <w:rsid w:val="00CB2490"/>
    <w:rsid w:val="00CB4904"/>
    <w:rsid w:val="00CB4B98"/>
    <w:rsid w:val="00CB5F98"/>
    <w:rsid w:val="00CB6AAE"/>
    <w:rsid w:val="00CB6FB7"/>
    <w:rsid w:val="00CB7BD9"/>
    <w:rsid w:val="00CC01CD"/>
    <w:rsid w:val="00CC1287"/>
    <w:rsid w:val="00CC269F"/>
    <w:rsid w:val="00CC2818"/>
    <w:rsid w:val="00CC3B2D"/>
    <w:rsid w:val="00CC3DC7"/>
    <w:rsid w:val="00CC46F5"/>
    <w:rsid w:val="00CC4A14"/>
    <w:rsid w:val="00CD0D13"/>
    <w:rsid w:val="00CD13E9"/>
    <w:rsid w:val="00CD2D89"/>
    <w:rsid w:val="00CD2F50"/>
    <w:rsid w:val="00CD38B7"/>
    <w:rsid w:val="00CD704D"/>
    <w:rsid w:val="00CD718D"/>
    <w:rsid w:val="00CE00D9"/>
    <w:rsid w:val="00CE3465"/>
    <w:rsid w:val="00CE42C5"/>
    <w:rsid w:val="00CE4A45"/>
    <w:rsid w:val="00CE5B4E"/>
    <w:rsid w:val="00CE77F0"/>
    <w:rsid w:val="00CF36CC"/>
    <w:rsid w:val="00CF5F02"/>
    <w:rsid w:val="00D0087F"/>
    <w:rsid w:val="00D04320"/>
    <w:rsid w:val="00D046B1"/>
    <w:rsid w:val="00D0524C"/>
    <w:rsid w:val="00D05A32"/>
    <w:rsid w:val="00D07B14"/>
    <w:rsid w:val="00D10F43"/>
    <w:rsid w:val="00D1411A"/>
    <w:rsid w:val="00D154DF"/>
    <w:rsid w:val="00D1593E"/>
    <w:rsid w:val="00D15D30"/>
    <w:rsid w:val="00D17DE3"/>
    <w:rsid w:val="00D20175"/>
    <w:rsid w:val="00D206EA"/>
    <w:rsid w:val="00D2146B"/>
    <w:rsid w:val="00D21C61"/>
    <w:rsid w:val="00D21E85"/>
    <w:rsid w:val="00D2269C"/>
    <w:rsid w:val="00D23B40"/>
    <w:rsid w:val="00D23DD2"/>
    <w:rsid w:val="00D23EFB"/>
    <w:rsid w:val="00D24656"/>
    <w:rsid w:val="00D250D8"/>
    <w:rsid w:val="00D25E8B"/>
    <w:rsid w:val="00D26A9A"/>
    <w:rsid w:val="00D26BFF"/>
    <w:rsid w:val="00D26C18"/>
    <w:rsid w:val="00D27AE8"/>
    <w:rsid w:val="00D32164"/>
    <w:rsid w:val="00D34EB8"/>
    <w:rsid w:val="00D3746A"/>
    <w:rsid w:val="00D41B40"/>
    <w:rsid w:val="00D4290F"/>
    <w:rsid w:val="00D4437C"/>
    <w:rsid w:val="00D44624"/>
    <w:rsid w:val="00D4672F"/>
    <w:rsid w:val="00D46F3B"/>
    <w:rsid w:val="00D474C0"/>
    <w:rsid w:val="00D51EF3"/>
    <w:rsid w:val="00D54A7E"/>
    <w:rsid w:val="00D61373"/>
    <w:rsid w:val="00D61DAF"/>
    <w:rsid w:val="00D62624"/>
    <w:rsid w:val="00D62856"/>
    <w:rsid w:val="00D64527"/>
    <w:rsid w:val="00D647CE"/>
    <w:rsid w:val="00D65A7D"/>
    <w:rsid w:val="00D66E52"/>
    <w:rsid w:val="00D67CEB"/>
    <w:rsid w:val="00D70ACE"/>
    <w:rsid w:val="00D71BF6"/>
    <w:rsid w:val="00D71D54"/>
    <w:rsid w:val="00D725B1"/>
    <w:rsid w:val="00D74866"/>
    <w:rsid w:val="00D7638C"/>
    <w:rsid w:val="00D77028"/>
    <w:rsid w:val="00D7754E"/>
    <w:rsid w:val="00D77D5C"/>
    <w:rsid w:val="00D81937"/>
    <w:rsid w:val="00D83E56"/>
    <w:rsid w:val="00D84171"/>
    <w:rsid w:val="00D852D3"/>
    <w:rsid w:val="00D864BC"/>
    <w:rsid w:val="00D872F1"/>
    <w:rsid w:val="00D904C7"/>
    <w:rsid w:val="00D907B0"/>
    <w:rsid w:val="00D913A2"/>
    <w:rsid w:val="00D920ED"/>
    <w:rsid w:val="00D92CA5"/>
    <w:rsid w:val="00D93714"/>
    <w:rsid w:val="00D94BCD"/>
    <w:rsid w:val="00D94D8A"/>
    <w:rsid w:val="00D95EF0"/>
    <w:rsid w:val="00D96E2E"/>
    <w:rsid w:val="00D97C15"/>
    <w:rsid w:val="00DA2E31"/>
    <w:rsid w:val="00DA3228"/>
    <w:rsid w:val="00DB0C82"/>
    <w:rsid w:val="00DB30A4"/>
    <w:rsid w:val="00DB368A"/>
    <w:rsid w:val="00DB4B2F"/>
    <w:rsid w:val="00DB6B63"/>
    <w:rsid w:val="00DB7825"/>
    <w:rsid w:val="00DB7988"/>
    <w:rsid w:val="00DB7F3B"/>
    <w:rsid w:val="00DC0760"/>
    <w:rsid w:val="00DC30B9"/>
    <w:rsid w:val="00DC519D"/>
    <w:rsid w:val="00DC7128"/>
    <w:rsid w:val="00DC7F05"/>
    <w:rsid w:val="00DD013A"/>
    <w:rsid w:val="00DD06BD"/>
    <w:rsid w:val="00DD07BF"/>
    <w:rsid w:val="00DD205F"/>
    <w:rsid w:val="00DD21B0"/>
    <w:rsid w:val="00DD265A"/>
    <w:rsid w:val="00DD3A76"/>
    <w:rsid w:val="00DD3FD6"/>
    <w:rsid w:val="00DD5CF4"/>
    <w:rsid w:val="00DD616C"/>
    <w:rsid w:val="00DE1462"/>
    <w:rsid w:val="00DE1518"/>
    <w:rsid w:val="00DE3135"/>
    <w:rsid w:val="00DE331D"/>
    <w:rsid w:val="00DE3490"/>
    <w:rsid w:val="00DE57DA"/>
    <w:rsid w:val="00DF05E6"/>
    <w:rsid w:val="00DF09AE"/>
    <w:rsid w:val="00DF12B6"/>
    <w:rsid w:val="00DF2ACB"/>
    <w:rsid w:val="00DF34A4"/>
    <w:rsid w:val="00DF3E1C"/>
    <w:rsid w:val="00DF5740"/>
    <w:rsid w:val="00DF5CDA"/>
    <w:rsid w:val="00DF6645"/>
    <w:rsid w:val="00DF6AED"/>
    <w:rsid w:val="00DF71E6"/>
    <w:rsid w:val="00E0020F"/>
    <w:rsid w:val="00E010D2"/>
    <w:rsid w:val="00E023C5"/>
    <w:rsid w:val="00E02DF6"/>
    <w:rsid w:val="00E03884"/>
    <w:rsid w:val="00E038DA"/>
    <w:rsid w:val="00E039B7"/>
    <w:rsid w:val="00E04575"/>
    <w:rsid w:val="00E045AF"/>
    <w:rsid w:val="00E04CEE"/>
    <w:rsid w:val="00E052B1"/>
    <w:rsid w:val="00E05A82"/>
    <w:rsid w:val="00E10DC5"/>
    <w:rsid w:val="00E14224"/>
    <w:rsid w:val="00E169A2"/>
    <w:rsid w:val="00E16B71"/>
    <w:rsid w:val="00E17D27"/>
    <w:rsid w:val="00E21860"/>
    <w:rsid w:val="00E21BDF"/>
    <w:rsid w:val="00E23952"/>
    <w:rsid w:val="00E24338"/>
    <w:rsid w:val="00E24D08"/>
    <w:rsid w:val="00E2648B"/>
    <w:rsid w:val="00E26D2B"/>
    <w:rsid w:val="00E2754B"/>
    <w:rsid w:val="00E302C0"/>
    <w:rsid w:val="00E30F95"/>
    <w:rsid w:val="00E325D8"/>
    <w:rsid w:val="00E32E68"/>
    <w:rsid w:val="00E33058"/>
    <w:rsid w:val="00E3363A"/>
    <w:rsid w:val="00E33910"/>
    <w:rsid w:val="00E33B7A"/>
    <w:rsid w:val="00E3425D"/>
    <w:rsid w:val="00E36B89"/>
    <w:rsid w:val="00E37F7D"/>
    <w:rsid w:val="00E40EF4"/>
    <w:rsid w:val="00E42837"/>
    <w:rsid w:val="00E44B2D"/>
    <w:rsid w:val="00E46561"/>
    <w:rsid w:val="00E46D1A"/>
    <w:rsid w:val="00E517C9"/>
    <w:rsid w:val="00E56A35"/>
    <w:rsid w:val="00E602BF"/>
    <w:rsid w:val="00E60C55"/>
    <w:rsid w:val="00E619DF"/>
    <w:rsid w:val="00E64991"/>
    <w:rsid w:val="00E70866"/>
    <w:rsid w:val="00E70DBF"/>
    <w:rsid w:val="00E72F06"/>
    <w:rsid w:val="00E73D04"/>
    <w:rsid w:val="00E7631B"/>
    <w:rsid w:val="00E7742C"/>
    <w:rsid w:val="00E8106F"/>
    <w:rsid w:val="00E845F3"/>
    <w:rsid w:val="00E8642E"/>
    <w:rsid w:val="00E868EA"/>
    <w:rsid w:val="00E8719E"/>
    <w:rsid w:val="00E9281C"/>
    <w:rsid w:val="00E93493"/>
    <w:rsid w:val="00E95CB8"/>
    <w:rsid w:val="00EA055C"/>
    <w:rsid w:val="00EA0A89"/>
    <w:rsid w:val="00EA2198"/>
    <w:rsid w:val="00EA29DD"/>
    <w:rsid w:val="00EA2A4A"/>
    <w:rsid w:val="00EA3329"/>
    <w:rsid w:val="00EA3EB6"/>
    <w:rsid w:val="00EA564F"/>
    <w:rsid w:val="00EA6F4E"/>
    <w:rsid w:val="00EA7C65"/>
    <w:rsid w:val="00EA7EDE"/>
    <w:rsid w:val="00EB1ABF"/>
    <w:rsid w:val="00EB539A"/>
    <w:rsid w:val="00EB60AD"/>
    <w:rsid w:val="00EC10FE"/>
    <w:rsid w:val="00EC1678"/>
    <w:rsid w:val="00EC3B94"/>
    <w:rsid w:val="00EC5D55"/>
    <w:rsid w:val="00EC6315"/>
    <w:rsid w:val="00EC7E17"/>
    <w:rsid w:val="00ED08E9"/>
    <w:rsid w:val="00ED0E94"/>
    <w:rsid w:val="00ED3625"/>
    <w:rsid w:val="00ED3959"/>
    <w:rsid w:val="00ED3AB1"/>
    <w:rsid w:val="00ED4317"/>
    <w:rsid w:val="00ED48ED"/>
    <w:rsid w:val="00ED4AAC"/>
    <w:rsid w:val="00ED58E9"/>
    <w:rsid w:val="00ED5C87"/>
    <w:rsid w:val="00EE038D"/>
    <w:rsid w:val="00EE126B"/>
    <w:rsid w:val="00EE15F5"/>
    <w:rsid w:val="00EE19BB"/>
    <w:rsid w:val="00EE35DC"/>
    <w:rsid w:val="00EE4B1E"/>
    <w:rsid w:val="00EE6A70"/>
    <w:rsid w:val="00EE7E81"/>
    <w:rsid w:val="00EF1BC0"/>
    <w:rsid w:val="00EF2B6A"/>
    <w:rsid w:val="00EF6671"/>
    <w:rsid w:val="00EF7193"/>
    <w:rsid w:val="00F0021B"/>
    <w:rsid w:val="00F021B1"/>
    <w:rsid w:val="00F02C83"/>
    <w:rsid w:val="00F05E92"/>
    <w:rsid w:val="00F061A1"/>
    <w:rsid w:val="00F06A28"/>
    <w:rsid w:val="00F07B7D"/>
    <w:rsid w:val="00F1175C"/>
    <w:rsid w:val="00F1272F"/>
    <w:rsid w:val="00F1320C"/>
    <w:rsid w:val="00F161B2"/>
    <w:rsid w:val="00F1771D"/>
    <w:rsid w:val="00F227CC"/>
    <w:rsid w:val="00F23DD6"/>
    <w:rsid w:val="00F24852"/>
    <w:rsid w:val="00F2616E"/>
    <w:rsid w:val="00F26585"/>
    <w:rsid w:val="00F31899"/>
    <w:rsid w:val="00F331F3"/>
    <w:rsid w:val="00F356F8"/>
    <w:rsid w:val="00F3604C"/>
    <w:rsid w:val="00F365F1"/>
    <w:rsid w:val="00F37468"/>
    <w:rsid w:val="00F37F35"/>
    <w:rsid w:val="00F40A16"/>
    <w:rsid w:val="00F40DA9"/>
    <w:rsid w:val="00F41889"/>
    <w:rsid w:val="00F41B4D"/>
    <w:rsid w:val="00F44094"/>
    <w:rsid w:val="00F45D27"/>
    <w:rsid w:val="00F45D50"/>
    <w:rsid w:val="00F46C49"/>
    <w:rsid w:val="00F52B86"/>
    <w:rsid w:val="00F52D73"/>
    <w:rsid w:val="00F53161"/>
    <w:rsid w:val="00F53655"/>
    <w:rsid w:val="00F53C96"/>
    <w:rsid w:val="00F5510A"/>
    <w:rsid w:val="00F555F3"/>
    <w:rsid w:val="00F5774E"/>
    <w:rsid w:val="00F61268"/>
    <w:rsid w:val="00F61C32"/>
    <w:rsid w:val="00F61E4F"/>
    <w:rsid w:val="00F633C4"/>
    <w:rsid w:val="00F65BC5"/>
    <w:rsid w:val="00F70D9E"/>
    <w:rsid w:val="00F71311"/>
    <w:rsid w:val="00F71F53"/>
    <w:rsid w:val="00F73420"/>
    <w:rsid w:val="00F73C9C"/>
    <w:rsid w:val="00F82870"/>
    <w:rsid w:val="00F83D26"/>
    <w:rsid w:val="00F8557A"/>
    <w:rsid w:val="00F85A67"/>
    <w:rsid w:val="00F86862"/>
    <w:rsid w:val="00F90690"/>
    <w:rsid w:val="00F915C8"/>
    <w:rsid w:val="00F91645"/>
    <w:rsid w:val="00F920C2"/>
    <w:rsid w:val="00F92C29"/>
    <w:rsid w:val="00F96C24"/>
    <w:rsid w:val="00FA0DCA"/>
    <w:rsid w:val="00FA271F"/>
    <w:rsid w:val="00FA2BA4"/>
    <w:rsid w:val="00FA4B9C"/>
    <w:rsid w:val="00FA67EF"/>
    <w:rsid w:val="00FA6C31"/>
    <w:rsid w:val="00FA7036"/>
    <w:rsid w:val="00FB098E"/>
    <w:rsid w:val="00FB2144"/>
    <w:rsid w:val="00FB2B8F"/>
    <w:rsid w:val="00FB332B"/>
    <w:rsid w:val="00FB56A5"/>
    <w:rsid w:val="00FB5CB4"/>
    <w:rsid w:val="00FB67BB"/>
    <w:rsid w:val="00FB7439"/>
    <w:rsid w:val="00FC0148"/>
    <w:rsid w:val="00FC2CCB"/>
    <w:rsid w:val="00FC323E"/>
    <w:rsid w:val="00FC39A7"/>
    <w:rsid w:val="00FC4D9A"/>
    <w:rsid w:val="00FC4FEE"/>
    <w:rsid w:val="00FC5C3A"/>
    <w:rsid w:val="00FC6082"/>
    <w:rsid w:val="00FC6793"/>
    <w:rsid w:val="00FC7DC2"/>
    <w:rsid w:val="00FD013A"/>
    <w:rsid w:val="00FD1204"/>
    <w:rsid w:val="00FD14BF"/>
    <w:rsid w:val="00FD2061"/>
    <w:rsid w:val="00FD353E"/>
    <w:rsid w:val="00FD3995"/>
    <w:rsid w:val="00FD3BC7"/>
    <w:rsid w:val="00FD3EC4"/>
    <w:rsid w:val="00FD6003"/>
    <w:rsid w:val="00FD7BF8"/>
    <w:rsid w:val="00FE084D"/>
    <w:rsid w:val="00FE1D90"/>
    <w:rsid w:val="00FE4E21"/>
    <w:rsid w:val="00FE7707"/>
    <w:rsid w:val="00FE79BD"/>
    <w:rsid w:val="00FE7DD4"/>
    <w:rsid w:val="00FF1AC7"/>
    <w:rsid w:val="00FF3E29"/>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A41A3D2"/>
  <w15:chartTrackingRefBased/>
  <w15:docId w15:val="{7E3E8175-29DF-4D9C-9F0C-38BB8E2E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49C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D872F1"/>
    <w:rPr>
      <w:sz w:val="16"/>
    </w:rPr>
  </w:style>
  <w:style w:type="paragraph" w:styleId="CommentText">
    <w:name w:val="annotation text"/>
    <w:basedOn w:val="Normal"/>
    <w:link w:val="CommentTextChar"/>
    <w:uiPriority w:val="99"/>
    <w:semiHidden/>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596016314">
          <w:marLeft w:val="720"/>
          <w:marRight w:val="0"/>
          <w:marTop w:val="0"/>
          <w:marBottom w:val="0"/>
          <w:divBdr>
            <w:top w:val="none" w:sz="0" w:space="0" w:color="auto"/>
            <w:left w:val="none" w:sz="0" w:space="0" w:color="auto"/>
            <w:bottom w:val="none" w:sz="0" w:space="0" w:color="auto"/>
            <w:right w:val="none" w:sz="0" w:space="0" w:color="auto"/>
          </w:divBdr>
        </w:div>
        <w:div w:id="246113618">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1743525209">
          <w:marLeft w:val="720"/>
          <w:marRight w:val="0"/>
          <w:marTop w:val="0"/>
          <w:marBottom w:val="0"/>
          <w:divBdr>
            <w:top w:val="none" w:sz="0" w:space="0" w:color="auto"/>
            <w:left w:val="none" w:sz="0" w:space="0" w:color="auto"/>
            <w:bottom w:val="none" w:sz="0" w:space="0" w:color="auto"/>
            <w:right w:val="none" w:sz="0" w:space="0" w:color="auto"/>
          </w:divBdr>
        </w:div>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975334076">
          <w:marLeft w:val="850"/>
          <w:marRight w:val="0"/>
          <w:marTop w:val="0"/>
          <w:marBottom w:val="120"/>
          <w:divBdr>
            <w:top w:val="none" w:sz="0" w:space="0" w:color="auto"/>
            <w:left w:val="none" w:sz="0" w:space="0" w:color="auto"/>
            <w:bottom w:val="none" w:sz="0" w:space="0" w:color="auto"/>
            <w:right w:val="none" w:sz="0" w:space="0" w:color="auto"/>
          </w:divBdr>
        </w:div>
        <w:div w:id="145587668">
          <w:marLeft w:val="1224"/>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1248415885">
          <w:marLeft w:val="547"/>
          <w:marRight w:val="0"/>
          <w:marTop w:val="0"/>
          <w:marBottom w:val="0"/>
          <w:divBdr>
            <w:top w:val="none" w:sz="0" w:space="0" w:color="auto"/>
            <w:left w:val="none" w:sz="0" w:space="0" w:color="auto"/>
            <w:bottom w:val="none" w:sz="0" w:space="0" w:color="auto"/>
            <w:right w:val="none" w:sz="0" w:space="0" w:color="auto"/>
          </w:divBdr>
        </w:div>
        <w:div w:id="34357898">
          <w:marLeft w:val="1166"/>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94F218E5ECD327459289596818C9186D" ma:contentTypeVersion="16" ma:contentTypeDescription="Create a new document." ma:contentTypeScope="" ma:versionID="9909cff7fe5ad10cefd42fbd7c29600f">
  <xsd:schema xmlns:xsd="http://www.w3.org/2001/XMLSchema" xmlns:xs="http://www.w3.org/2001/XMLSchema" xmlns:p="http://schemas.microsoft.com/office/2006/metadata/properties" xmlns:ns3="71c5aaf6-e6ce-465b-b873-5148d2a4c105" xmlns:ns4="de1286be-871e-4902-81dc-49abe03c021d" xmlns:ns5="2086a39d-8cd3-410e-b074-c7a3ccf2b603" targetNamespace="http://schemas.microsoft.com/office/2006/metadata/properties" ma:root="true" ma:fieldsID="f092aee0bb6a13c4e946540b5496085b" ns3:_="" ns4:_="" ns5:_="">
    <xsd:import namespace="71c5aaf6-e6ce-465b-b873-5148d2a4c105"/>
    <xsd:import namespace="de1286be-871e-4902-81dc-49abe03c021d"/>
    <xsd:import namespace="2086a39d-8cd3-410e-b074-c7a3ccf2b60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Location" minOccurs="0"/>
                <xsd:element ref="ns4:MediaServiceDateTake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e1286be-871e-4902-81dc-49abe03c02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86a39d-8cd3-410e-b074-c7a3ccf2b603"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5AIRPNAIUNRU-2011157460-641</_dlc_DocId>
    <_dlc_DocIdUrl xmlns="71c5aaf6-e6ce-465b-b873-5148d2a4c105">
      <Url>https://nokia.sharepoint.com/sites/c5g/projects/bfa/_layouts/15/DocIdRedir.aspx?ID=5AIRPNAIUNRU-2011157460-641</Url>
      <Description>5AIRPNAIUNRU-2011157460-641</Description>
    </_dlc_DocIdUrl>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Props1.xml><?xml version="1.0" encoding="utf-8"?>
<ds:datastoreItem xmlns:ds="http://schemas.openxmlformats.org/officeDocument/2006/customXml" ds:itemID="{57D82D7B-BFBB-4CA7-BEA4-2E588A389423}">
  <ds:schemaRefs>
    <ds:schemaRef ds:uri="http://schemas.microsoft.com/sharepoint/events"/>
  </ds:schemaRefs>
</ds:datastoreItem>
</file>

<file path=customXml/itemProps2.xml><?xml version="1.0" encoding="utf-8"?>
<ds:datastoreItem xmlns:ds="http://schemas.openxmlformats.org/officeDocument/2006/customXml" ds:itemID="{40FF9192-B3C6-4930-9A8D-C2CCDF76B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e1286be-871e-4902-81dc-49abe03c021d"/>
    <ds:schemaRef ds:uri="2086a39d-8cd3-410e-b074-c7a3ccf2b6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4.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80E14AD-EF51-4F33-97F5-C09ACF8E2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21</Pages>
  <Words>8711</Words>
  <Characters>49654</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Nokia/NSB</cp:lastModifiedBy>
  <cp:revision>64</cp:revision>
  <dcterms:created xsi:type="dcterms:W3CDTF">2021-01-18T11:55:00Z</dcterms:created>
  <dcterms:modified xsi:type="dcterms:W3CDTF">2021-01-18T19:59:00Z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0x01010094F218E5ECD327459289596818C9186D</vt:lpwstr>
  </property>
  <property fmtid="{D5CDD505-2E9C-101B-9397-08002B2CF9AE}" pid="3" name="_dlc_DocIdItemGuid">
    <vt:lpwstr>013c5669-0929-464c-aab7-934b7bf3a952</vt:lpwstr>
  </property>
</Properties>
</file>