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D3C42" w14:textId="70AEFE44" w:rsidR="006C4B04" w:rsidRPr="00B75817" w:rsidRDefault="006C4B04" w:rsidP="006C4B04">
      <w:pPr>
        <w:pStyle w:val="aff3"/>
        <w:snapToGrid w:val="0"/>
        <w:ind w:left="2384" w:hangingChars="993" w:hanging="2384"/>
        <w:rPr>
          <w:rFonts w:ascii="Arial" w:hAnsi="Arial" w:cs="Arial"/>
          <w:b/>
          <w:bCs/>
          <w:sz w:val="24"/>
          <w:szCs w:val="24"/>
          <w:lang w:val="en-GB"/>
        </w:rPr>
      </w:pPr>
      <w:bookmarkStart w:id="0" w:name="OLE_LINK2"/>
      <w:bookmarkStart w:id="1" w:name="OLE_LINK3"/>
      <w:r w:rsidRPr="00B75817">
        <w:rPr>
          <w:rFonts w:ascii="Arial" w:hAnsi="Arial" w:cs="Arial"/>
          <w:b/>
          <w:bCs/>
          <w:sz w:val="24"/>
          <w:szCs w:val="24"/>
          <w:lang w:val="en-GB"/>
        </w:rPr>
        <w:t>3GPP TSG RAN WG1 #104-e</w:t>
      </w:r>
      <w:r w:rsidRPr="00B75817">
        <w:rPr>
          <w:rFonts w:ascii="Arial" w:hAnsi="Arial" w:cs="Arial"/>
          <w:b/>
          <w:bCs/>
          <w:sz w:val="24"/>
          <w:szCs w:val="24"/>
          <w:lang w:val="en-GB"/>
        </w:rPr>
        <w:tab/>
      </w:r>
      <w:r w:rsidRPr="00B75817">
        <w:rPr>
          <w:rFonts w:ascii="Arial" w:hAnsi="Arial" w:cs="Arial"/>
          <w:b/>
          <w:bCs/>
          <w:sz w:val="24"/>
          <w:szCs w:val="24"/>
          <w:lang w:val="en-GB"/>
        </w:rPr>
        <w:tab/>
      </w:r>
      <w:r w:rsidRPr="00B7581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103F3C" w:rsidRPr="00103F3C">
        <w:rPr>
          <w:rFonts w:ascii="Arial" w:hAnsi="Arial" w:cs="Arial"/>
          <w:b/>
          <w:bCs/>
          <w:sz w:val="24"/>
          <w:szCs w:val="24"/>
          <w:lang w:val="en-GB"/>
        </w:rPr>
        <w:t>R1-2100951</w:t>
      </w:r>
    </w:p>
    <w:p w14:paraId="19ED71EB" w14:textId="77777777" w:rsidR="006C4B04" w:rsidRDefault="006C4B04" w:rsidP="006C4B04">
      <w:pPr>
        <w:pStyle w:val="aff3"/>
        <w:snapToGrid w:val="0"/>
        <w:ind w:left="2384" w:hangingChars="993" w:hanging="2384"/>
        <w:rPr>
          <w:rFonts w:ascii="Arial" w:hAnsi="Arial" w:cs="Arial"/>
          <w:b/>
          <w:bCs/>
          <w:sz w:val="24"/>
          <w:szCs w:val="24"/>
          <w:lang w:val="en-GB"/>
        </w:rPr>
      </w:pPr>
      <w:proofErr w:type="gramStart"/>
      <w:r w:rsidRPr="00B75817">
        <w:rPr>
          <w:rFonts w:ascii="Arial" w:hAnsi="Arial" w:cs="Arial"/>
          <w:b/>
          <w:bCs/>
          <w:sz w:val="24"/>
          <w:szCs w:val="24"/>
          <w:lang w:val="en-GB"/>
        </w:rPr>
        <w:t>e-Meeting</w:t>
      </w:r>
      <w:proofErr w:type="gramEnd"/>
      <w:r w:rsidRPr="00B75817">
        <w:rPr>
          <w:rFonts w:ascii="Arial" w:hAnsi="Arial" w:cs="Arial"/>
          <w:b/>
          <w:bCs/>
          <w:sz w:val="24"/>
          <w:szCs w:val="24"/>
          <w:lang w:val="en-GB"/>
        </w:rPr>
        <w:t>, January 25th – February 5th, 2021</w:t>
      </w:r>
    </w:p>
    <w:p w14:paraId="317E1240" w14:textId="77777777" w:rsidR="006A6600" w:rsidRPr="006C4B04"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7371FBC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9D34FA">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6330F193"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A3586C">
        <w:rPr>
          <w:rFonts w:eastAsia="宋体"/>
          <w:color w:val="000000" w:themeColor="text1"/>
          <w:sz w:val="22"/>
          <w:szCs w:val="22"/>
          <w:lang w:eastAsia="zh-CN"/>
        </w:rPr>
        <w:t>3</w:t>
      </w:r>
      <w:r>
        <w:rPr>
          <w:rFonts w:eastAsia="宋体"/>
          <w:color w:val="000000" w:themeColor="text1"/>
          <w:sz w:val="22"/>
          <w:szCs w:val="22"/>
          <w:lang w:eastAsia="zh-CN"/>
        </w:rPr>
        <w:t>e meeting [1], agreements on beam management for multi-TRP were achieved as:</w:t>
      </w:r>
    </w:p>
    <w:p w14:paraId="5093C825" w14:textId="77777777" w:rsidR="00215CE2" w:rsidRDefault="00215CE2" w:rsidP="00215CE2">
      <w:pPr>
        <w:snapToGrid w:val="0"/>
        <w:spacing w:after="0"/>
        <w:rPr>
          <w:rFonts w:cs="Times"/>
          <w:sz w:val="22"/>
          <w:szCs w:val="22"/>
          <w:lang w:eastAsia="ko-KR"/>
        </w:rPr>
      </w:pPr>
      <w:r>
        <w:rPr>
          <w:rFonts w:cs="Times"/>
          <w:b/>
          <w:bCs/>
          <w:highlight w:val="green"/>
        </w:rPr>
        <w:t>Agreement</w:t>
      </w:r>
    </w:p>
    <w:p w14:paraId="50721440" w14:textId="77777777" w:rsidR="00215CE2" w:rsidRDefault="00215CE2" w:rsidP="00215CE2">
      <w:pPr>
        <w:pStyle w:val="a7"/>
        <w:numPr>
          <w:ilvl w:val="0"/>
          <w:numId w:val="23"/>
        </w:numPr>
        <w:snapToGrid w:val="0"/>
        <w:spacing w:after="0"/>
        <w:contextualSpacing w:val="0"/>
        <w:jc w:val="both"/>
        <w:rPr>
          <w:rFonts w:cs="Times"/>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437FA8CD" w14:textId="77777777" w:rsidR="00215CE2" w:rsidRDefault="00215CE2" w:rsidP="00215CE2">
      <w:pPr>
        <w:pStyle w:val="a7"/>
        <w:numPr>
          <w:ilvl w:val="1"/>
          <w:numId w:val="23"/>
        </w:numPr>
        <w:snapToGrid w:val="0"/>
        <w:spacing w:after="0"/>
        <w:contextualSpacing w:val="0"/>
        <w:jc w:val="both"/>
        <w:rPr>
          <w:rFonts w:cs="Times"/>
        </w:rPr>
      </w:pPr>
      <w:r>
        <w:rPr>
          <w:rFonts w:cs="Times"/>
        </w:rPr>
        <w:t>FFS: The number of BFD RSs per BFD-RS set, the number of BFD-RS sets, and number of BFD RSs across all BFD-RS sets per DL BWP</w:t>
      </w:r>
    </w:p>
    <w:p w14:paraId="137B9A3D" w14:textId="77777777" w:rsidR="00215CE2" w:rsidRDefault="00215CE2" w:rsidP="00215CE2">
      <w:pPr>
        <w:pStyle w:val="a7"/>
        <w:numPr>
          <w:ilvl w:val="1"/>
          <w:numId w:val="23"/>
        </w:numPr>
        <w:snapToGrid w:val="0"/>
        <w:spacing w:after="0"/>
        <w:contextualSpacing w:val="0"/>
        <w:jc w:val="both"/>
        <w:rPr>
          <w:rFonts w:cs="Times"/>
        </w:rPr>
      </w:pPr>
      <w:r>
        <w:rPr>
          <w:rFonts w:cs="Times"/>
        </w:rPr>
        <w:t>Support at least one</w:t>
      </w:r>
      <w:r>
        <w:t> </w:t>
      </w:r>
      <w:r>
        <w:rPr>
          <w:rFonts w:cs="Times"/>
        </w:rPr>
        <w:t>of explicit and implicit BFD-RS configuration</w:t>
      </w:r>
    </w:p>
    <w:p w14:paraId="07D8E0DE" w14:textId="77777777" w:rsidR="00215CE2" w:rsidRDefault="00215CE2" w:rsidP="00215CE2">
      <w:pPr>
        <w:pStyle w:val="a7"/>
        <w:numPr>
          <w:ilvl w:val="2"/>
          <w:numId w:val="23"/>
        </w:numPr>
        <w:snapToGrid w:val="0"/>
        <w:spacing w:after="0"/>
        <w:contextualSpacing w:val="0"/>
        <w:jc w:val="both"/>
        <w:rPr>
          <w:rFonts w:cs="Times"/>
        </w:rPr>
      </w:pPr>
      <w:r>
        <w:rPr>
          <w:rFonts w:cs="Times"/>
        </w:rPr>
        <w:t>With explicit BFD-RS configuration, each BFD-RS set is explicitly configured</w:t>
      </w:r>
    </w:p>
    <w:p w14:paraId="26375BCC" w14:textId="77777777" w:rsidR="00215CE2" w:rsidRDefault="00215CE2" w:rsidP="00215CE2">
      <w:pPr>
        <w:pStyle w:val="a7"/>
        <w:numPr>
          <w:ilvl w:val="3"/>
          <w:numId w:val="23"/>
        </w:numPr>
        <w:snapToGrid w:val="0"/>
        <w:spacing w:after="0"/>
        <w:contextualSpacing w:val="0"/>
        <w:jc w:val="both"/>
        <w:rPr>
          <w:rFonts w:cs="Times"/>
        </w:rPr>
      </w:pPr>
      <w:r>
        <w:rPr>
          <w:rFonts w:cs="Times"/>
        </w:rPr>
        <w:t>FFS: Further study QCL relationship between BFD-RS and CORESET</w:t>
      </w:r>
    </w:p>
    <w:p w14:paraId="34C96EF6" w14:textId="77777777" w:rsidR="00215CE2" w:rsidRDefault="00215CE2" w:rsidP="00215CE2">
      <w:pPr>
        <w:pStyle w:val="a7"/>
        <w:numPr>
          <w:ilvl w:val="2"/>
          <w:numId w:val="23"/>
        </w:numPr>
        <w:snapToGrid w:val="0"/>
        <w:spacing w:after="0"/>
        <w:contextualSpacing w:val="0"/>
        <w:jc w:val="both"/>
        <w:rPr>
          <w:rFonts w:cs="Times"/>
        </w:rPr>
      </w:pPr>
      <w:r>
        <w:rPr>
          <w:rFonts w:cs="Times"/>
        </w:rPr>
        <w:t>FFS: How to determine implicit BFD-RS configuration, if supported</w:t>
      </w:r>
    </w:p>
    <w:p w14:paraId="2EB2A2A5" w14:textId="77777777" w:rsidR="00215CE2" w:rsidRDefault="00215CE2" w:rsidP="00215CE2">
      <w:pPr>
        <w:pStyle w:val="a7"/>
        <w:numPr>
          <w:ilvl w:val="0"/>
          <w:numId w:val="23"/>
        </w:numPr>
        <w:snapToGrid w:val="0"/>
        <w:spacing w:after="0"/>
        <w:contextualSpacing w:val="0"/>
        <w:jc w:val="both"/>
        <w:rPr>
          <w:rFonts w:cs="Times"/>
        </w:rPr>
      </w:pPr>
      <w:r>
        <w:rPr>
          <w:rFonts w:cs="Times"/>
        </w:rPr>
        <w:t>For M-TRP new beam identification</w:t>
      </w:r>
    </w:p>
    <w:p w14:paraId="16164E2A" w14:textId="77777777" w:rsidR="00215CE2" w:rsidRDefault="00215CE2" w:rsidP="00215CE2">
      <w:pPr>
        <w:pStyle w:val="a7"/>
        <w:numPr>
          <w:ilvl w:val="1"/>
          <w:numId w:val="23"/>
        </w:numPr>
        <w:snapToGrid w:val="0"/>
        <w:spacing w:after="0"/>
        <w:contextualSpacing w:val="0"/>
        <w:jc w:val="both"/>
        <w:rPr>
          <w:rFonts w:cs="Times"/>
        </w:rPr>
      </w:pPr>
      <w:r>
        <w:rPr>
          <w:rFonts w:cs="Times"/>
        </w:rPr>
        <w:t>Support independent configuration of new beam identification RS (NBI-RS) set per</w:t>
      </w:r>
      <w:r>
        <w:t> </w:t>
      </w:r>
      <w:r>
        <w:rPr>
          <w:rFonts w:cs="Times"/>
        </w:rPr>
        <w:t>TRP if NBI-RS set per TRP is configured</w:t>
      </w:r>
    </w:p>
    <w:p w14:paraId="70C159E7" w14:textId="77777777" w:rsidR="00215CE2" w:rsidRDefault="00215CE2" w:rsidP="00215CE2">
      <w:pPr>
        <w:pStyle w:val="a7"/>
        <w:numPr>
          <w:ilvl w:val="2"/>
          <w:numId w:val="23"/>
        </w:numPr>
        <w:snapToGrid w:val="0"/>
        <w:spacing w:after="0"/>
        <w:contextualSpacing w:val="0"/>
        <w:jc w:val="both"/>
        <w:rPr>
          <w:rFonts w:cs="Times"/>
        </w:rPr>
      </w:pPr>
      <w:r>
        <w:rPr>
          <w:rFonts w:cs="Times"/>
        </w:rPr>
        <w:t>FFS: detail on association of BFD-RS and NBI-RS</w:t>
      </w:r>
    </w:p>
    <w:p w14:paraId="44A2D90C" w14:textId="77777777" w:rsidR="00215CE2" w:rsidRDefault="00215CE2" w:rsidP="00215CE2">
      <w:pPr>
        <w:pStyle w:val="a7"/>
        <w:numPr>
          <w:ilvl w:val="2"/>
          <w:numId w:val="23"/>
        </w:numPr>
        <w:snapToGrid w:val="0"/>
        <w:spacing w:after="0"/>
        <w:contextualSpacing w:val="0"/>
        <w:jc w:val="both"/>
        <w:rPr>
          <w:rFonts w:cs="Times"/>
        </w:rPr>
      </w:pPr>
      <w:r>
        <w:rPr>
          <w:rFonts w:cs="Times"/>
        </w:rPr>
        <w:t>Support the same new beam identification and configuration</w:t>
      </w:r>
      <w:r>
        <w:t> </w:t>
      </w:r>
      <w:r>
        <w:rPr>
          <w:rFonts w:cs="Times"/>
        </w:rPr>
        <w:t>criteria as Rel.16,</w:t>
      </w:r>
      <w:r>
        <w:t> </w:t>
      </w:r>
      <w:r>
        <w:rPr>
          <w:rFonts w:cs="Times"/>
        </w:rPr>
        <w:t>including  L1-RSRP, threshold</w:t>
      </w:r>
    </w:p>
    <w:p w14:paraId="1EAF4123" w14:textId="77777777" w:rsidR="00215CE2" w:rsidRPr="00215CE2" w:rsidRDefault="00215CE2" w:rsidP="00215CE2">
      <w:pPr>
        <w:pStyle w:val="affe"/>
        <w:snapToGrid w:val="0"/>
        <w:spacing w:after="0"/>
        <w:rPr>
          <w:b/>
          <w:highlight w:val="green"/>
        </w:rPr>
      </w:pPr>
      <w:r w:rsidRPr="00215CE2">
        <w:rPr>
          <w:b/>
          <w:highlight w:val="green"/>
        </w:rPr>
        <w:t>Agreement</w:t>
      </w:r>
    </w:p>
    <w:p w14:paraId="44629689" w14:textId="77777777" w:rsidR="00215CE2" w:rsidRPr="00215CE2" w:rsidRDefault="00215CE2" w:rsidP="00215CE2">
      <w:pPr>
        <w:pStyle w:val="Normal9pointspacing"/>
        <w:snapToGrid w:val="0"/>
        <w:spacing w:before="0" w:after="0"/>
        <w:rPr>
          <w:rFonts w:ascii="Times New Roman" w:hAnsi="Times New Roman" w:cs="Times New Roman"/>
          <w:b/>
          <w:sz w:val="21"/>
          <w:szCs w:val="20"/>
          <w:lang w:val="en-US"/>
        </w:rPr>
      </w:pPr>
      <w:r w:rsidRPr="00215CE2">
        <w:rPr>
          <w:rFonts w:ascii="Times New Roman" w:hAnsi="Times New Roman" w:cs="Times New Roman"/>
          <w:sz w:val="21"/>
          <w:szCs w:val="20"/>
          <w:lang w:val="en-US"/>
        </w:rPr>
        <w:t>Support TRP-specific BFD counter and timer in the MAC procedure</w:t>
      </w:r>
    </w:p>
    <w:p w14:paraId="1535CFCD" w14:textId="77777777" w:rsidR="00215CE2" w:rsidRPr="00215CE2" w:rsidRDefault="00215CE2" w:rsidP="00215CE2">
      <w:pPr>
        <w:pStyle w:val="a7"/>
        <w:numPr>
          <w:ilvl w:val="0"/>
          <w:numId w:val="23"/>
        </w:numPr>
        <w:snapToGrid w:val="0"/>
        <w:spacing w:after="0"/>
        <w:contextualSpacing w:val="0"/>
        <w:jc w:val="both"/>
      </w:pPr>
      <w:r w:rsidRPr="00215CE2">
        <w:t>The term TRP is used only for the purposes of discussions in RAN1 and whether/how to capture this is FFS</w:t>
      </w:r>
    </w:p>
    <w:p w14:paraId="4092036E" w14:textId="77777777" w:rsidR="00215CE2" w:rsidRDefault="00215CE2" w:rsidP="00215CE2">
      <w:pPr>
        <w:pStyle w:val="affe"/>
        <w:snapToGrid w:val="0"/>
        <w:spacing w:after="0"/>
        <w:rPr>
          <w:b/>
          <w:szCs w:val="20"/>
          <w:highlight w:val="green"/>
        </w:rPr>
      </w:pPr>
      <w:r>
        <w:rPr>
          <w:b/>
          <w:szCs w:val="20"/>
          <w:highlight w:val="green"/>
        </w:rPr>
        <w:t>Agreement</w:t>
      </w:r>
    </w:p>
    <w:p w14:paraId="3C9A5EDD" w14:textId="77777777" w:rsidR="00215CE2" w:rsidRDefault="00215CE2" w:rsidP="00215CE2">
      <w:pPr>
        <w:pStyle w:val="a7"/>
        <w:numPr>
          <w:ilvl w:val="0"/>
          <w:numId w:val="23"/>
        </w:numPr>
        <w:snapToGrid w:val="0"/>
        <w:spacing w:after="0"/>
        <w:contextualSpacing w:val="0"/>
        <w:jc w:val="both"/>
        <w:rPr>
          <w:rFonts w:cs="Times"/>
        </w:rPr>
      </w:pPr>
      <w:r>
        <w:rPr>
          <w:rFonts w:cs="Times"/>
        </w:rPr>
        <w:t xml:space="preserve">Support a BFRQ framework based on Rel.16 </w:t>
      </w:r>
      <w:proofErr w:type="spellStart"/>
      <w:r>
        <w:rPr>
          <w:rFonts w:cs="Times"/>
        </w:rPr>
        <w:t>SCell</w:t>
      </w:r>
      <w:proofErr w:type="spellEnd"/>
      <w:r>
        <w:rPr>
          <w:rFonts w:cs="Times"/>
        </w:rPr>
        <w:t xml:space="preserve"> BFR BFRQ </w:t>
      </w:r>
    </w:p>
    <w:p w14:paraId="09361E34" w14:textId="77777777" w:rsidR="00215CE2" w:rsidRDefault="00215CE2" w:rsidP="00215CE2">
      <w:pPr>
        <w:pStyle w:val="a7"/>
        <w:numPr>
          <w:ilvl w:val="1"/>
          <w:numId w:val="23"/>
        </w:numPr>
        <w:snapToGrid w:val="0"/>
        <w:spacing w:after="0"/>
        <w:contextualSpacing w:val="0"/>
        <w:jc w:val="both"/>
        <w:rPr>
          <w:rFonts w:cs="Times"/>
        </w:rPr>
      </w:pPr>
      <w:r>
        <w:rPr>
          <w:rFonts w:cs="Times"/>
        </w:rPr>
        <w:t>In RAN1#104-e, select one from the following options</w:t>
      </w:r>
    </w:p>
    <w:p w14:paraId="7C31632A" w14:textId="77777777" w:rsidR="00215CE2" w:rsidRDefault="00215CE2" w:rsidP="00215CE2">
      <w:pPr>
        <w:pStyle w:val="a7"/>
        <w:numPr>
          <w:ilvl w:val="2"/>
          <w:numId w:val="23"/>
        </w:numPr>
        <w:snapToGrid w:val="0"/>
        <w:spacing w:after="0"/>
        <w:contextualSpacing w:val="0"/>
        <w:jc w:val="both"/>
        <w:rPr>
          <w:rFonts w:cs="Times"/>
        </w:rPr>
      </w:pPr>
      <w:r>
        <w:rPr>
          <w:rFonts w:cs="Times"/>
        </w:rPr>
        <w:t>Option 1: Up to one dedicated PUCCH-SR resource in a cell group</w:t>
      </w:r>
    </w:p>
    <w:p w14:paraId="0DB63DE5" w14:textId="77777777" w:rsidR="00215CE2" w:rsidRDefault="00215CE2" w:rsidP="00215CE2">
      <w:pPr>
        <w:pStyle w:val="a7"/>
        <w:numPr>
          <w:ilvl w:val="3"/>
          <w:numId w:val="23"/>
        </w:numPr>
        <w:snapToGrid w:val="0"/>
        <w:spacing w:after="0"/>
        <w:contextualSpacing w:val="0"/>
        <w:jc w:val="both"/>
        <w:rPr>
          <w:rFonts w:cs="Times"/>
        </w:rPr>
      </w:pPr>
      <w:r>
        <w:rPr>
          <w:rFonts w:cs="Times"/>
        </w:rPr>
        <w:t>A cell group refers to either MCG, SCG, or PUCCH cell group</w:t>
      </w:r>
    </w:p>
    <w:p w14:paraId="23712294" w14:textId="77777777" w:rsidR="00215CE2" w:rsidRDefault="00215CE2" w:rsidP="00215CE2">
      <w:pPr>
        <w:pStyle w:val="a7"/>
        <w:numPr>
          <w:ilvl w:val="3"/>
          <w:numId w:val="23"/>
        </w:numPr>
        <w:snapToGrid w:val="0"/>
        <w:spacing w:after="0"/>
        <w:contextualSpacing w:val="0"/>
        <w:jc w:val="both"/>
        <w:rPr>
          <w:rFonts w:cs="Times"/>
        </w:rPr>
      </w:pPr>
      <w:r>
        <w:rPr>
          <w:rFonts w:cs="Times"/>
        </w:rPr>
        <w:t xml:space="preserve">FFS: number of spatial filters associated with the PUCCH-SR resources  </w:t>
      </w:r>
    </w:p>
    <w:p w14:paraId="46485DEF" w14:textId="77777777" w:rsidR="00215CE2" w:rsidRDefault="00215CE2" w:rsidP="00215CE2">
      <w:pPr>
        <w:pStyle w:val="a7"/>
        <w:numPr>
          <w:ilvl w:val="3"/>
          <w:numId w:val="23"/>
        </w:numPr>
        <w:snapToGrid w:val="0"/>
        <w:spacing w:after="0"/>
        <w:contextualSpacing w:val="0"/>
        <w:jc w:val="both"/>
        <w:rPr>
          <w:rFonts w:cs="Times"/>
        </w:rPr>
      </w:pPr>
      <w:r>
        <w:rPr>
          <w:rFonts w:cs="Times"/>
        </w:rPr>
        <w:t>FFS: How the SR configuration is done</w:t>
      </w:r>
    </w:p>
    <w:p w14:paraId="61486F51" w14:textId="77777777" w:rsidR="00215CE2" w:rsidRDefault="00215CE2" w:rsidP="00215CE2">
      <w:pPr>
        <w:pStyle w:val="a7"/>
        <w:numPr>
          <w:ilvl w:val="2"/>
          <w:numId w:val="23"/>
        </w:numPr>
        <w:snapToGrid w:val="0"/>
        <w:spacing w:after="0"/>
        <w:contextualSpacing w:val="0"/>
        <w:jc w:val="both"/>
        <w:rPr>
          <w:rFonts w:cs="Times"/>
        </w:rPr>
      </w:pPr>
      <w:r>
        <w:rPr>
          <w:rFonts w:cs="Times"/>
        </w:rPr>
        <w:t>Option 2:  Up to two (or more) dedicated PUCCH-SR resources in a cell group</w:t>
      </w:r>
    </w:p>
    <w:p w14:paraId="32E359EF" w14:textId="77777777" w:rsidR="00215CE2" w:rsidRDefault="00215CE2" w:rsidP="00215CE2">
      <w:pPr>
        <w:pStyle w:val="a7"/>
        <w:numPr>
          <w:ilvl w:val="3"/>
          <w:numId w:val="23"/>
        </w:numPr>
        <w:snapToGrid w:val="0"/>
        <w:spacing w:after="0"/>
        <w:contextualSpacing w:val="0"/>
        <w:jc w:val="both"/>
        <w:rPr>
          <w:rFonts w:cs="Times"/>
        </w:rPr>
      </w:pPr>
      <w:r>
        <w:rPr>
          <w:rFonts w:cs="Times"/>
        </w:rPr>
        <w:t>A cell group refers to either MCG, SCG, or PUCCH cell group</w:t>
      </w:r>
    </w:p>
    <w:p w14:paraId="56FDE1B1" w14:textId="77777777" w:rsidR="00215CE2" w:rsidRDefault="00215CE2" w:rsidP="00215CE2">
      <w:pPr>
        <w:pStyle w:val="a7"/>
        <w:numPr>
          <w:ilvl w:val="3"/>
          <w:numId w:val="23"/>
        </w:numPr>
        <w:snapToGrid w:val="0"/>
        <w:spacing w:after="0"/>
        <w:contextualSpacing w:val="0"/>
        <w:jc w:val="both"/>
        <w:rPr>
          <w:rFonts w:cs="Times"/>
        </w:rPr>
      </w:pPr>
      <w:r>
        <w:rPr>
          <w:rFonts w:cs="Times"/>
        </w:rPr>
        <w:t>FFS: whether each PUCCH-SR resource is restricted to be associated to one spatial filter</w:t>
      </w:r>
    </w:p>
    <w:p w14:paraId="64C82228" w14:textId="77777777" w:rsidR="00215CE2" w:rsidRDefault="00215CE2" w:rsidP="00215CE2">
      <w:pPr>
        <w:pStyle w:val="a7"/>
        <w:numPr>
          <w:ilvl w:val="3"/>
          <w:numId w:val="23"/>
        </w:numPr>
        <w:snapToGrid w:val="0"/>
        <w:spacing w:after="0"/>
        <w:contextualSpacing w:val="0"/>
        <w:jc w:val="both"/>
        <w:rPr>
          <w:rFonts w:cs="Times"/>
        </w:rPr>
      </w:pPr>
      <w:r>
        <w:rPr>
          <w:rFonts w:cs="Times"/>
        </w:rPr>
        <w:t>FFS: How the SR configuration is done</w:t>
      </w:r>
    </w:p>
    <w:p w14:paraId="6CD35715" w14:textId="77777777" w:rsidR="00215CE2" w:rsidRDefault="00215CE2" w:rsidP="00215CE2">
      <w:pPr>
        <w:pStyle w:val="a7"/>
        <w:numPr>
          <w:ilvl w:val="1"/>
          <w:numId w:val="23"/>
        </w:numPr>
        <w:snapToGrid w:val="0"/>
        <w:spacing w:after="0"/>
        <w:contextualSpacing w:val="0"/>
        <w:jc w:val="both"/>
        <w:rPr>
          <w:rFonts w:cs="Times"/>
        </w:rPr>
      </w:pPr>
      <w:r>
        <w:rPr>
          <w:rFonts w:cs="Times"/>
        </w:rPr>
        <w:t>FFS: Whether no dedicated PUCCH-SR resource can be supported in addition to Option 1 or Option 2</w:t>
      </w:r>
    </w:p>
    <w:p w14:paraId="02C0B8D1" w14:textId="77777777" w:rsidR="00215CE2" w:rsidRDefault="00215CE2" w:rsidP="00215CE2">
      <w:pPr>
        <w:pStyle w:val="a7"/>
        <w:numPr>
          <w:ilvl w:val="0"/>
          <w:numId w:val="23"/>
        </w:numPr>
        <w:snapToGrid w:val="0"/>
        <w:spacing w:after="0"/>
        <w:contextualSpacing w:val="0"/>
        <w:jc w:val="both"/>
        <w:rPr>
          <w:rFonts w:cs="Times"/>
        </w:rPr>
      </w:pPr>
      <w:r>
        <w:rPr>
          <w:rFonts w:cs="Times"/>
        </w:rPr>
        <w:t xml:space="preserve">Study whether and how to provide the following information in BFRQ MAC-CE </w:t>
      </w:r>
    </w:p>
    <w:p w14:paraId="367EEAE4" w14:textId="77777777" w:rsidR="00215CE2" w:rsidRDefault="00215CE2" w:rsidP="00215CE2">
      <w:pPr>
        <w:pStyle w:val="a7"/>
        <w:numPr>
          <w:ilvl w:val="1"/>
          <w:numId w:val="23"/>
        </w:numPr>
        <w:snapToGrid w:val="0"/>
        <w:spacing w:after="0"/>
        <w:contextualSpacing w:val="0"/>
        <w:jc w:val="both"/>
        <w:rPr>
          <w:rFonts w:cs="Times"/>
        </w:rPr>
      </w:pPr>
      <w:r>
        <w:rPr>
          <w:rFonts w:cs="Times"/>
        </w:rPr>
        <w:t>Index information of failed TRP(s)</w:t>
      </w:r>
    </w:p>
    <w:p w14:paraId="3E05F2D0" w14:textId="77777777" w:rsidR="00215CE2" w:rsidRDefault="00215CE2" w:rsidP="00215CE2">
      <w:pPr>
        <w:pStyle w:val="a7"/>
        <w:numPr>
          <w:ilvl w:val="1"/>
          <w:numId w:val="23"/>
        </w:numPr>
        <w:snapToGrid w:val="0"/>
        <w:spacing w:after="0"/>
        <w:contextualSpacing w:val="0"/>
        <w:jc w:val="both"/>
        <w:rPr>
          <w:rFonts w:cs="Times"/>
        </w:rPr>
      </w:pPr>
      <w:r>
        <w:rPr>
          <w:rFonts w:cs="Times"/>
        </w:rPr>
        <w:t>CC index (if applicable)</w:t>
      </w:r>
    </w:p>
    <w:p w14:paraId="0540F912" w14:textId="77777777" w:rsidR="00215CE2" w:rsidRDefault="00215CE2" w:rsidP="00215CE2">
      <w:pPr>
        <w:pStyle w:val="a7"/>
        <w:numPr>
          <w:ilvl w:val="1"/>
          <w:numId w:val="23"/>
        </w:numPr>
        <w:snapToGrid w:val="0"/>
        <w:spacing w:after="0"/>
        <w:contextualSpacing w:val="0"/>
        <w:jc w:val="both"/>
        <w:rPr>
          <w:rFonts w:cs="Times"/>
        </w:rPr>
      </w:pPr>
      <w:r>
        <w:rPr>
          <w:rFonts w:cs="Times"/>
        </w:rPr>
        <w:t>New candidate beam index (if found)</w:t>
      </w:r>
    </w:p>
    <w:p w14:paraId="289FE369" w14:textId="77777777" w:rsidR="00215CE2" w:rsidRDefault="00215CE2" w:rsidP="00215CE2">
      <w:pPr>
        <w:pStyle w:val="a7"/>
        <w:numPr>
          <w:ilvl w:val="1"/>
          <w:numId w:val="23"/>
        </w:numPr>
        <w:snapToGrid w:val="0"/>
        <w:spacing w:after="0"/>
        <w:contextualSpacing w:val="0"/>
        <w:jc w:val="both"/>
        <w:rPr>
          <w:rFonts w:cs="Times"/>
        </w:rPr>
      </w:pPr>
      <w:r>
        <w:rPr>
          <w:rFonts w:cs="Times"/>
        </w:rPr>
        <w:t xml:space="preserve">Indication whether new beam(s) is found </w:t>
      </w:r>
    </w:p>
    <w:p w14:paraId="18E3EBA5" w14:textId="77777777" w:rsidR="00215CE2" w:rsidRDefault="00215CE2" w:rsidP="00215CE2">
      <w:pPr>
        <w:pStyle w:val="a7"/>
        <w:numPr>
          <w:ilvl w:val="1"/>
          <w:numId w:val="23"/>
        </w:numPr>
        <w:snapToGrid w:val="0"/>
        <w:spacing w:after="0"/>
        <w:contextualSpacing w:val="0"/>
        <w:jc w:val="both"/>
        <w:rPr>
          <w:rFonts w:cs="Times"/>
        </w:rPr>
      </w:pPr>
      <w:r>
        <w:rPr>
          <w:rFonts w:cs="Times"/>
        </w:rPr>
        <w:t>FFS: whether/how to incorporate multi-TRP failure</w:t>
      </w:r>
    </w:p>
    <w:p w14:paraId="2A16B964" w14:textId="77777777" w:rsidR="00215CE2" w:rsidRDefault="00215CE2" w:rsidP="00215CE2">
      <w:pPr>
        <w:snapToGrid w:val="0"/>
        <w:spacing w:after="0"/>
        <w:rPr>
          <w:b/>
          <w:highlight w:val="green"/>
        </w:rPr>
      </w:pPr>
      <w:r>
        <w:rPr>
          <w:b/>
          <w:highlight w:val="green"/>
        </w:rPr>
        <w:t>Agreement</w:t>
      </w:r>
    </w:p>
    <w:p w14:paraId="44D2F24A" w14:textId="77777777" w:rsidR="00215CE2" w:rsidRDefault="00215CE2" w:rsidP="00215CE2">
      <w:pPr>
        <w:pStyle w:val="aff6"/>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Down-select at least one of the following options for beam measurement/reporting enhancement to facilitate inter-TRP beam pairing in RAN1 #104-e</w:t>
      </w:r>
    </w:p>
    <w:p w14:paraId="6BA5ED3A" w14:textId="77777777" w:rsidR="00215CE2" w:rsidRDefault="00215CE2" w:rsidP="00215CE2">
      <w:pPr>
        <w:pStyle w:val="a7"/>
        <w:numPr>
          <w:ilvl w:val="0"/>
          <w:numId w:val="23"/>
        </w:numPr>
        <w:snapToGrid w:val="0"/>
        <w:spacing w:after="0"/>
        <w:contextualSpacing w:val="0"/>
        <w:jc w:val="both"/>
        <w:rPr>
          <w:rFonts w:ascii="Times" w:hAnsi="Times" w:cs="Times"/>
        </w:rPr>
      </w:pPr>
      <w:r>
        <w:rPr>
          <w:rFonts w:cs="Times"/>
        </w:rPr>
        <w:t>Option 1: In a CSI-report, UE can report N&gt;1 pair/groups and M&gt;=1 beams per pair/group</w:t>
      </w:r>
    </w:p>
    <w:p w14:paraId="578ABCEF" w14:textId="77777777" w:rsidR="00215CE2" w:rsidRDefault="00215CE2" w:rsidP="00215CE2">
      <w:pPr>
        <w:pStyle w:val="a7"/>
        <w:numPr>
          <w:ilvl w:val="1"/>
          <w:numId w:val="23"/>
        </w:numPr>
        <w:snapToGrid w:val="0"/>
        <w:spacing w:after="0"/>
        <w:contextualSpacing w:val="0"/>
        <w:jc w:val="both"/>
        <w:rPr>
          <w:rFonts w:cs="Times"/>
        </w:rPr>
      </w:pPr>
      <w:r>
        <w:rPr>
          <w:rFonts w:cs="Times"/>
        </w:rPr>
        <w:t>Different beams in different pairs/groups can be received simultaneously </w:t>
      </w:r>
    </w:p>
    <w:p w14:paraId="007F0833" w14:textId="77777777" w:rsidR="00215CE2" w:rsidRDefault="00215CE2" w:rsidP="00215CE2">
      <w:pPr>
        <w:pStyle w:val="a7"/>
        <w:numPr>
          <w:ilvl w:val="1"/>
          <w:numId w:val="23"/>
        </w:numPr>
        <w:snapToGrid w:val="0"/>
        <w:spacing w:after="0"/>
        <w:contextualSpacing w:val="0"/>
        <w:jc w:val="both"/>
        <w:rPr>
          <w:rFonts w:cs="Times"/>
        </w:rPr>
      </w:pPr>
      <w:r>
        <w:rPr>
          <w:rFonts w:cs="Times"/>
        </w:rPr>
        <w:t>FFS: whether M is equal or can be different across different pair/group</w:t>
      </w:r>
    </w:p>
    <w:p w14:paraId="246A4B2B" w14:textId="77777777" w:rsidR="00215CE2" w:rsidRDefault="00215CE2" w:rsidP="00215CE2">
      <w:pPr>
        <w:pStyle w:val="a7"/>
        <w:numPr>
          <w:ilvl w:val="0"/>
          <w:numId w:val="23"/>
        </w:numPr>
        <w:snapToGrid w:val="0"/>
        <w:spacing w:after="0"/>
        <w:contextualSpacing w:val="0"/>
        <w:jc w:val="both"/>
        <w:rPr>
          <w:rFonts w:cs="Times"/>
        </w:rPr>
      </w:pPr>
      <w:r>
        <w:rPr>
          <w:rFonts w:cs="Times"/>
        </w:rPr>
        <w:t>Option 2: In a CSI-report, UE can report N(N&gt;=1) pairs/groups and M (M&gt;1) beams per pair/group</w:t>
      </w:r>
    </w:p>
    <w:p w14:paraId="1CD284C5" w14:textId="77777777" w:rsidR="00215CE2" w:rsidRDefault="00215CE2" w:rsidP="00215CE2">
      <w:pPr>
        <w:pStyle w:val="a7"/>
        <w:numPr>
          <w:ilvl w:val="1"/>
          <w:numId w:val="23"/>
        </w:numPr>
        <w:snapToGrid w:val="0"/>
        <w:spacing w:after="0"/>
        <w:contextualSpacing w:val="0"/>
        <w:jc w:val="both"/>
        <w:rPr>
          <w:rFonts w:cs="Times"/>
        </w:rPr>
      </w:pPr>
      <w:r>
        <w:rPr>
          <w:rFonts w:cs="Times"/>
        </w:rPr>
        <w:t>Different beams within a pair/group can be received simultaneously</w:t>
      </w:r>
    </w:p>
    <w:p w14:paraId="533C37DE" w14:textId="77777777" w:rsidR="00215CE2" w:rsidRDefault="00215CE2" w:rsidP="00215CE2">
      <w:pPr>
        <w:pStyle w:val="a7"/>
        <w:numPr>
          <w:ilvl w:val="0"/>
          <w:numId w:val="23"/>
        </w:numPr>
        <w:snapToGrid w:val="0"/>
        <w:spacing w:after="0"/>
        <w:contextualSpacing w:val="0"/>
        <w:jc w:val="both"/>
        <w:rPr>
          <w:rFonts w:cs="Times"/>
        </w:rPr>
      </w:pPr>
      <w:r>
        <w:rPr>
          <w:rFonts w:cs="Times"/>
        </w:rPr>
        <w:t>Option 3: UE report M(M&gt;=1) beams in N (N&gt;1) CSI-reports corresponding to N report setting</w:t>
      </w:r>
    </w:p>
    <w:p w14:paraId="48382DFB" w14:textId="77777777" w:rsidR="00215CE2" w:rsidRDefault="00215CE2" w:rsidP="00215CE2">
      <w:pPr>
        <w:pStyle w:val="a7"/>
        <w:numPr>
          <w:ilvl w:val="1"/>
          <w:numId w:val="23"/>
        </w:numPr>
        <w:snapToGrid w:val="0"/>
        <w:spacing w:after="0"/>
        <w:contextualSpacing w:val="0"/>
        <w:jc w:val="both"/>
        <w:rPr>
          <w:rFonts w:cs="Times"/>
        </w:rPr>
      </w:pPr>
      <w:r>
        <w:rPr>
          <w:rFonts w:cs="Times"/>
        </w:rPr>
        <w:t>Different beams in different CSI-reports can be received simultaneously</w:t>
      </w:r>
    </w:p>
    <w:p w14:paraId="2E48CEC0" w14:textId="77777777" w:rsidR="00215CE2" w:rsidRDefault="00215CE2" w:rsidP="00215CE2">
      <w:pPr>
        <w:pStyle w:val="a7"/>
        <w:numPr>
          <w:ilvl w:val="1"/>
          <w:numId w:val="23"/>
        </w:numPr>
        <w:snapToGrid w:val="0"/>
        <w:spacing w:after="0"/>
        <w:contextualSpacing w:val="0"/>
        <w:jc w:val="both"/>
        <w:rPr>
          <w:rFonts w:cs="Times"/>
        </w:rPr>
      </w:pPr>
      <w:r>
        <w:rPr>
          <w:rFonts w:cs="Times"/>
        </w:rPr>
        <w:lastRenderedPageBreak/>
        <w:t>FFS: whether/how to introduce an association between different CSI-reports</w:t>
      </w:r>
    </w:p>
    <w:p w14:paraId="3A306A0D" w14:textId="77777777" w:rsidR="00215CE2" w:rsidRDefault="00215CE2" w:rsidP="00215CE2">
      <w:pPr>
        <w:pStyle w:val="a7"/>
        <w:numPr>
          <w:ilvl w:val="1"/>
          <w:numId w:val="23"/>
        </w:numPr>
        <w:snapToGrid w:val="0"/>
        <w:spacing w:after="0"/>
        <w:contextualSpacing w:val="0"/>
        <w:jc w:val="both"/>
        <w:rPr>
          <w:rFonts w:cs="Times"/>
        </w:rPr>
      </w:pPr>
      <w:r>
        <w:rPr>
          <w:rFonts w:cs="Times"/>
        </w:rPr>
        <w:t>FFS: whether/how to differentiate reported measurements for beams that are received simultaneously vs. beams that are not received simultaneously </w:t>
      </w:r>
    </w:p>
    <w:p w14:paraId="6E614771" w14:textId="77777777" w:rsidR="00215CE2" w:rsidRDefault="00215CE2" w:rsidP="00215CE2">
      <w:pPr>
        <w:pStyle w:val="a7"/>
        <w:numPr>
          <w:ilvl w:val="2"/>
          <w:numId w:val="23"/>
        </w:numPr>
        <w:snapToGrid w:val="0"/>
        <w:spacing w:after="0"/>
        <w:contextualSpacing w:val="0"/>
        <w:jc w:val="both"/>
        <w:rPr>
          <w:rFonts w:cs="Times"/>
        </w:rPr>
      </w:pPr>
      <w:r>
        <w:rPr>
          <w:rFonts w:cs="Times"/>
        </w:rPr>
        <w:t>Whether/how to introduce an indication along with the CSI-reports to indicate whether the beams in different CSI-reports can be received simultaneously</w:t>
      </w:r>
    </w:p>
    <w:p w14:paraId="24FEA846" w14:textId="77777777" w:rsidR="00215CE2" w:rsidRDefault="00215CE2" w:rsidP="00215CE2">
      <w:pPr>
        <w:pStyle w:val="a7"/>
        <w:numPr>
          <w:ilvl w:val="0"/>
          <w:numId w:val="23"/>
        </w:numPr>
        <w:snapToGrid w:val="0"/>
        <w:spacing w:after="0"/>
        <w:contextualSpacing w:val="0"/>
        <w:jc w:val="both"/>
        <w:rPr>
          <w:rFonts w:cs="Times"/>
        </w:rPr>
      </w:pPr>
      <w:r>
        <w:rPr>
          <w:rFonts w:cs="Times"/>
        </w:rPr>
        <w:t>FFS: value of N and M in each option</w:t>
      </w:r>
    </w:p>
    <w:p w14:paraId="588A4066" w14:textId="77777777" w:rsidR="00215CE2" w:rsidRDefault="00215CE2" w:rsidP="00215CE2">
      <w:pPr>
        <w:pStyle w:val="a7"/>
        <w:numPr>
          <w:ilvl w:val="0"/>
          <w:numId w:val="23"/>
        </w:numPr>
        <w:snapToGrid w:val="0"/>
        <w:spacing w:after="0"/>
        <w:contextualSpacing w:val="0"/>
        <w:jc w:val="both"/>
        <w:rPr>
          <w:rFonts w:cs="Times"/>
        </w:rPr>
      </w:pPr>
      <w:r>
        <w:rPr>
          <w:rFonts w:cs="Times"/>
        </w:rPr>
        <w:t>FFS: Association between different beams in above options and different TRP/UE panels</w:t>
      </w:r>
    </w:p>
    <w:p w14:paraId="4AD56105" w14:textId="77777777" w:rsidR="00215CE2" w:rsidRDefault="00215CE2" w:rsidP="00215CE2">
      <w:pPr>
        <w:pStyle w:val="a7"/>
        <w:numPr>
          <w:ilvl w:val="0"/>
          <w:numId w:val="23"/>
        </w:numPr>
        <w:snapToGrid w:val="0"/>
        <w:spacing w:after="0"/>
        <w:contextualSpacing w:val="0"/>
        <w:jc w:val="both"/>
        <w:rPr>
          <w:rFonts w:cs="Times"/>
        </w:rPr>
      </w:pPr>
      <w:r>
        <w:rPr>
          <w:rFonts w:cs="Times"/>
        </w:rPr>
        <w:t>FFS: Identify new use cases per option compared with R16 (including backhaul)</w:t>
      </w:r>
    </w:p>
    <w:p w14:paraId="76F7E018" w14:textId="77777777" w:rsidR="00215CE2" w:rsidRDefault="00215CE2" w:rsidP="00215CE2">
      <w:pPr>
        <w:pStyle w:val="a7"/>
        <w:numPr>
          <w:ilvl w:val="0"/>
          <w:numId w:val="23"/>
        </w:numPr>
        <w:snapToGrid w:val="0"/>
        <w:spacing w:after="0"/>
        <w:contextualSpacing w:val="0"/>
        <w:jc w:val="both"/>
        <w:rPr>
          <w:rFonts w:cs="Times"/>
        </w:rPr>
      </w:pPr>
      <w:r>
        <w:rPr>
          <w:rFonts w:cs="Times"/>
        </w:rPr>
        <w:t>FFS: whether different beams in different pairs/groups/reports can be received by same spatial filter per option</w:t>
      </w:r>
    </w:p>
    <w:p w14:paraId="4B1E7DEA" w14:textId="722039C4" w:rsidR="0095370B" w:rsidRPr="00CE13B8" w:rsidRDefault="0095370B" w:rsidP="0095370B">
      <w:pPr>
        <w:spacing w:before="120" w:after="120"/>
        <w:jc w:val="both"/>
        <w:rPr>
          <w:rFonts w:eastAsiaTheme="minorEastAsia"/>
          <w:color w:val="000000" w:themeColor="text1"/>
          <w:sz w:val="22"/>
          <w:szCs w:val="22"/>
          <w:lang w:val="en-US" w:eastAsia="zh-CN"/>
        </w:rPr>
      </w:pPr>
      <w:bookmarkStart w:id="6" w:name="OLE_LINK9"/>
      <w:bookmarkStart w:id="7"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FA6B9A">
        <w:rPr>
          <w:rFonts w:eastAsiaTheme="minorEastAsia"/>
          <w:color w:val="000000" w:themeColor="text1"/>
          <w:sz w:val="22"/>
          <w:szCs w:val="22"/>
          <w:lang w:val="en-US" w:eastAsia="zh-CN"/>
        </w:rPr>
        <w:t xml:space="preserve">TRP-specific beam failure recovery </w:t>
      </w:r>
      <w:r w:rsidR="003E602B">
        <w:rPr>
          <w:rFonts w:eastAsiaTheme="minorEastAsia"/>
          <w:color w:val="000000" w:themeColor="text1"/>
          <w:sz w:val="22"/>
          <w:szCs w:val="22"/>
          <w:lang w:val="en-US" w:eastAsia="zh-CN"/>
        </w:rPr>
        <w:t>for multi-TRP</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766D0526" w14:textId="77777777" w:rsidR="000E7787" w:rsidRDefault="000E7787"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that TRP-specific BFD RS set and new beam identification RS set should be introduced. And there are up to 2 TRPs for multi-TRP transmission, so it’s sufficient to design up to 2 BFD RS sets. And for </w:t>
      </w:r>
      <w:r w:rsidRPr="000E7787">
        <w:rPr>
          <w:rFonts w:eastAsiaTheme="minorEastAsia"/>
          <w:color w:val="000000" w:themeColor="text1"/>
          <w:sz w:val="22"/>
          <w:szCs w:val="22"/>
          <w:lang w:val="en-US" w:eastAsia="zh-CN"/>
        </w:rPr>
        <w:t>explicit BFD-RS configuration</w:t>
      </w:r>
      <w:r>
        <w:rPr>
          <w:rFonts w:eastAsiaTheme="minorEastAsia"/>
          <w:color w:val="000000" w:themeColor="text1"/>
          <w:sz w:val="22"/>
          <w:szCs w:val="22"/>
          <w:lang w:val="en-US" w:eastAsia="zh-CN"/>
        </w:rPr>
        <w:t xml:space="preserve">, two BFD RS sets are configured, and each CORESET is associated with one BFD RS set, if the CORESET is associated with one active TCI state. For example, the BFD RS set can be associated with </w:t>
      </w:r>
      <w:proofErr w:type="spellStart"/>
      <w:r>
        <w:rPr>
          <w:rFonts w:eastAsiaTheme="minorEastAsia"/>
          <w:color w:val="000000" w:themeColor="text1"/>
          <w:sz w:val="22"/>
          <w:szCs w:val="22"/>
          <w:lang w:val="en-US" w:eastAsia="zh-CN"/>
        </w:rPr>
        <w:t>CORESETPoolIndex</w:t>
      </w:r>
      <w:proofErr w:type="spellEnd"/>
      <w:r>
        <w:rPr>
          <w:rFonts w:eastAsiaTheme="minorEastAsia"/>
          <w:color w:val="000000" w:themeColor="text1"/>
          <w:sz w:val="22"/>
          <w:szCs w:val="22"/>
          <w:lang w:val="en-US" w:eastAsia="zh-CN"/>
        </w:rPr>
        <w:t xml:space="preserve">. </w:t>
      </w:r>
    </w:p>
    <w:p w14:paraId="153DADBE" w14:textId="65AB039E" w:rsidR="009D2820" w:rsidRDefault="009D2820" w:rsidP="009D282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current spec, implicit BFD RS configuration is supported, and in case of multi-TRP, implicit BFD RS configuration should also be supported. UE can determine each BFD RS set from corresponding CORESETs. </w:t>
      </w:r>
    </w:p>
    <w:p w14:paraId="6CB6BC35" w14:textId="17A09ADB" w:rsidR="005075E2" w:rsidRDefault="005075E2" w:rsidP="009D282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Correspondingly, two new beam identification RS sets should be introduced, and each set associated with one BFD RS set. Based on this, beam failure detection and new beam identification can be performed in separate set, i.e. per TRP.</w:t>
      </w:r>
    </w:p>
    <w:p w14:paraId="4C4B7961" w14:textId="444C4184" w:rsidR="00C57BC7" w:rsidRDefault="00C57BC7" w:rsidP="00C57BC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002C1AC1">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Up to 2 sets of BFD RS are supported, and for explicit configuration, each CORESET with one active TCI state is associated with one BFD RS set. Implicit BFD RS configuration should be supported, and UE can determine each BFD RS set from corresponding CORESETs. </w:t>
      </w:r>
    </w:p>
    <w:p w14:paraId="4DB3BE75" w14:textId="77777777" w:rsidR="005075E2" w:rsidRDefault="005075E2"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agenda item 8.1.2.1 for PDCCH reliability and robustness discussion</w:t>
      </w:r>
      <w:r w:rsidR="00C57BC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both SFN and non-SFN schemes were agreed. And the schemes will change the configuration for PDCCH, which also has impact on the beam failure design in this agenda item.</w:t>
      </w:r>
    </w:p>
    <w:p w14:paraId="68974324" w14:textId="1EA0E084" w:rsidR="00C57BC7" w:rsidRDefault="005075E2"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w:t>
      </w:r>
      <w:r w:rsidR="00C57BC7">
        <w:rPr>
          <w:rFonts w:eastAsiaTheme="minorEastAsia"/>
          <w:color w:val="000000" w:themeColor="text1"/>
          <w:sz w:val="22"/>
          <w:szCs w:val="22"/>
          <w:lang w:val="en-US" w:eastAsia="zh-CN"/>
        </w:rPr>
        <w:t xml:space="preserve"> </w:t>
      </w:r>
      <w:proofErr w:type="spellStart"/>
      <w:r w:rsidR="00C57BC7">
        <w:rPr>
          <w:rFonts w:eastAsiaTheme="minorEastAsia"/>
          <w:color w:val="000000" w:themeColor="text1"/>
          <w:sz w:val="22"/>
          <w:szCs w:val="22"/>
          <w:lang w:val="en-US" w:eastAsia="zh-CN"/>
        </w:rPr>
        <w:t>SFNed</w:t>
      </w:r>
      <w:proofErr w:type="spellEnd"/>
      <w:r w:rsidR="00C57BC7">
        <w:rPr>
          <w:rFonts w:eastAsiaTheme="minorEastAsia"/>
          <w:color w:val="000000" w:themeColor="text1"/>
          <w:sz w:val="22"/>
          <w:szCs w:val="22"/>
          <w:lang w:val="en-US" w:eastAsia="zh-CN"/>
        </w:rPr>
        <w:t xml:space="preserve"> PDCCH</w:t>
      </w:r>
      <w:r w:rsidR="00A345A2">
        <w:rPr>
          <w:rFonts w:eastAsiaTheme="minorEastAsia"/>
          <w:color w:val="000000" w:themeColor="text1"/>
          <w:sz w:val="22"/>
          <w:szCs w:val="22"/>
          <w:lang w:val="en-US" w:eastAsia="zh-CN"/>
        </w:rPr>
        <w:t xml:space="preserve"> transmission scheme</w:t>
      </w:r>
      <w:r w:rsidR="00C57BC7">
        <w:rPr>
          <w:rFonts w:eastAsiaTheme="minorEastAsia"/>
          <w:color w:val="000000" w:themeColor="text1"/>
          <w:sz w:val="22"/>
          <w:szCs w:val="22"/>
          <w:lang w:val="en-US" w:eastAsia="zh-CN"/>
        </w:rPr>
        <w:t xml:space="preserve">, one CORESET is associated with two </w:t>
      </w:r>
      <w:r w:rsidR="00C57BC7">
        <w:rPr>
          <w:rFonts w:eastAsiaTheme="minorEastAsia" w:hint="eastAsia"/>
          <w:color w:val="000000" w:themeColor="text1"/>
          <w:sz w:val="22"/>
          <w:szCs w:val="22"/>
          <w:lang w:val="en-US" w:eastAsia="zh-CN"/>
        </w:rPr>
        <w:t>active</w:t>
      </w:r>
      <w:r w:rsidR="00C57BC7">
        <w:rPr>
          <w:rFonts w:eastAsiaTheme="minorEastAsia"/>
          <w:color w:val="000000" w:themeColor="text1"/>
          <w:sz w:val="22"/>
          <w:szCs w:val="22"/>
          <w:lang w:val="en-US" w:eastAsia="zh-CN"/>
        </w:rPr>
        <w:t xml:space="preserve"> TCI states, in this case, how to associate the CORESET with BFD RS set should be further discussed, for example, whether the CORESET is associated with one or both of the two BFD RS sets.</w:t>
      </w:r>
    </w:p>
    <w:p w14:paraId="7D355784" w14:textId="77777777" w:rsidR="002C1AC1" w:rsidRDefault="002C1AC1"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regarding beam failure recovery procedure, further study is needed for either SFN or non-SFN schemes for PDCCH. </w:t>
      </w:r>
    </w:p>
    <w:p w14:paraId="1CD1EDDD" w14:textId="6B3D591A" w:rsidR="002C1AC1" w:rsidRDefault="002C1AC1"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SFN PDCCH transmission, the PDCCH is monitored with two TCI states (i.e. from two TRPs), if one TRP failed, the UE behavior should be clearly designed, for example, the SFN PDCCH transmission can fall back to single TRP transmission, or just drop this PDCCH candidate.</w:t>
      </w:r>
    </w:p>
    <w:p w14:paraId="2B90212C" w14:textId="2BAA3994" w:rsidR="002C1AC1" w:rsidRDefault="002C1AC1"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Similarly to non-SFN PDCCH transmission, two PDCCH candidates are explicitly linked, and if one TRP failed, the UE behavior on decoding assumption should be clearly designed.</w:t>
      </w:r>
    </w:p>
    <w:p w14:paraId="0BE22090" w14:textId="3E4FCB1F" w:rsidR="002C1AC1" w:rsidRDefault="002C1AC1" w:rsidP="002C1A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TRP specific beam failure recovery for SFN or non-SFN PDCCH transmission schemes should be further studied, for example,</w:t>
      </w:r>
      <w:r w:rsidRPr="002C1AC1">
        <w:rPr>
          <w:rFonts w:eastAsiaTheme="minorEastAsia"/>
          <w:b/>
          <w:i/>
          <w:sz w:val="22"/>
          <w:szCs w:val="22"/>
          <w:lang w:val="en-US" w:eastAsia="zh-CN"/>
        </w:rPr>
        <w:t xml:space="preserve"> </w:t>
      </w:r>
      <w:r>
        <w:rPr>
          <w:rFonts w:eastAsiaTheme="minorEastAsia"/>
          <w:b/>
          <w:i/>
          <w:sz w:val="22"/>
          <w:szCs w:val="22"/>
          <w:lang w:val="en-US" w:eastAsia="zh-CN"/>
        </w:rPr>
        <w:t xml:space="preserve">association between the BFD RS set and CORESET with two active TCI states, and UE behavior when one TRP is failed. </w:t>
      </w:r>
    </w:p>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_GoBack"/>
      <w:bookmarkEnd w:id="8"/>
      <w:bookmarkEnd w:id="9"/>
      <w:bookmarkEnd w:id="10"/>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7DAEE5F6" w14:textId="77777777" w:rsidR="007341C7" w:rsidRDefault="007341C7" w:rsidP="007341C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Up to 2 sets of BFD RS are supported, and for explicit configuration, each CORESET with one active TCI state is associated with one BFD RS set. Implicit BFD RS configuration should be supported, and UE can determine each BFD RS set from corresponding CORESETs. </w:t>
      </w:r>
    </w:p>
    <w:p w14:paraId="20335B90" w14:textId="77777777" w:rsidR="007341C7" w:rsidRDefault="007341C7" w:rsidP="007341C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TRP specific beam failure recovery for SFN or non-SFN PDCCH transmission schemes should be further studied, for example,</w:t>
      </w:r>
      <w:r w:rsidRPr="002C1AC1">
        <w:rPr>
          <w:rFonts w:eastAsiaTheme="minorEastAsia"/>
          <w:b/>
          <w:i/>
          <w:sz w:val="22"/>
          <w:szCs w:val="22"/>
          <w:lang w:val="en-US" w:eastAsia="zh-CN"/>
        </w:rPr>
        <w:t xml:space="preserve"> </w:t>
      </w:r>
      <w:r>
        <w:rPr>
          <w:rFonts w:eastAsiaTheme="minorEastAsia"/>
          <w:b/>
          <w:i/>
          <w:sz w:val="22"/>
          <w:szCs w:val="22"/>
          <w:lang w:val="en-US" w:eastAsia="zh-CN"/>
        </w:rPr>
        <w:t xml:space="preserve">association between the BFD RS set and CORESET with two active TCI states, and UE behavior when one TRP is failed.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1" w:name="_Ref344215723"/>
      <w:bookmarkEnd w:id="11"/>
    </w:p>
    <w:p w14:paraId="77D61C7F" w14:textId="77777777" w:rsidR="006C4B04" w:rsidRPr="00EA14AD" w:rsidRDefault="006C4B04" w:rsidP="006C4B04">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sectPr w:rsidR="006C4B04"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3E8D0" w14:textId="77777777" w:rsidR="008D4BA0" w:rsidRPr="00D733E0" w:rsidRDefault="008D4BA0" w:rsidP="00D400AF">
      <w:pPr>
        <w:spacing w:after="0"/>
        <w:rPr>
          <w:rFonts w:ascii="Arial" w:eastAsia="宋体" w:hAnsi="Arial" w:cs="Arial"/>
          <w:color w:val="0000FF"/>
          <w:kern w:val="2"/>
          <w:lang w:val="en-US" w:eastAsia="zh-CN"/>
        </w:rPr>
      </w:pPr>
      <w:r>
        <w:separator/>
      </w:r>
    </w:p>
  </w:endnote>
  <w:endnote w:type="continuationSeparator" w:id="0">
    <w:p w14:paraId="65B268C2" w14:textId="77777777" w:rsidR="008D4BA0" w:rsidRPr="00D733E0" w:rsidRDefault="008D4BA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A6AF55B" w:rsidR="007F4896" w:rsidRPr="007A56A3" w:rsidRDefault="007F489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03F3C" w:rsidRPr="00103F3C">
          <w:rPr>
            <w:noProof/>
            <w:sz w:val="21"/>
            <w:lang w:val="zh-CN" w:eastAsia="zh-CN"/>
          </w:rPr>
          <w:t>3</w:t>
        </w:r>
        <w:r w:rsidRPr="007A56A3">
          <w:rPr>
            <w:sz w:val="21"/>
          </w:rPr>
          <w:fldChar w:fldCharType="end"/>
        </w:r>
      </w:p>
    </w:sdtContent>
  </w:sdt>
  <w:p w14:paraId="55D08AE3" w14:textId="77777777" w:rsidR="007F4896" w:rsidRDefault="007F489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4B02C" w14:textId="77777777" w:rsidR="008D4BA0" w:rsidRPr="00D733E0" w:rsidRDefault="008D4BA0" w:rsidP="00D400AF">
      <w:pPr>
        <w:spacing w:after="0"/>
        <w:rPr>
          <w:rFonts w:ascii="Arial" w:eastAsia="宋体" w:hAnsi="Arial" w:cs="Arial"/>
          <w:color w:val="0000FF"/>
          <w:kern w:val="2"/>
          <w:lang w:val="en-US" w:eastAsia="zh-CN"/>
        </w:rPr>
      </w:pPr>
      <w:r>
        <w:separator/>
      </w:r>
    </w:p>
  </w:footnote>
  <w:footnote w:type="continuationSeparator" w:id="0">
    <w:p w14:paraId="2BE666EA" w14:textId="77777777" w:rsidR="008D4BA0" w:rsidRPr="00D733E0" w:rsidRDefault="008D4BA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0"/>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9"/>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5"/>
  </w:num>
  <w:num w:numId="18">
    <w:abstractNumId w:val="11"/>
  </w:num>
  <w:num w:numId="19">
    <w:abstractNumId w:val="9"/>
  </w:num>
  <w:num w:numId="20">
    <w:abstractNumId w:val="14"/>
  </w:num>
  <w:num w:numId="21">
    <w:abstractNumId w:val="17"/>
  </w:num>
  <w:num w:numId="22">
    <w:abstractNumId w:val="16"/>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3F3C"/>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1AC1"/>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4B0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4BA0"/>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2820"/>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9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39A25-3F96-4123-9F9F-E9CDB512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2025</TotalTime>
  <Pages>3</Pages>
  <Words>1054</Words>
  <Characters>6012</Characters>
  <Application>Microsoft Office Word</Application>
  <DocSecurity>0</DocSecurity>
  <Lines>50</Lines>
  <Paragraphs>14</Paragraphs>
  <ScaleCrop>false</ScaleCrop>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129</cp:revision>
  <dcterms:created xsi:type="dcterms:W3CDTF">2019-09-25T05:48:00Z</dcterms:created>
  <dcterms:modified xsi:type="dcterms:W3CDTF">2021-01-18T02:19:00Z</dcterms:modified>
</cp:coreProperties>
</file>