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BBD8E" w14:textId="361604F0" w:rsidR="00B75817" w:rsidRPr="00B75817" w:rsidRDefault="00B75817" w:rsidP="00B75817">
      <w:pPr>
        <w:pStyle w:val="aff3"/>
        <w:snapToGrid w:val="0"/>
        <w:ind w:left="2384" w:hangingChars="993" w:hanging="2384"/>
        <w:rPr>
          <w:rFonts w:ascii="Arial" w:hAnsi="Arial" w:cs="Arial"/>
          <w:b/>
          <w:bCs/>
          <w:sz w:val="24"/>
          <w:szCs w:val="24"/>
          <w:lang w:val="en-GB"/>
        </w:rPr>
      </w:pPr>
      <w:bookmarkStart w:id="0" w:name="OLE_LINK2"/>
      <w:bookmarkStart w:id="1" w:name="OLE_LINK3"/>
      <w:r w:rsidRPr="00B75817">
        <w:rPr>
          <w:rFonts w:ascii="Arial" w:hAnsi="Arial" w:cs="Arial"/>
          <w:b/>
          <w:bCs/>
          <w:sz w:val="24"/>
          <w:szCs w:val="24"/>
          <w:lang w:val="en-GB"/>
        </w:rPr>
        <w:t>3GPP TSG RAN WG1 #104-e</w:t>
      </w:r>
      <w:r w:rsidRPr="00B75817">
        <w:rPr>
          <w:rFonts w:ascii="Arial" w:hAnsi="Arial" w:cs="Arial"/>
          <w:b/>
          <w:bCs/>
          <w:sz w:val="24"/>
          <w:szCs w:val="24"/>
          <w:lang w:val="en-GB"/>
        </w:rPr>
        <w:tab/>
      </w:r>
      <w:r w:rsidRPr="00B75817">
        <w:rPr>
          <w:rFonts w:ascii="Arial" w:hAnsi="Arial" w:cs="Arial"/>
          <w:b/>
          <w:bCs/>
          <w:sz w:val="24"/>
          <w:szCs w:val="24"/>
          <w:lang w:val="en-GB"/>
        </w:rPr>
        <w:tab/>
      </w:r>
      <w:r w:rsidRPr="00B7581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bookmarkStart w:id="2" w:name="_GoBack"/>
      <w:bookmarkEnd w:id="2"/>
      <w:r>
        <w:rPr>
          <w:rFonts w:ascii="Arial" w:hAnsi="Arial" w:cs="Arial"/>
          <w:b/>
          <w:bCs/>
          <w:sz w:val="24"/>
          <w:szCs w:val="24"/>
          <w:lang w:val="en-GB"/>
        </w:rPr>
        <w:t xml:space="preserve"> </w:t>
      </w:r>
      <w:r w:rsidR="003B6E6A" w:rsidRPr="003B6E6A">
        <w:rPr>
          <w:rFonts w:ascii="Arial" w:hAnsi="Arial" w:cs="Arial"/>
          <w:b/>
          <w:bCs/>
          <w:sz w:val="24"/>
          <w:szCs w:val="24"/>
          <w:lang w:val="en-GB"/>
        </w:rPr>
        <w:t>R1-2100949</w:t>
      </w:r>
    </w:p>
    <w:p w14:paraId="317E1240" w14:textId="1ED337AE" w:rsidR="006A6600" w:rsidRDefault="00B75817" w:rsidP="00B75817">
      <w:pPr>
        <w:pStyle w:val="aff3"/>
        <w:snapToGrid w:val="0"/>
        <w:ind w:left="2384" w:hangingChars="993" w:hanging="2384"/>
        <w:rPr>
          <w:rFonts w:ascii="Arial" w:hAnsi="Arial" w:cs="Arial"/>
          <w:b/>
          <w:bCs/>
          <w:sz w:val="24"/>
          <w:szCs w:val="24"/>
          <w:lang w:val="en-GB"/>
        </w:rPr>
      </w:pPr>
      <w:proofErr w:type="gramStart"/>
      <w:r w:rsidRPr="00B75817">
        <w:rPr>
          <w:rFonts w:ascii="Arial" w:hAnsi="Arial" w:cs="Arial"/>
          <w:b/>
          <w:bCs/>
          <w:sz w:val="24"/>
          <w:szCs w:val="24"/>
          <w:lang w:val="en-GB"/>
        </w:rPr>
        <w:t>e-Meeting</w:t>
      </w:r>
      <w:proofErr w:type="gramEnd"/>
      <w:r w:rsidRPr="00B75817">
        <w:rPr>
          <w:rFonts w:ascii="Arial" w:hAnsi="Arial" w:cs="Arial"/>
          <w:b/>
          <w:bCs/>
          <w:sz w:val="24"/>
          <w:szCs w:val="24"/>
          <w:lang w:val="en-GB"/>
        </w:rPr>
        <w:t>, January 25th – February 5th, 2021</w:t>
      </w:r>
    </w:p>
    <w:p w14:paraId="280BCFDA" w14:textId="77777777" w:rsidR="00B75817" w:rsidRPr="00943B28" w:rsidRDefault="00B75817" w:rsidP="00B75817">
      <w:pPr>
        <w:pStyle w:val="aff3"/>
        <w:snapToGrid w:val="0"/>
        <w:ind w:left="2393" w:hangingChars="993" w:hanging="2393"/>
        <w:rPr>
          <w:rFonts w:ascii="Arial" w:eastAsiaTheme="minorEastAsia" w:hAnsi="Arial" w:cs="Arial"/>
          <w:b/>
          <w:bCs/>
          <w:sz w:val="24"/>
          <w:szCs w:val="24"/>
          <w:lang w:val="en-GB" w:eastAsia="zh-CN"/>
        </w:rPr>
      </w:pPr>
    </w:p>
    <w:p w14:paraId="47825095" w14:textId="11CD5999"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B621A"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E5210D">
        <w:rPr>
          <w:rFonts w:ascii="Arial" w:eastAsiaTheme="minorEastAsia" w:hAnsi="Arial" w:cs="Arial" w:hint="eastAsia"/>
          <w:b/>
          <w:bCs/>
          <w:sz w:val="24"/>
          <w:szCs w:val="24"/>
          <w:lang w:val="en-GB" w:eastAsia="zh-CN"/>
        </w:rPr>
        <w:t>beam</w:t>
      </w:r>
      <w:r w:rsidR="00E5210D">
        <w:rPr>
          <w:rFonts w:ascii="Arial" w:eastAsiaTheme="minorEastAsia" w:hAnsi="Arial" w:cs="Arial"/>
          <w:b/>
          <w:bCs/>
          <w:sz w:val="24"/>
          <w:szCs w:val="24"/>
          <w:lang w:val="en-GB" w:eastAsia="zh-CN"/>
        </w:rPr>
        <w:t xml:space="preserve"> operation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5697B88" w14:textId="57282F3C" w:rsidR="00676C17" w:rsidRDefault="00676C17" w:rsidP="00676C17">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494F2C">
        <w:rPr>
          <w:rFonts w:eastAsia="宋体"/>
          <w:color w:val="000000" w:themeColor="text1"/>
          <w:sz w:val="22"/>
          <w:szCs w:val="22"/>
          <w:lang w:eastAsia="zh-CN"/>
        </w:rPr>
        <w:t>3</w:t>
      </w:r>
      <w:r>
        <w:rPr>
          <w:rFonts w:eastAsia="宋体"/>
          <w:color w:val="000000" w:themeColor="text1"/>
          <w:sz w:val="22"/>
          <w:szCs w:val="22"/>
          <w:lang w:eastAsia="zh-CN"/>
        </w:rPr>
        <w:t xml:space="preserve">e meeting [1], agreements for </w:t>
      </w:r>
      <w:r w:rsidR="00494F2C">
        <w:rPr>
          <w:rFonts w:eastAsia="宋体"/>
          <w:color w:val="000000" w:themeColor="text1"/>
          <w:sz w:val="22"/>
          <w:szCs w:val="22"/>
          <w:lang w:eastAsia="zh-CN"/>
        </w:rPr>
        <w:t>multi-beam</w:t>
      </w:r>
      <w:r>
        <w:rPr>
          <w:rFonts w:eastAsia="宋体"/>
          <w:color w:val="000000" w:themeColor="text1"/>
          <w:sz w:val="22"/>
          <w:szCs w:val="22"/>
          <w:lang w:eastAsia="zh-CN"/>
        </w:rPr>
        <w:t xml:space="preserve"> enhancements were achieved as:</w:t>
      </w:r>
    </w:p>
    <w:p w14:paraId="50A349F3" w14:textId="77777777" w:rsidR="00CC3E81" w:rsidRDefault="00CC3E81" w:rsidP="00CC3E81">
      <w:pPr>
        <w:snapToGrid w:val="0"/>
        <w:spacing w:after="0"/>
        <w:rPr>
          <w:rFonts w:cs="Times"/>
          <w:b/>
          <w:bCs/>
          <w:highlight w:val="green"/>
        </w:rPr>
      </w:pPr>
      <w:r>
        <w:rPr>
          <w:rFonts w:cs="Times"/>
          <w:b/>
          <w:bCs/>
          <w:highlight w:val="green"/>
        </w:rPr>
        <w:t>Agreement</w:t>
      </w:r>
    </w:p>
    <w:p w14:paraId="2358CD3D" w14:textId="77777777" w:rsidR="00CC3E81" w:rsidRDefault="00CC3E81" w:rsidP="00CC3E81">
      <w:pPr>
        <w:snapToGrid w:val="0"/>
        <w:spacing w:after="0"/>
        <w:jc w:val="both"/>
        <w:rPr>
          <w:rFonts w:cs="Times"/>
        </w:rPr>
      </w:pPr>
      <w:r>
        <w:rPr>
          <w:rFonts w:cs="Times"/>
        </w:rPr>
        <w:t xml:space="preserve">On beam indication </w:t>
      </w:r>
      <w:proofErr w:type="spellStart"/>
      <w:r>
        <w:rPr>
          <w:rFonts w:cs="Times"/>
        </w:rPr>
        <w:t>signaling</w:t>
      </w:r>
      <w:proofErr w:type="spellEnd"/>
      <w:r>
        <w:rPr>
          <w:rFonts w:cs="Times"/>
        </w:rPr>
        <w:t xml:space="preserve"> medium to support joint or separate DL/UL beam indication in Rel.17 unified TCI framework:</w:t>
      </w:r>
    </w:p>
    <w:p w14:paraId="20C66E76" w14:textId="77777777" w:rsidR="00CC3E81" w:rsidRDefault="00CC3E81" w:rsidP="00CC3E81">
      <w:pPr>
        <w:pStyle w:val="a7"/>
        <w:numPr>
          <w:ilvl w:val="0"/>
          <w:numId w:val="22"/>
        </w:numPr>
        <w:snapToGrid w:val="0"/>
        <w:spacing w:after="0"/>
        <w:contextualSpacing w:val="0"/>
        <w:jc w:val="both"/>
        <w:rPr>
          <w:rFonts w:cs="Times"/>
        </w:rPr>
      </w:pPr>
      <w:r>
        <w:rPr>
          <w:rFonts w:cs="Times"/>
        </w:rPr>
        <w:t xml:space="preserve">Support L1-based beam indication using at least UE-specific (unicast) DCI to indicate joint or separate DL/UL beam indication from the active TCI states </w:t>
      </w:r>
    </w:p>
    <w:p w14:paraId="77885B69" w14:textId="77777777" w:rsidR="00CC3E81" w:rsidRDefault="00CC3E81" w:rsidP="00CC3E81">
      <w:pPr>
        <w:pStyle w:val="a7"/>
        <w:numPr>
          <w:ilvl w:val="1"/>
          <w:numId w:val="22"/>
        </w:numPr>
        <w:snapToGrid w:val="0"/>
        <w:spacing w:after="0"/>
        <w:contextualSpacing w:val="0"/>
        <w:jc w:val="both"/>
        <w:rPr>
          <w:rFonts w:cs="Times"/>
        </w:rPr>
      </w:pPr>
      <w:r>
        <w:rPr>
          <w:rFonts w:cs="Times"/>
        </w:rPr>
        <w:t>The existing DCI formats 1_1 and 1_2 are reused for beam indication</w:t>
      </w:r>
    </w:p>
    <w:p w14:paraId="4527D457" w14:textId="77777777" w:rsidR="00CC3E81" w:rsidRDefault="00CC3E81" w:rsidP="00CC3E81">
      <w:pPr>
        <w:pStyle w:val="a7"/>
        <w:numPr>
          <w:ilvl w:val="1"/>
          <w:numId w:val="22"/>
        </w:numPr>
        <w:snapToGrid w:val="0"/>
        <w:spacing w:after="0"/>
        <w:contextualSpacing w:val="0"/>
        <w:jc w:val="both"/>
        <w:rPr>
          <w:rFonts w:cs="Times"/>
        </w:rPr>
      </w:pPr>
      <w:r>
        <w:rPr>
          <w:rFonts w:cs="Times"/>
        </w:rPr>
        <w:t>Support a mechanism for UE to acknowledge successful decoding of beam indication</w:t>
      </w:r>
    </w:p>
    <w:p w14:paraId="2409D790" w14:textId="77777777" w:rsidR="00CC3E81" w:rsidRDefault="00CC3E81" w:rsidP="00CC3E81">
      <w:pPr>
        <w:pStyle w:val="a7"/>
        <w:numPr>
          <w:ilvl w:val="2"/>
          <w:numId w:val="22"/>
        </w:numPr>
        <w:snapToGrid w:val="0"/>
        <w:spacing w:after="0"/>
        <w:contextualSpacing w:val="0"/>
        <w:jc w:val="both"/>
        <w:rPr>
          <w:rFonts w:cs="Times"/>
        </w:rPr>
      </w:pPr>
      <w:r>
        <w:rPr>
          <w:rFonts w:cs="Times"/>
        </w:rPr>
        <w:t>The ACK/NAK of the PDSCH scheduled by the DCI carrying the beam indication can be used as an ACK also for the DCI</w:t>
      </w:r>
    </w:p>
    <w:p w14:paraId="289F6D81" w14:textId="77777777" w:rsidR="00CC3E81" w:rsidRDefault="00CC3E81" w:rsidP="00CC3E81">
      <w:pPr>
        <w:pStyle w:val="a7"/>
        <w:numPr>
          <w:ilvl w:val="2"/>
          <w:numId w:val="22"/>
        </w:numPr>
        <w:snapToGrid w:val="0"/>
        <w:spacing w:after="0"/>
        <w:contextualSpacing w:val="0"/>
        <w:jc w:val="both"/>
        <w:rPr>
          <w:rFonts w:cs="Times"/>
        </w:rPr>
      </w:pPr>
      <w:r>
        <w:rPr>
          <w:rFonts w:cs="Times"/>
        </w:rPr>
        <w:t>FFS: Whether any additional specification support is needed</w:t>
      </w:r>
    </w:p>
    <w:p w14:paraId="0738BE91" w14:textId="77777777" w:rsidR="00CC3E81" w:rsidRDefault="00CC3E81" w:rsidP="00CC3E81">
      <w:pPr>
        <w:pStyle w:val="a7"/>
        <w:numPr>
          <w:ilvl w:val="0"/>
          <w:numId w:val="22"/>
        </w:numPr>
        <w:snapToGrid w:val="0"/>
        <w:spacing w:after="0"/>
        <w:contextualSpacing w:val="0"/>
        <w:jc w:val="both"/>
        <w:rPr>
          <w:rFonts w:cs="Times"/>
        </w:rPr>
      </w:pPr>
      <w:r>
        <w:rPr>
          <w:rFonts w:cs="Times"/>
        </w:rPr>
        <w:t>Support activation of one or more TCI states via MAC CE analogous to Rel.15/16:</w:t>
      </w:r>
    </w:p>
    <w:p w14:paraId="26F365D8" w14:textId="77777777" w:rsidR="00CC3E81" w:rsidRDefault="00CC3E81" w:rsidP="00CC3E81">
      <w:pPr>
        <w:pStyle w:val="a7"/>
        <w:numPr>
          <w:ilvl w:val="1"/>
          <w:numId w:val="22"/>
        </w:numPr>
        <w:snapToGrid w:val="0"/>
        <w:spacing w:after="0"/>
        <w:contextualSpacing w:val="0"/>
        <w:jc w:val="both"/>
        <w:rPr>
          <w:rFonts w:cs="Times"/>
          <w:sz w:val="22"/>
        </w:rPr>
      </w:pPr>
      <w:r>
        <w:rPr>
          <w:rFonts w:cs="Times"/>
          <w:szCs w:val="18"/>
        </w:rPr>
        <w:t>At least for the single activated TCI state, the activated TCI state is applied</w:t>
      </w:r>
    </w:p>
    <w:p w14:paraId="6296C68A" w14:textId="77777777" w:rsidR="00CC3E81" w:rsidRDefault="00CC3E81" w:rsidP="00CC3E81">
      <w:pPr>
        <w:pStyle w:val="a7"/>
        <w:numPr>
          <w:ilvl w:val="1"/>
          <w:numId w:val="22"/>
        </w:numPr>
        <w:snapToGrid w:val="0"/>
        <w:spacing w:after="0"/>
        <w:contextualSpacing w:val="0"/>
        <w:jc w:val="both"/>
        <w:rPr>
          <w:rFonts w:cs="Times"/>
          <w:sz w:val="22"/>
        </w:rPr>
      </w:pPr>
      <w:r>
        <w:rPr>
          <w:rFonts w:cs="Times"/>
        </w:rPr>
        <w:t>The content for the MAC CE is determined based on the outcome of issue 1</w:t>
      </w:r>
    </w:p>
    <w:p w14:paraId="4D4B8961" w14:textId="77777777" w:rsidR="00CC3E81" w:rsidRDefault="00CC3E81" w:rsidP="00CC3E81">
      <w:pPr>
        <w:pStyle w:val="a7"/>
        <w:numPr>
          <w:ilvl w:val="1"/>
          <w:numId w:val="22"/>
        </w:numPr>
        <w:snapToGrid w:val="0"/>
        <w:spacing w:after="0"/>
        <w:contextualSpacing w:val="0"/>
        <w:jc w:val="both"/>
        <w:rPr>
          <w:rFonts w:cs="Times"/>
          <w:sz w:val="22"/>
        </w:rPr>
      </w:pPr>
      <w:r>
        <w:rPr>
          <w:rFonts w:cs="Times"/>
        </w:rPr>
        <w:t>FFS: If supported, default TCI state when more than one TCI states are activated by MAC CE</w:t>
      </w:r>
    </w:p>
    <w:p w14:paraId="65E221A2" w14:textId="77777777" w:rsidR="00CC3E81" w:rsidRDefault="00CC3E81" w:rsidP="00CC3E81">
      <w:pPr>
        <w:pStyle w:val="a7"/>
        <w:numPr>
          <w:ilvl w:val="1"/>
          <w:numId w:val="22"/>
        </w:numPr>
        <w:snapToGrid w:val="0"/>
        <w:spacing w:after="0"/>
        <w:contextualSpacing w:val="0"/>
        <w:jc w:val="both"/>
        <w:rPr>
          <w:rFonts w:cs="Times"/>
        </w:rPr>
      </w:pPr>
      <w:r>
        <w:rPr>
          <w:rFonts w:cs="Times"/>
        </w:rPr>
        <w:t xml:space="preserve">Note: There is no implications on the support of single TRP or multi-TRP </w:t>
      </w:r>
    </w:p>
    <w:p w14:paraId="2F312410" w14:textId="77777777" w:rsidR="00CC3E81" w:rsidRDefault="00CC3E81" w:rsidP="00CC3E81">
      <w:pPr>
        <w:pStyle w:val="a7"/>
        <w:numPr>
          <w:ilvl w:val="0"/>
          <w:numId w:val="22"/>
        </w:numPr>
        <w:snapToGrid w:val="0"/>
        <w:spacing w:after="0"/>
        <w:contextualSpacing w:val="0"/>
        <w:jc w:val="both"/>
        <w:rPr>
          <w:rFonts w:cs="Times"/>
        </w:rPr>
      </w:pPr>
      <w:r>
        <w:rPr>
          <w:rFonts w:cs="Times"/>
        </w:rPr>
        <w:t>FFS: Additional enhancement such as L1-based beam indication with group-common DCI</w:t>
      </w:r>
    </w:p>
    <w:p w14:paraId="0B4135FC" w14:textId="77777777" w:rsidR="00CC3E81" w:rsidRDefault="00CC3E81" w:rsidP="00CC3E81">
      <w:pPr>
        <w:pStyle w:val="a7"/>
        <w:numPr>
          <w:ilvl w:val="0"/>
          <w:numId w:val="22"/>
        </w:numPr>
        <w:snapToGrid w:val="0"/>
        <w:spacing w:after="0"/>
        <w:contextualSpacing w:val="0"/>
        <w:jc w:val="both"/>
        <w:rPr>
          <w:rFonts w:cs="Times"/>
        </w:rPr>
      </w:pPr>
      <w:r>
        <w:rPr>
          <w:rFonts w:cs="Times"/>
        </w:rPr>
        <w:t>FFS: Whether the Rel.17 beam indication can also apply to beam indication for single channel (e.g. PDSCH only, single CORESET) or a subset of channels</w:t>
      </w:r>
    </w:p>
    <w:p w14:paraId="5FC0B28D" w14:textId="77777777" w:rsidR="00CC3E81" w:rsidRDefault="00CC3E81" w:rsidP="00CC3E81">
      <w:pPr>
        <w:pStyle w:val="a7"/>
        <w:numPr>
          <w:ilvl w:val="0"/>
          <w:numId w:val="22"/>
        </w:numPr>
        <w:snapToGrid w:val="0"/>
        <w:spacing w:after="0"/>
        <w:contextualSpacing w:val="0"/>
        <w:jc w:val="both"/>
        <w:rPr>
          <w:rFonts w:cs="Times"/>
        </w:rPr>
      </w:pPr>
      <w:r>
        <w:rPr>
          <w:rFonts w:cs="Times"/>
        </w:rPr>
        <w:t>FFS: Additional details on extending the support of L1-based beam indication when separate UL (from DL) common beam indication is configured</w:t>
      </w:r>
    </w:p>
    <w:p w14:paraId="53095D6C" w14:textId="77777777" w:rsidR="00CC3E81" w:rsidRDefault="00CC3E81" w:rsidP="00CC3E81">
      <w:pPr>
        <w:snapToGrid w:val="0"/>
        <w:spacing w:after="0"/>
        <w:rPr>
          <w:rFonts w:cs="Times"/>
          <w:b/>
          <w:bCs/>
          <w:highlight w:val="green"/>
        </w:rPr>
      </w:pPr>
      <w:bookmarkStart w:id="7" w:name="OLE_LINK9"/>
      <w:bookmarkStart w:id="8" w:name="OLE_LINK10"/>
      <w:r>
        <w:rPr>
          <w:rFonts w:cs="Times"/>
          <w:b/>
          <w:bCs/>
          <w:highlight w:val="green"/>
        </w:rPr>
        <w:t>Agreement</w:t>
      </w:r>
    </w:p>
    <w:p w14:paraId="2951D479" w14:textId="77777777" w:rsidR="00CC3E81" w:rsidRDefault="00CC3E81" w:rsidP="00CC3E81">
      <w:pPr>
        <w:snapToGrid w:val="0"/>
        <w:spacing w:after="0"/>
        <w:jc w:val="both"/>
        <w:rPr>
          <w:bCs/>
        </w:rPr>
      </w:pPr>
      <w:r>
        <w:rPr>
          <w:bCs/>
        </w:rPr>
        <w:t xml:space="preserve">On Rel.17 DCI-based beam indication: </w:t>
      </w:r>
    </w:p>
    <w:p w14:paraId="4350F070" w14:textId="77777777" w:rsidR="00CC3E81" w:rsidRDefault="00CC3E81" w:rsidP="00CC3E81">
      <w:pPr>
        <w:numPr>
          <w:ilvl w:val="0"/>
          <w:numId w:val="23"/>
        </w:numPr>
        <w:snapToGrid w:val="0"/>
        <w:spacing w:after="0"/>
        <w:jc w:val="both"/>
      </w:pPr>
      <w:r>
        <w:t>Regarding application time of the beam indication: if beam indication is received, down-select from the following:</w:t>
      </w:r>
    </w:p>
    <w:p w14:paraId="1324C14C" w14:textId="77777777" w:rsidR="00CC3E81" w:rsidRDefault="00CC3E81" w:rsidP="00CC3E81">
      <w:pPr>
        <w:numPr>
          <w:ilvl w:val="1"/>
          <w:numId w:val="23"/>
        </w:numPr>
        <w:snapToGrid w:val="0"/>
        <w:spacing w:after="0"/>
        <w:jc w:val="both"/>
      </w:pPr>
      <w:r>
        <w:t xml:space="preserve">Alt1: the first slot that is at least X </w:t>
      </w:r>
      <w:proofErr w:type="spellStart"/>
      <w:r>
        <w:t>ms</w:t>
      </w:r>
      <w:proofErr w:type="spellEnd"/>
      <w:r>
        <w:t> or Y symbols after the DCI with the joint or separate DL/UL beam indication</w:t>
      </w:r>
    </w:p>
    <w:p w14:paraId="04183477" w14:textId="77777777" w:rsidR="00CC3E81" w:rsidRDefault="00CC3E81" w:rsidP="00CC3E81">
      <w:pPr>
        <w:numPr>
          <w:ilvl w:val="1"/>
          <w:numId w:val="23"/>
        </w:numPr>
        <w:snapToGrid w:val="0"/>
        <w:spacing w:after="0"/>
        <w:jc w:val="both"/>
      </w:pPr>
      <w:r>
        <w:t xml:space="preserve">Alt2: the first slot that is at least X </w:t>
      </w:r>
      <w:proofErr w:type="spellStart"/>
      <w:r>
        <w:t>ms</w:t>
      </w:r>
      <w:proofErr w:type="spellEnd"/>
      <w:r>
        <w:t xml:space="preserve"> or Y symbols after the acknowledgment of the joint or separate DL/UL beam indication </w:t>
      </w:r>
    </w:p>
    <w:p w14:paraId="2FA16105" w14:textId="77777777" w:rsidR="00CC3E81" w:rsidRDefault="00CC3E81" w:rsidP="00CC3E81">
      <w:pPr>
        <w:numPr>
          <w:ilvl w:val="1"/>
          <w:numId w:val="23"/>
        </w:numPr>
        <w:snapToGrid w:val="0"/>
        <w:spacing w:after="0"/>
        <w:jc w:val="both"/>
        <w:rPr>
          <w:sz w:val="22"/>
        </w:rPr>
      </w:pPr>
      <w:r>
        <w:rPr>
          <w:szCs w:val="18"/>
        </w:rPr>
        <w:t>FFS: whether any existing timing defined for DCI based TCI/spatial relation update can be used for X/Y</w:t>
      </w:r>
    </w:p>
    <w:p w14:paraId="5D13C199" w14:textId="77777777" w:rsidR="00CC3E81" w:rsidRDefault="00CC3E81" w:rsidP="00CC3E81">
      <w:pPr>
        <w:numPr>
          <w:ilvl w:val="0"/>
          <w:numId w:val="23"/>
        </w:numPr>
        <w:snapToGrid w:val="0"/>
        <w:spacing w:after="0"/>
        <w:jc w:val="both"/>
        <w:rPr>
          <w:sz w:val="18"/>
        </w:rPr>
      </w:pPr>
      <w:r>
        <w:rPr>
          <w:bCs/>
          <w:szCs w:val="22"/>
        </w:rPr>
        <w:t xml:space="preserve">FFS: </w:t>
      </w:r>
      <w:r>
        <w:rPr>
          <w:szCs w:val="22"/>
        </w:rPr>
        <w:t>When to apply the minimum indication delay (e.g., when the newly indicated beam is different with the previously indicated beam)</w:t>
      </w:r>
    </w:p>
    <w:p w14:paraId="30507DB3" w14:textId="77777777" w:rsidR="00CC3E81" w:rsidRDefault="00CC3E81" w:rsidP="00CC3E81">
      <w:pPr>
        <w:snapToGrid w:val="0"/>
        <w:spacing w:after="0"/>
        <w:jc w:val="both"/>
        <w:rPr>
          <w:b/>
          <w:bCs/>
          <w:highlight w:val="green"/>
        </w:rPr>
      </w:pPr>
      <w:r>
        <w:rPr>
          <w:b/>
          <w:bCs/>
          <w:highlight w:val="green"/>
        </w:rPr>
        <w:t>Agreement</w:t>
      </w:r>
    </w:p>
    <w:p w14:paraId="1AF2FD25" w14:textId="77777777" w:rsidR="00CC3E81" w:rsidRDefault="00CC3E81" w:rsidP="00CC3E81">
      <w:pPr>
        <w:snapToGrid w:val="0"/>
        <w:spacing w:after="0"/>
        <w:jc w:val="both"/>
        <w:rPr>
          <w:bCs/>
        </w:rPr>
      </w:pPr>
      <w:r>
        <w:rPr>
          <w:bCs/>
        </w:rPr>
        <w:t xml:space="preserve">On Rel.17 DCI-based beam indication, </w:t>
      </w:r>
      <w:r>
        <w:rPr>
          <w:szCs w:val="18"/>
        </w:rPr>
        <w:t>the beam application time is to be down-selected or modified from the following:</w:t>
      </w:r>
    </w:p>
    <w:p w14:paraId="76E621FF" w14:textId="77777777" w:rsidR="00CC3E81" w:rsidRDefault="00CC3E81" w:rsidP="00CC3E81">
      <w:pPr>
        <w:pStyle w:val="a7"/>
        <w:numPr>
          <w:ilvl w:val="0"/>
          <w:numId w:val="23"/>
        </w:numPr>
        <w:snapToGrid w:val="0"/>
        <w:spacing w:after="0"/>
        <w:contextualSpacing w:val="0"/>
        <w:jc w:val="both"/>
        <w:rPr>
          <w:szCs w:val="18"/>
        </w:rPr>
      </w:pPr>
      <w:r>
        <w:rPr>
          <w:szCs w:val="18"/>
        </w:rPr>
        <w:t xml:space="preserve">Alt1: The beam application time can be configured by the </w:t>
      </w:r>
      <w:proofErr w:type="spellStart"/>
      <w:r>
        <w:rPr>
          <w:szCs w:val="18"/>
        </w:rPr>
        <w:t>gNB</w:t>
      </w:r>
      <w:proofErr w:type="spellEnd"/>
      <w:r>
        <w:rPr>
          <w:szCs w:val="18"/>
        </w:rPr>
        <w:t xml:space="preserve"> based on UE capability</w:t>
      </w:r>
    </w:p>
    <w:p w14:paraId="75B31E42" w14:textId="77777777" w:rsidR="00CC3E81" w:rsidRDefault="00CC3E81" w:rsidP="00CC3E81">
      <w:pPr>
        <w:pStyle w:val="a7"/>
        <w:numPr>
          <w:ilvl w:val="1"/>
          <w:numId w:val="23"/>
        </w:numPr>
        <w:snapToGrid w:val="0"/>
        <w:spacing w:after="0"/>
        <w:contextualSpacing w:val="0"/>
        <w:jc w:val="both"/>
        <w:rPr>
          <w:szCs w:val="18"/>
        </w:rPr>
      </w:pPr>
      <w:r>
        <w:rPr>
          <w:szCs w:val="18"/>
        </w:rPr>
        <w:t>Support a UE capability for the minimum value of beam application time</w:t>
      </w:r>
    </w:p>
    <w:p w14:paraId="739CB618" w14:textId="77777777" w:rsidR="00CC3E81" w:rsidRDefault="00CC3E81" w:rsidP="00CC3E81">
      <w:pPr>
        <w:pStyle w:val="a7"/>
        <w:numPr>
          <w:ilvl w:val="1"/>
          <w:numId w:val="23"/>
        </w:numPr>
        <w:snapToGrid w:val="0"/>
        <w:spacing w:after="0"/>
        <w:contextualSpacing w:val="0"/>
        <w:jc w:val="both"/>
        <w:rPr>
          <w:szCs w:val="18"/>
        </w:rPr>
      </w:pPr>
      <w:r>
        <w:rPr>
          <w:szCs w:val="18"/>
        </w:rPr>
        <w:t xml:space="preserve">FFS: the exact minimum values of beam application time supported by UE </w:t>
      </w:r>
    </w:p>
    <w:p w14:paraId="5E02BB1E" w14:textId="77777777" w:rsidR="00CC3E81" w:rsidRDefault="00CC3E81" w:rsidP="00CC3E81">
      <w:pPr>
        <w:pStyle w:val="a7"/>
        <w:numPr>
          <w:ilvl w:val="1"/>
          <w:numId w:val="23"/>
        </w:numPr>
        <w:snapToGrid w:val="0"/>
        <w:spacing w:after="0"/>
        <w:contextualSpacing w:val="0"/>
        <w:jc w:val="both"/>
        <w:rPr>
          <w:szCs w:val="18"/>
        </w:rPr>
      </w:pPr>
      <w:r>
        <w:rPr>
          <w:szCs w:val="18"/>
        </w:rPr>
        <w:t>FFS: whether existing UE capability can be reused as this UE capability.</w:t>
      </w:r>
    </w:p>
    <w:p w14:paraId="29D1463E" w14:textId="77777777" w:rsidR="00CC3E81" w:rsidRDefault="00CC3E81" w:rsidP="00CC3E81">
      <w:pPr>
        <w:pStyle w:val="a7"/>
        <w:numPr>
          <w:ilvl w:val="1"/>
          <w:numId w:val="23"/>
        </w:numPr>
        <w:snapToGrid w:val="0"/>
        <w:spacing w:after="0"/>
        <w:contextualSpacing w:val="0"/>
        <w:jc w:val="both"/>
        <w:rPr>
          <w:szCs w:val="18"/>
        </w:rPr>
      </w:pPr>
      <w:r>
        <w:rPr>
          <w:szCs w:val="18"/>
        </w:rPr>
        <w:t>FFS: whether different beam application time values are supported for uplink and downlink</w:t>
      </w:r>
    </w:p>
    <w:p w14:paraId="5C8071EB" w14:textId="77777777" w:rsidR="00CC3E81" w:rsidRDefault="00CC3E81" w:rsidP="00CC3E81">
      <w:pPr>
        <w:pStyle w:val="a7"/>
        <w:numPr>
          <w:ilvl w:val="1"/>
          <w:numId w:val="23"/>
        </w:numPr>
        <w:snapToGrid w:val="0"/>
        <w:spacing w:after="0"/>
        <w:contextualSpacing w:val="0"/>
        <w:jc w:val="both"/>
        <w:rPr>
          <w:szCs w:val="18"/>
        </w:rPr>
      </w:pPr>
      <w:r>
        <w:rPr>
          <w:szCs w:val="18"/>
        </w:rPr>
        <w:t>FFS: whether UE capability needs to be introduced for the maximum value of beam application time</w:t>
      </w:r>
    </w:p>
    <w:p w14:paraId="469F2374" w14:textId="77777777" w:rsidR="00CC3E81" w:rsidRDefault="00CC3E81" w:rsidP="00CC3E81">
      <w:pPr>
        <w:pStyle w:val="a7"/>
        <w:numPr>
          <w:ilvl w:val="0"/>
          <w:numId w:val="23"/>
        </w:numPr>
        <w:snapToGrid w:val="0"/>
        <w:spacing w:after="0"/>
        <w:contextualSpacing w:val="0"/>
        <w:jc w:val="both"/>
        <w:rPr>
          <w:szCs w:val="18"/>
        </w:rPr>
      </w:pPr>
      <w:r>
        <w:rPr>
          <w:szCs w:val="18"/>
        </w:rPr>
        <w:t>Alt2: The beam application time is fixed and defined in specification</w:t>
      </w:r>
    </w:p>
    <w:p w14:paraId="6220063C" w14:textId="77777777" w:rsidR="00CC3E81" w:rsidRDefault="00CC3E81" w:rsidP="00CC3E81">
      <w:pPr>
        <w:pStyle w:val="a7"/>
        <w:numPr>
          <w:ilvl w:val="0"/>
          <w:numId w:val="23"/>
        </w:numPr>
        <w:snapToGrid w:val="0"/>
        <w:spacing w:after="0"/>
        <w:contextualSpacing w:val="0"/>
        <w:jc w:val="both"/>
        <w:rPr>
          <w:szCs w:val="18"/>
        </w:rPr>
      </w:pPr>
      <w:r>
        <w:rPr>
          <w:szCs w:val="18"/>
        </w:rPr>
        <w:t xml:space="preserve">Alt3: The beam application time can be configured by the </w:t>
      </w:r>
      <w:proofErr w:type="spellStart"/>
      <w:r>
        <w:rPr>
          <w:szCs w:val="18"/>
        </w:rPr>
        <w:t>gNB</w:t>
      </w:r>
      <w:proofErr w:type="spellEnd"/>
      <w:r>
        <w:rPr>
          <w:szCs w:val="18"/>
        </w:rPr>
        <w:t xml:space="preserve"> where the minimum value of beam application time is fixed and defined in specification</w:t>
      </w:r>
    </w:p>
    <w:p w14:paraId="019C179F" w14:textId="77777777" w:rsidR="00CC3E81" w:rsidRDefault="00CC3E81" w:rsidP="00CC3E81">
      <w:pPr>
        <w:pStyle w:val="a7"/>
        <w:numPr>
          <w:ilvl w:val="0"/>
          <w:numId w:val="23"/>
        </w:numPr>
        <w:snapToGrid w:val="0"/>
        <w:spacing w:after="0"/>
        <w:contextualSpacing w:val="0"/>
        <w:jc w:val="both"/>
        <w:rPr>
          <w:szCs w:val="18"/>
        </w:rPr>
      </w:pPr>
      <w:r>
        <w:rPr>
          <w:szCs w:val="18"/>
        </w:rPr>
        <w:t>Consider multi-panel UE, layer 1/2 inter-cell cases, carrier aggregation aspects</w:t>
      </w:r>
    </w:p>
    <w:p w14:paraId="4B1E7DEA" w14:textId="52B43109"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multi-</w:t>
      </w:r>
      <w:r w:rsidR="003250A3">
        <w:rPr>
          <w:rFonts w:eastAsiaTheme="minorEastAsia"/>
          <w:color w:val="000000" w:themeColor="text1"/>
          <w:sz w:val="22"/>
          <w:szCs w:val="22"/>
          <w:lang w:val="en-US" w:eastAsia="zh-CN"/>
        </w:rPr>
        <w:t xml:space="preserve">beam </w:t>
      </w:r>
      <w:r w:rsidR="003250A3">
        <w:rPr>
          <w:rFonts w:eastAsiaTheme="minorEastAsia" w:hint="eastAsia"/>
          <w:color w:val="000000" w:themeColor="text1"/>
          <w:sz w:val="22"/>
          <w:szCs w:val="22"/>
          <w:lang w:val="en-US" w:eastAsia="zh-CN"/>
        </w:rPr>
        <w:t>o</w:t>
      </w:r>
      <w:r w:rsidR="003250A3">
        <w:rPr>
          <w:rFonts w:eastAsiaTheme="minorEastAsia"/>
          <w:color w:val="000000" w:themeColor="text1"/>
          <w:sz w:val="22"/>
          <w:szCs w:val="22"/>
          <w:lang w:val="en-US" w:eastAsia="zh-CN"/>
        </w:rPr>
        <w:t>peration</w:t>
      </w:r>
      <w:r w:rsidRPr="00CE13B8">
        <w:rPr>
          <w:rFonts w:eastAsiaTheme="minorEastAsia" w:hint="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lastRenderedPageBreak/>
        <w:t>Discussion</w:t>
      </w:r>
    </w:p>
    <w:p w14:paraId="09F6ACA0" w14:textId="1C67CA39" w:rsidR="006B7B38" w:rsidRDefault="006B7B38"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L1-based beam indication was agreed in last meeting, and existing DCI formats 1-1 and 1-2 can be reused. </w:t>
      </w:r>
      <w:r w:rsidR="00454044">
        <w:rPr>
          <w:rFonts w:eastAsiaTheme="minorEastAsia"/>
          <w:color w:val="000000" w:themeColor="text1"/>
          <w:sz w:val="22"/>
          <w:szCs w:val="22"/>
          <w:lang w:val="en-US" w:eastAsia="zh-CN"/>
        </w:rPr>
        <w:t>T</w:t>
      </w:r>
      <w:r>
        <w:rPr>
          <w:rFonts w:eastAsiaTheme="minorEastAsia"/>
          <w:color w:val="000000" w:themeColor="text1"/>
          <w:sz w:val="22"/>
          <w:szCs w:val="22"/>
          <w:lang w:val="en-US" w:eastAsia="zh-CN"/>
        </w:rPr>
        <w:t xml:space="preserve">he TCI field can be used to indicate updated beam for following PDSCH/PDCCH transmission. </w:t>
      </w:r>
      <w:r w:rsidR="00454044">
        <w:rPr>
          <w:rFonts w:eastAsiaTheme="minorEastAsia"/>
          <w:color w:val="000000" w:themeColor="text1"/>
          <w:sz w:val="22"/>
          <w:szCs w:val="22"/>
          <w:lang w:val="en-US" w:eastAsia="zh-CN"/>
        </w:rPr>
        <w:t>For example, if the TCI field indicate a different TCI states, UE can assume there is beam updating.</w:t>
      </w:r>
    </w:p>
    <w:p w14:paraId="4DF0A7A8" w14:textId="12203332" w:rsidR="00B9662A" w:rsidRDefault="006B7B38"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w:t>
      </w:r>
      <w:r w:rsidRPr="006B7B38">
        <w:rPr>
          <w:rFonts w:eastAsiaTheme="minorEastAsia"/>
          <w:color w:val="000000" w:themeColor="text1"/>
          <w:sz w:val="22"/>
          <w:szCs w:val="22"/>
          <w:lang w:val="en-US" w:eastAsia="zh-CN"/>
        </w:rPr>
        <w:t xml:space="preserve">UE to acknowledge successful decoding of beam indication </w:t>
      </w:r>
      <w:r>
        <w:rPr>
          <w:rFonts w:eastAsiaTheme="minorEastAsia"/>
          <w:color w:val="000000" w:themeColor="text1"/>
          <w:sz w:val="22"/>
          <w:szCs w:val="22"/>
          <w:lang w:val="en-US" w:eastAsia="zh-CN"/>
        </w:rPr>
        <w:t xml:space="preserve">was agreed as the beam updating is an important command. One solution is to reuse the ACK/NACK for PDSCH </w:t>
      </w:r>
      <w:r w:rsidR="00802005">
        <w:rPr>
          <w:rFonts w:eastAsiaTheme="minorEastAsia"/>
          <w:color w:val="000000" w:themeColor="text1"/>
          <w:sz w:val="22"/>
          <w:szCs w:val="22"/>
          <w:lang w:val="en-US" w:eastAsia="zh-CN"/>
        </w:rPr>
        <w:t>scheduled by the DCI to indicate beam indication result. While considering the scheduling offset between PDCCH and PDSCH, and also the PDSCH processing delay, reusing the ACK/NACK for PDSCH will cause extra delay for</w:t>
      </w:r>
      <w:r w:rsidR="00802005" w:rsidRPr="00802005">
        <w:t xml:space="preserve"> </w:t>
      </w:r>
      <w:r w:rsidR="00802005" w:rsidRPr="00802005">
        <w:rPr>
          <w:rFonts w:eastAsiaTheme="minorEastAsia"/>
          <w:color w:val="000000" w:themeColor="text1"/>
          <w:sz w:val="22"/>
          <w:szCs w:val="22"/>
          <w:lang w:val="en-US" w:eastAsia="zh-CN"/>
        </w:rPr>
        <w:t>acknowledge</w:t>
      </w:r>
      <w:r w:rsidR="00802005">
        <w:rPr>
          <w:rFonts w:eastAsiaTheme="minorEastAsia"/>
          <w:color w:val="000000" w:themeColor="text1"/>
          <w:sz w:val="22"/>
          <w:szCs w:val="22"/>
          <w:lang w:val="en-US" w:eastAsia="zh-CN"/>
        </w:rPr>
        <w:t xml:space="preserve"> of beam indication result.</w:t>
      </w:r>
      <w:r w:rsidR="00B9662A">
        <w:rPr>
          <w:rFonts w:eastAsiaTheme="minorEastAsia"/>
          <w:color w:val="000000" w:themeColor="text1"/>
          <w:sz w:val="22"/>
          <w:szCs w:val="22"/>
          <w:lang w:val="en-US" w:eastAsia="zh-CN"/>
        </w:rPr>
        <w:t xml:space="preserve"> In addition, there are multiple cases that the DCI can be decoded successfully, but decoding of PDSCH scheduled by the DCI is failed. In this case, network needs further indicate the beam, which will cause larger delay. Even impact on the benefit of L1-based dynamic beam indication.</w:t>
      </w:r>
    </w:p>
    <w:p w14:paraId="2B315106" w14:textId="384883B7" w:rsidR="00802005" w:rsidRDefault="00B9662A"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this, another ACK/NACK can be introduced, which is based on the decoding result of the DCI, and the offset to report the ACK/NACK can be counted from the last symbol of the PDCCH. Based on this, network can quickly obtain the beam indication result. One may argue that the extra ACK/NACK report will cause high overhead. </w:t>
      </w:r>
      <w:r w:rsidR="00454044">
        <w:rPr>
          <w:rFonts w:eastAsiaTheme="minorEastAsia"/>
          <w:color w:val="000000" w:themeColor="text1"/>
          <w:sz w:val="22"/>
          <w:szCs w:val="22"/>
          <w:lang w:val="en-US" w:eastAsia="zh-CN"/>
        </w:rPr>
        <w:t>There may be several solutions for this. On one hand, t</w:t>
      </w:r>
      <w:r>
        <w:rPr>
          <w:rFonts w:eastAsiaTheme="minorEastAsia"/>
          <w:color w:val="000000" w:themeColor="text1"/>
          <w:sz w:val="22"/>
          <w:szCs w:val="22"/>
          <w:lang w:val="en-US" w:eastAsia="zh-CN"/>
        </w:rPr>
        <w:t xml:space="preserve">he existence of the extra ACK/NACK report can be further discussed, for example, only when the beam </w:t>
      </w:r>
      <w:r w:rsidR="00454044">
        <w:rPr>
          <w:rFonts w:eastAsiaTheme="minorEastAsia"/>
          <w:color w:val="000000" w:themeColor="text1"/>
          <w:sz w:val="22"/>
          <w:szCs w:val="22"/>
          <w:lang w:val="en-US" w:eastAsia="zh-CN"/>
        </w:rPr>
        <w:t>is updated in the DCI, the extra ACK/NACK report is needed. On the other hand, if the DCI is used to update the beam, the scheduled PDSCH can be dropped, and ACK/NACK for the PDSCH is not needed, in this case only one ACK/NACK is reported, which can reduce the overhead.</w:t>
      </w:r>
    </w:p>
    <w:p w14:paraId="61BA271C" w14:textId="77777777" w:rsidR="00454044" w:rsidRDefault="00454044" w:rsidP="00454044">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ACK/NACK for the DCI decoding result should be introduced to indicate the beam indication result, and the offset for the ACK/NACK report is counting from the last symbol of the PDCCH.</w:t>
      </w:r>
    </w:p>
    <w:p w14:paraId="69B7840F" w14:textId="127ED568" w:rsidR="00454044" w:rsidRDefault="00454044" w:rsidP="0095370B">
      <w:pPr>
        <w:spacing w:after="120"/>
        <w:jc w:val="both"/>
        <w:rPr>
          <w:rFonts w:eastAsiaTheme="minorEastAsia"/>
          <w:color w:val="000000" w:themeColor="text1"/>
          <w:sz w:val="22"/>
          <w:szCs w:val="22"/>
          <w:lang w:val="en-US" w:eastAsia="zh-CN"/>
        </w:rPr>
      </w:pPr>
      <w:r w:rsidRPr="00454044">
        <w:rPr>
          <w:rFonts w:eastAsiaTheme="minorEastAsia"/>
          <w:color w:val="000000" w:themeColor="text1"/>
          <w:sz w:val="22"/>
          <w:szCs w:val="22"/>
          <w:lang w:val="en-US" w:eastAsia="zh-CN"/>
        </w:rPr>
        <w:t>Regarding application time of the beam indication</w:t>
      </w:r>
      <w:r>
        <w:rPr>
          <w:rFonts w:eastAsiaTheme="minorEastAsia"/>
          <w:color w:val="000000" w:themeColor="text1"/>
          <w:sz w:val="22"/>
          <w:szCs w:val="22"/>
          <w:lang w:val="en-US" w:eastAsia="zh-CN"/>
        </w:rPr>
        <w:t xml:space="preserve">, to fully reuse the benefit of dynamic beam indication, Alt 1 is preferred, i.e. </w:t>
      </w:r>
      <w:r w:rsidRPr="00454044">
        <w:rPr>
          <w:rFonts w:eastAsiaTheme="minorEastAsia"/>
          <w:color w:val="000000" w:themeColor="text1"/>
          <w:sz w:val="22"/>
          <w:szCs w:val="22"/>
          <w:lang w:val="en-US" w:eastAsia="zh-CN"/>
        </w:rPr>
        <w:t xml:space="preserve">the first slot that is at least X </w:t>
      </w:r>
      <w:proofErr w:type="spellStart"/>
      <w:r w:rsidRPr="00454044">
        <w:rPr>
          <w:rFonts w:eastAsiaTheme="minorEastAsia"/>
          <w:color w:val="000000" w:themeColor="text1"/>
          <w:sz w:val="22"/>
          <w:szCs w:val="22"/>
          <w:lang w:val="en-US" w:eastAsia="zh-CN"/>
        </w:rPr>
        <w:t>ms</w:t>
      </w:r>
      <w:proofErr w:type="spellEnd"/>
      <w:r w:rsidRPr="00454044">
        <w:rPr>
          <w:rFonts w:eastAsiaTheme="minorEastAsia"/>
          <w:color w:val="000000" w:themeColor="text1"/>
          <w:sz w:val="22"/>
          <w:szCs w:val="22"/>
          <w:lang w:val="en-US" w:eastAsia="zh-CN"/>
        </w:rPr>
        <w:t xml:space="preserve"> or Y symbols after the DCI with the joint or separate DL/UL beam indication</w:t>
      </w:r>
      <w:r>
        <w:rPr>
          <w:rFonts w:eastAsiaTheme="minorEastAsia"/>
          <w:color w:val="000000" w:themeColor="text1"/>
          <w:sz w:val="22"/>
          <w:szCs w:val="22"/>
          <w:lang w:val="en-US" w:eastAsia="zh-CN"/>
        </w:rPr>
        <w:t>. As for Alt 2, if the ACK/NACK for beam indication is based on ACK/NACK for PDSCH, in some cases, the DCI is successfully decoded, but PDSCH failed, as discussion above. Which will cause large delay and extra overhead for network re-indicate the new beam.</w:t>
      </w:r>
    </w:p>
    <w:p w14:paraId="6A0E2103" w14:textId="2A04DB3C" w:rsidR="00454044" w:rsidRDefault="00454044" w:rsidP="00454044">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894BFB">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Pr="00454044">
        <w:rPr>
          <w:rFonts w:eastAsiaTheme="minorEastAsia"/>
          <w:b/>
          <w:i/>
          <w:sz w:val="22"/>
          <w:szCs w:val="22"/>
          <w:lang w:val="en-US" w:eastAsia="zh-CN"/>
        </w:rPr>
        <w:t>application time of the beam indication</w:t>
      </w:r>
      <w:r>
        <w:rPr>
          <w:rFonts w:eastAsiaTheme="minorEastAsia"/>
          <w:b/>
          <w:i/>
          <w:sz w:val="22"/>
          <w:szCs w:val="22"/>
          <w:lang w:val="en-US" w:eastAsia="zh-CN"/>
        </w:rPr>
        <w:t>, support Alt 1.</w:t>
      </w:r>
    </w:p>
    <w:p w14:paraId="237A1FC3" w14:textId="36D54C96" w:rsidR="00454044" w:rsidRPr="00454044" w:rsidRDefault="00454044" w:rsidP="00454044">
      <w:pPr>
        <w:pStyle w:val="a7"/>
        <w:numPr>
          <w:ilvl w:val="0"/>
          <w:numId w:val="25"/>
        </w:numPr>
        <w:spacing w:after="120"/>
        <w:jc w:val="both"/>
        <w:rPr>
          <w:rFonts w:eastAsiaTheme="minorEastAsia"/>
          <w:b/>
          <w:i/>
          <w:sz w:val="22"/>
          <w:szCs w:val="22"/>
          <w:lang w:val="en-US" w:eastAsia="zh-CN"/>
        </w:rPr>
      </w:pPr>
      <w:r w:rsidRPr="00454044">
        <w:rPr>
          <w:rFonts w:eastAsiaTheme="minorEastAsia"/>
          <w:b/>
          <w:i/>
          <w:sz w:val="22"/>
          <w:szCs w:val="22"/>
          <w:lang w:val="en-US" w:eastAsia="zh-CN"/>
        </w:rPr>
        <w:t xml:space="preserve">Alt1: the first slot that is at least X </w:t>
      </w:r>
      <w:proofErr w:type="spellStart"/>
      <w:r w:rsidRPr="00454044">
        <w:rPr>
          <w:rFonts w:eastAsiaTheme="minorEastAsia"/>
          <w:b/>
          <w:i/>
          <w:sz w:val="22"/>
          <w:szCs w:val="22"/>
          <w:lang w:val="en-US" w:eastAsia="zh-CN"/>
        </w:rPr>
        <w:t>ms</w:t>
      </w:r>
      <w:proofErr w:type="spellEnd"/>
      <w:r w:rsidRPr="00454044">
        <w:rPr>
          <w:rFonts w:eastAsiaTheme="minorEastAsia"/>
          <w:b/>
          <w:i/>
          <w:sz w:val="22"/>
          <w:szCs w:val="22"/>
          <w:lang w:val="en-US" w:eastAsia="zh-CN"/>
        </w:rPr>
        <w:t xml:space="preserve"> or Y symbols after the DCI with the joint or separate DL/UL beam indication</w:t>
      </w:r>
    </w:p>
    <w:p w14:paraId="276BF30E" w14:textId="3C04AB06" w:rsidR="0042727C" w:rsidRDefault="001A1403"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thing is tha</w:t>
      </w:r>
      <w:r w:rsidR="0042727C">
        <w:rPr>
          <w:rFonts w:eastAsiaTheme="minorEastAsia"/>
          <w:color w:val="000000" w:themeColor="text1"/>
          <w:sz w:val="22"/>
          <w:szCs w:val="22"/>
          <w:lang w:val="en-US" w:eastAsia="zh-CN"/>
        </w:rPr>
        <w:t xml:space="preserve">t if beam for PDCCH is dynamically updated, there will be impact to the set of reference signals </w:t>
      </w:r>
      <w:r w:rsidR="0042727C">
        <w:rPr>
          <w:iCs/>
          <w:noProof/>
          <w:position w:val="-10"/>
          <w:lang w:val="en-US" w:eastAsia="zh-CN"/>
        </w:rPr>
        <w:drawing>
          <wp:inline distT="0" distB="0" distL="0" distR="0" wp14:anchorId="630D4F93" wp14:editId="2666CD6D">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42727C">
        <w:rPr>
          <w:rFonts w:eastAsiaTheme="minorEastAsia"/>
          <w:color w:val="000000" w:themeColor="text1"/>
          <w:sz w:val="22"/>
          <w:szCs w:val="22"/>
          <w:lang w:val="en-US" w:eastAsia="zh-CN"/>
        </w:rPr>
        <w:t xml:space="preserve">for beam failure detection, which is monitored for the hypothesis of PDCCH reception. For example, if the beam for PDCCH is updated, the current set of </w:t>
      </w:r>
      <w:r w:rsidR="0042727C">
        <w:rPr>
          <w:iCs/>
          <w:noProof/>
          <w:position w:val="-10"/>
          <w:lang w:val="en-US" w:eastAsia="zh-CN"/>
        </w:rPr>
        <w:drawing>
          <wp:inline distT="0" distB="0" distL="0" distR="0" wp14:anchorId="66112A6B" wp14:editId="7D5665DA">
            <wp:extent cx="18097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42727C">
        <w:rPr>
          <w:rFonts w:eastAsiaTheme="minorEastAsia"/>
          <w:color w:val="000000" w:themeColor="text1"/>
          <w:sz w:val="22"/>
          <w:szCs w:val="22"/>
          <w:lang w:val="en-US" w:eastAsia="zh-CN"/>
        </w:rPr>
        <w:t>may not be suitable for beam failure detection any more.</w:t>
      </w:r>
      <w:r w:rsidR="0042727C">
        <w:rPr>
          <w:rFonts w:eastAsiaTheme="minorEastAsia" w:hint="eastAsia"/>
          <w:color w:val="000000" w:themeColor="text1"/>
          <w:sz w:val="22"/>
          <w:szCs w:val="22"/>
          <w:lang w:val="en-US" w:eastAsia="zh-CN"/>
        </w:rPr>
        <w:t xml:space="preserve"> </w:t>
      </w:r>
      <w:r w:rsidR="0042727C">
        <w:rPr>
          <w:rFonts w:eastAsiaTheme="minorEastAsia"/>
          <w:color w:val="000000" w:themeColor="text1"/>
          <w:sz w:val="22"/>
          <w:szCs w:val="22"/>
          <w:lang w:val="en-US" w:eastAsia="zh-CN"/>
        </w:rPr>
        <w:t>So we propose that:</w:t>
      </w:r>
    </w:p>
    <w:p w14:paraId="538574E1" w14:textId="7770F046" w:rsidR="006E7CC1" w:rsidRDefault="006E7CC1" w:rsidP="006E7CC1">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894BFB">
        <w:rPr>
          <w:rFonts w:eastAsiaTheme="minorEastAsia"/>
          <w:b/>
          <w:i/>
          <w:sz w:val="22"/>
          <w:szCs w:val="22"/>
          <w:lang w:val="en-US" w:eastAsia="zh-CN"/>
        </w:rPr>
        <w:t>3</w:t>
      </w:r>
      <w:r>
        <w:rPr>
          <w:rFonts w:eastAsiaTheme="minor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Study the impact to beam failure detection RS if the PDCCH beam is updated dynamically.</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E20BB27"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the multi-</w:t>
      </w:r>
      <w:r w:rsidR="006E7CC1">
        <w:rPr>
          <w:rFonts w:eastAsia="宋体"/>
          <w:color w:val="000000" w:themeColor="text1"/>
          <w:sz w:val="22"/>
          <w:szCs w:val="22"/>
          <w:lang w:eastAsia="zh-CN"/>
        </w:rPr>
        <w:t>beam operation</w:t>
      </w:r>
      <w:r>
        <w:rPr>
          <w:rFonts w:eastAsia="宋体" w:hint="eastAsia"/>
          <w:color w:val="000000" w:themeColor="text1"/>
          <w:sz w:val="22"/>
          <w:szCs w:val="22"/>
          <w:lang w:eastAsia="zh-CN"/>
        </w:rPr>
        <w:t>, and we proposed that:</w:t>
      </w:r>
    </w:p>
    <w:p w14:paraId="464F5212" w14:textId="77777777" w:rsidR="00894BFB" w:rsidRDefault="00894BFB" w:rsidP="00894BF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ACK/NACK for the DCI decoding result should be introduced to indicate the beam indication result, and the offset for the ACK/NACK report is counting from the last symbol of the PDCCH.</w:t>
      </w:r>
    </w:p>
    <w:p w14:paraId="36F01B07" w14:textId="77777777" w:rsidR="00894BFB" w:rsidRDefault="00894BFB" w:rsidP="00894BF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Pr="00454044">
        <w:rPr>
          <w:rFonts w:eastAsiaTheme="minorEastAsia"/>
          <w:b/>
          <w:i/>
          <w:sz w:val="22"/>
          <w:szCs w:val="22"/>
          <w:lang w:val="en-US" w:eastAsia="zh-CN"/>
        </w:rPr>
        <w:t>application time of the beam indication</w:t>
      </w:r>
      <w:r>
        <w:rPr>
          <w:rFonts w:eastAsiaTheme="minorEastAsia"/>
          <w:b/>
          <w:i/>
          <w:sz w:val="22"/>
          <w:szCs w:val="22"/>
          <w:lang w:val="en-US" w:eastAsia="zh-CN"/>
        </w:rPr>
        <w:t>, support Alt 1.</w:t>
      </w:r>
    </w:p>
    <w:p w14:paraId="3449A02E" w14:textId="77777777" w:rsidR="00894BFB" w:rsidRPr="00454044" w:rsidRDefault="00894BFB" w:rsidP="00894BFB">
      <w:pPr>
        <w:pStyle w:val="a7"/>
        <w:numPr>
          <w:ilvl w:val="0"/>
          <w:numId w:val="25"/>
        </w:numPr>
        <w:spacing w:after="120"/>
        <w:jc w:val="both"/>
        <w:rPr>
          <w:rFonts w:eastAsiaTheme="minorEastAsia"/>
          <w:b/>
          <w:i/>
          <w:sz w:val="22"/>
          <w:szCs w:val="22"/>
          <w:lang w:val="en-US" w:eastAsia="zh-CN"/>
        </w:rPr>
      </w:pPr>
      <w:r w:rsidRPr="00454044">
        <w:rPr>
          <w:rFonts w:eastAsiaTheme="minorEastAsia"/>
          <w:b/>
          <w:i/>
          <w:sz w:val="22"/>
          <w:szCs w:val="22"/>
          <w:lang w:val="en-US" w:eastAsia="zh-CN"/>
        </w:rPr>
        <w:t xml:space="preserve">Alt1: the first slot that is at least X </w:t>
      </w:r>
      <w:proofErr w:type="spellStart"/>
      <w:r w:rsidRPr="00454044">
        <w:rPr>
          <w:rFonts w:eastAsiaTheme="minorEastAsia"/>
          <w:b/>
          <w:i/>
          <w:sz w:val="22"/>
          <w:szCs w:val="22"/>
          <w:lang w:val="en-US" w:eastAsia="zh-CN"/>
        </w:rPr>
        <w:t>ms</w:t>
      </w:r>
      <w:proofErr w:type="spellEnd"/>
      <w:r w:rsidRPr="00454044">
        <w:rPr>
          <w:rFonts w:eastAsiaTheme="minorEastAsia"/>
          <w:b/>
          <w:i/>
          <w:sz w:val="22"/>
          <w:szCs w:val="22"/>
          <w:lang w:val="en-US" w:eastAsia="zh-CN"/>
        </w:rPr>
        <w:t xml:space="preserve"> or Y symbols after the DCI with the joint or separate DL/UL beam indication</w:t>
      </w:r>
    </w:p>
    <w:p w14:paraId="4DA0AB79" w14:textId="77777777" w:rsidR="00894BFB" w:rsidRDefault="00894BFB" w:rsidP="00894BFB">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Pr>
          <w:rFonts w:eastAsiaTheme="minorEastAsia" w:hint="eastAsia"/>
          <w:b/>
          <w:i/>
          <w:sz w:val="22"/>
          <w:szCs w:val="22"/>
          <w:lang w:val="en-US" w:eastAsia="zh-CN"/>
        </w:rPr>
        <w:t xml:space="preserve"> </w:t>
      </w:r>
      <w:r>
        <w:rPr>
          <w:rFonts w:eastAsiaTheme="minorEastAsia"/>
          <w:b/>
          <w:i/>
          <w:sz w:val="22"/>
          <w:szCs w:val="22"/>
          <w:lang w:val="en-US" w:eastAsia="zh-CN"/>
        </w:rPr>
        <w:t>Study the impact to beam failure detection RS if the PDCCH beam is updated dynamically.</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488206FA" w14:textId="77777777" w:rsidR="00195CDE" w:rsidRPr="00EA14AD" w:rsidRDefault="00195CDE" w:rsidP="00195CDE">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RAN1#103-e, </w:t>
      </w:r>
      <w:r w:rsidRPr="00F62D9B">
        <w:rPr>
          <w:rFonts w:eastAsia="宋体"/>
          <w:color w:val="000000"/>
          <w:lang w:eastAsia="zh-CN"/>
        </w:rPr>
        <w:t>October 26th – November 13th</w:t>
      </w:r>
      <w:r w:rsidRPr="00176AE8">
        <w:rPr>
          <w:rFonts w:eastAsia="宋体"/>
          <w:color w:val="000000"/>
          <w:lang w:eastAsia="zh-CN"/>
        </w:rPr>
        <w:t>, 2020</w:t>
      </w:r>
      <w:r>
        <w:rPr>
          <w:rFonts w:eastAsia="宋体"/>
          <w:color w:val="000000"/>
          <w:lang w:eastAsia="zh-CN"/>
        </w:rPr>
        <w:t>.</w:t>
      </w:r>
    </w:p>
    <w:sectPr w:rsidR="00195CDE" w:rsidRPr="00EA14AD"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2E405" w14:textId="77777777" w:rsidR="00BC648B" w:rsidRPr="00D733E0" w:rsidRDefault="00BC648B" w:rsidP="00D400AF">
      <w:pPr>
        <w:spacing w:after="0"/>
        <w:rPr>
          <w:rFonts w:ascii="Arial" w:eastAsia="宋体" w:hAnsi="Arial" w:cs="Arial"/>
          <w:color w:val="0000FF"/>
          <w:kern w:val="2"/>
          <w:lang w:val="en-US" w:eastAsia="zh-CN"/>
        </w:rPr>
      </w:pPr>
      <w:r>
        <w:separator/>
      </w:r>
    </w:p>
  </w:endnote>
  <w:endnote w:type="continuationSeparator" w:id="0">
    <w:p w14:paraId="33F73E80" w14:textId="77777777" w:rsidR="00BC648B" w:rsidRPr="00D733E0" w:rsidRDefault="00BC648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8D64289" w:rsidR="00B9662A" w:rsidRPr="007A56A3" w:rsidRDefault="00B9662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3B6E6A" w:rsidRPr="003B6E6A">
          <w:rPr>
            <w:noProof/>
            <w:sz w:val="21"/>
            <w:lang w:val="zh-CN" w:eastAsia="zh-CN"/>
          </w:rPr>
          <w:t>2</w:t>
        </w:r>
        <w:r w:rsidRPr="007A56A3">
          <w:rPr>
            <w:sz w:val="21"/>
          </w:rPr>
          <w:fldChar w:fldCharType="end"/>
        </w:r>
      </w:p>
    </w:sdtContent>
  </w:sdt>
  <w:p w14:paraId="55D08AE3" w14:textId="77777777" w:rsidR="00B9662A" w:rsidRDefault="00B9662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19FDB" w14:textId="77777777" w:rsidR="00BC648B" w:rsidRPr="00D733E0" w:rsidRDefault="00BC648B" w:rsidP="00D400AF">
      <w:pPr>
        <w:spacing w:after="0"/>
        <w:rPr>
          <w:rFonts w:ascii="Arial" w:eastAsia="宋体" w:hAnsi="Arial" w:cs="Arial"/>
          <w:color w:val="0000FF"/>
          <w:kern w:val="2"/>
          <w:lang w:val="en-US" w:eastAsia="zh-CN"/>
        </w:rPr>
      </w:pPr>
      <w:r>
        <w:separator/>
      </w:r>
    </w:p>
  </w:footnote>
  <w:footnote w:type="continuationSeparator" w:id="0">
    <w:p w14:paraId="43C51198" w14:textId="77777777" w:rsidR="00BC648B" w:rsidRPr="00D733E0" w:rsidRDefault="00BC648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86D79E0"/>
    <w:multiLevelType w:val="hybridMultilevel"/>
    <w:tmpl w:val="B45239BE"/>
    <w:lvl w:ilvl="0" w:tplc="AC968F4C">
      <w:start w:val="3"/>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21"/>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4"/>
  </w:num>
  <w:num w:numId="10">
    <w:abstractNumId w:val="20"/>
  </w:num>
  <w:num w:numId="11">
    <w:abstractNumId w:val="4"/>
  </w:num>
  <w:num w:numId="12">
    <w:abstractNumId w:val="1"/>
  </w:num>
  <w:num w:numId="13">
    <w:abstractNumId w:val="12"/>
  </w:num>
  <w:num w:numId="14">
    <w:abstractNumId w:val="10"/>
  </w:num>
  <w:num w:numId="15">
    <w:abstractNumId w:val="6"/>
  </w:num>
  <w:num w:numId="16">
    <w:abstractNumId w:val="7"/>
  </w:num>
  <w:num w:numId="17">
    <w:abstractNumId w:val="17"/>
  </w:num>
  <w:num w:numId="18">
    <w:abstractNumId w:val="13"/>
  </w:num>
  <w:num w:numId="19">
    <w:abstractNumId w:val="11"/>
  </w:num>
  <w:num w:numId="20">
    <w:abstractNumId w:val="16"/>
  </w:num>
  <w:num w:numId="21">
    <w:abstractNumId w:val="15"/>
    <w:lvlOverride w:ilvl="0"/>
    <w:lvlOverride w:ilvl="1">
      <w:startOverride w:val="1"/>
    </w:lvlOverride>
    <w:lvlOverride w:ilvl="2"/>
    <w:lvlOverride w:ilvl="3"/>
    <w:lvlOverride w:ilvl="4"/>
    <w:lvlOverride w:ilvl="5"/>
    <w:lvlOverride w:ilvl="6"/>
    <w:lvlOverride w:ilvl="7"/>
    <w:lvlOverride w:ilvl="8"/>
  </w:num>
  <w:num w:numId="22">
    <w:abstractNumId w:val="19"/>
  </w:num>
  <w:num w:numId="23">
    <w:abstractNumId w:val="9"/>
  </w:num>
  <w:num w:numId="24">
    <w:abstractNumId w:val="15"/>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57A67"/>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C4F"/>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CDE"/>
    <w:rsid w:val="00195D63"/>
    <w:rsid w:val="001A09CE"/>
    <w:rsid w:val="001A1403"/>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1B35"/>
    <w:rsid w:val="002E29C8"/>
    <w:rsid w:val="002E29DD"/>
    <w:rsid w:val="002E303B"/>
    <w:rsid w:val="002E68AF"/>
    <w:rsid w:val="002E68DD"/>
    <w:rsid w:val="002E6D25"/>
    <w:rsid w:val="002E7A4E"/>
    <w:rsid w:val="002E7C23"/>
    <w:rsid w:val="002F2D05"/>
    <w:rsid w:val="002F59B8"/>
    <w:rsid w:val="002F5EA5"/>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67F"/>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6E6A"/>
    <w:rsid w:val="003B73D8"/>
    <w:rsid w:val="003B7A10"/>
    <w:rsid w:val="003C0AE0"/>
    <w:rsid w:val="003C10C9"/>
    <w:rsid w:val="003C10FF"/>
    <w:rsid w:val="003C162F"/>
    <w:rsid w:val="003C1789"/>
    <w:rsid w:val="003C7FE5"/>
    <w:rsid w:val="003D2922"/>
    <w:rsid w:val="003D4A8B"/>
    <w:rsid w:val="003D57D9"/>
    <w:rsid w:val="003E0332"/>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352"/>
    <w:rsid w:val="00411948"/>
    <w:rsid w:val="00412680"/>
    <w:rsid w:val="00414A95"/>
    <w:rsid w:val="00415812"/>
    <w:rsid w:val="004158D3"/>
    <w:rsid w:val="0042024A"/>
    <w:rsid w:val="004214B1"/>
    <w:rsid w:val="0042184F"/>
    <w:rsid w:val="00423E6C"/>
    <w:rsid w:val="00423E8F"/>
    <w:rsid w:val="00425A67"/>
    <w:rsid w:val="00425CEA"/>
    <w:rsid w:val="0042727C"/>
    <w:rsid w:val="004275E1"/>
    <w:rsid w:val="0042797C"/>
    <w:rsid w:val="004313C9"/>
    <w:rsid w:val="00432226"/>
    <w:rsid w:val="0043397C"/>
    <w:rsid w:val="004340CC"/>
    <w:rsid w:val="00435C08"/>
    <w:rsid w:val="0044358A"/>
    <w:rsid w:val="0044623A"/>
    <w:rsid w:val="00450721"/>
    <w:rsid w:val="00450B63"/>
    <w:rsid w:val="0045106C"/>
    <w:rsid w:val="0045404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4F2C"/>
    <w:rsid w:val="00495095"/>
    <w:rsid w:val="004A1714"/>
    <w:rsid w:val="004A3B42"/>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499E"/>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7051F"/>
    <w:rsid w:val="006724BF"/>
    <w:rsid w:val="00672ED9"/>
    <w:rsid w:val="00672F8C"/>
    <w:rsid w:val="00673C30"/>
    <w:rsid w:val="006751CB"/>
    <w:rsid w:val="006763B6"/>
    <w:rsid w:val="00676C17"/>
    <w:rsid w:val="00676F2F"/>
    <w:rsid w:val="0067777B"/>
    <w:rsid w:val="0068427F"/>
    <w:rsid w:val="00684824"/>
    <w:rsid w:val="00686668"/>
    <w:rsid w:val="00687805"/>
    <w:rsid w:val="006908C3"/>
    <w:rsid w:val="00691FB1"/>
    <w:rsid w:val="00693841"/>
    <w:rsid w:val="00693A91"/>
    <w:rsid w:val="00696E70"/>
    <w:rsid w:val="006978FD"/>
    <w:rsid w:val="006A404B"/>
    <w:rsid w:val="006A4DEB"/>
    <w:rsid w:val="006A5E4B"/>
    <w:rsid w:val="006A620E"/>
    <w:rsid w:val="006A6600"/>
    <w:rsid w:val="006A71F8"/>
    <w:rsid w:val="006A726B"/>
    <w:rsid w:val="006B4132"/>
    <w:rsid w:val="006B7B38"/>
    <w:rsid w:val="006C1395"/>
    <w:rsid w:val="006C40AF"/>
    <w:rsid w:val="006C709C"/>
    <w:rsid w:val="006C7C82"/>
    <w:rsid w:val="006D1371"/>
    <w:rsid w:val="006D34CE"/>
    <w:rsid w:val="006D3885"/>
    <w:rsid w:val="006D51DE"/>
    <w:rsid w:val="006D5669"/>
    <w:rsid w:val="006E122C"/>
    <w:rsid w:val="006E437D"/>
    <w:rsid w:val="006E4CCE"/>
    <w:rsid w:val="006E6DC6"/>
    <w:rsid w:val="006E7CC1"/>
    <w:rsid w:val="006F072E"/>
    <w:rsid w:val="006F18A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21A"/>
    <w:rsid w:val="00791CDD"/>
    <w:rsid w:val="00791ED1"/>
    <w:rsid w:val="00792819"/>
    <w:rsid w:val="00792B62"/>
    <w:rsid w:val="00792F9F"/>
    <w:rsid w:val="00793295"/>
    <w:rsid w:val="00794DBC"/>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B69"/>
    <w:rsid w:val="007D2894"/>
    <w:rsid w:val="007D3706"/>
    <w:rsid w:val="007D3ACB"/>
    <w:rsid w:val="007D3C8C"/>
    <w:rsid w:val="007D486E"/>
    <w:rsid w:val="007D5D4F"/>
    <w:rsid w:val="007E07DF"/>
    <w:rsid w:val="007E1A00"/>
    <w:rsid w:val="007E3641"/>
    <w:rsid w:val="007E4292"/>
    <w:rsid w:val="007E43C7"/>
    <w:rsid w:val="007E5B5F"/>
    <w:rsid w:val="007E62AA"/>
    <w:rsid w:val="007E7F8B"/>
    <w:rsid w:val="007F3387"/>
    <w:rsid w:val="007F3C89"/>
    <w:rsid w:val="007F46DC"/>
    <w:rsid w:val="00801104"/>
    <w:rsid w:val="00801C13"/>
    <w:rsid w:val="00802005"/>
    <w:rsid w:val="00803D19"/>
    <w:rsid w:val="008058DB"/>
    <w:rsid w:val="00805C6D"/>
    <w:rsid w:val="00806EDB"/>
    <w:rsid w:val="00810260"/>
    <w:rsid w:val="00811C21"/>
    <w:rsid w:val="00812A35"/>
    <w:rsid w:val="008133A7"/>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204"/>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4BFB"/>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6DC"/>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715"/>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4D"/>
    <w:rsid w:val="00940298"/>
    <w:rsid w:val="009404CA"/>
    <w:rsid w:val="00941E31"/>
    <w:rsid w:val="00942E9E"/>
    <w:rsid w:val="00943B28"/>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8F"/>
    <w:rsid w:val="00AD6C19"/>
    <w:rsid w:val="00AE03C3"/>
    <w:rsid w:val="00AE2CE2"/>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5817"/>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9662A"/>
    <w:rsid w:val="00BA09B9"/>
    <w:rsid w:val="00BA0ED2"/>
    <w:rsid w:val="00BA2346"/>
    <w:rsid w:val="00BA28EB"/>
    <w:rsid w:val="00BA3721"/>
    <w:rsid w:val="00BA4479"/>
    <w:rsid w:val="00BA5CE4"/>
    <w:rsid w:val="00BA7F5D"/>
    <w:rsid w:val="00BB3F45"/>
    <w:rsid w:val="00BB53CC"/>
    <w:rsid w:val="00BB6006"/>
    <w:rsid w:val="00BB607E"/>
    <w:rsid w:val="00BC00B6"/>
    <w:rsid w:val="00BC0172"/>
    <w:rsid w:val="00BC23D1"/>
    <w:rsid w:val="00BC648B"/>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06B5"/>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5A61"/>
    <w:rsid w:val="00CB62DE"/>
    <w:rsid w:val="00CB75BB"/>
    <w:rsid w:val="00CB7721"/>
    <w:rsid w:val="00CC0B5A"/>
    <w:rsid w:val="00CC232F"/>
    <w:rsid w:val="00CC3E81"/>
    <w:rsid w:val="00CC40B8"/>
    <w:rsid w:val="00CC5275"/>
    <w:rsid w:val="00CC53A1"/>
    <w:rsid w:val="00CC5606"/>
    <w:rsid w:val="00CC647C"/>
    <w:rsid w:val="00CD11CD"/>
    <w:rsid w:val="00CD1960"/>
    <w:rsid w:val="00CD20FD"/>
    <w:rsid w:val="00CD2FED"/>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6280"/>
    <w:rsid w:val="00DA6BFA"/>
    <w:rsid w:val="00DA7A33"/>
    <w:rsid w:val="00DB0119"/>
    <w:rsid w:val="00DB0D6D"/>
    <w:rsid w:val="00DB0E04"/>
    <w:rsid w:val="00DB1189"/>
    <w:rsid w:val="00DB119A"/>
    <w:rsid w:val="00DB1619"/>
    <w:rsid w:val="00DB2BDE"/>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AD2"/>
    <w:rsid w:val="00E55FDD"/>
    <w:rsid w:val="00E57C7F"/>
    <w:rsid w:val="00E61AD6"/>
    <w:rsid w:val="00E61D29"/>
    <w:rsid w:val="00E621DC"/>
    <w:rsid w:val="00E62741"/>
    <w:rsid w:val="00E62842"/>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C4A60-8B15-4366-8E4D-99E9EAEE8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1705</TotalTime>
  <Pages>2</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90</cp:revision>
  <dcterms:created xsi:type="dcterms:W3CDTF">2019-09-25T05:48:00Z</dcterms:created>
  <dcterms:modified xsi:type="dcterms:W3CDTF">2021-01-18T02:09:00Z</dcterms:modified>
</cp:coreProperties>
</file>