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6FB03E" w14:textId="35FCBB3B" w:rsidR="006D30CF" w:rsidRPr="006D30CF" w:rsidRDefault="006D30CF" w:rsidP="006D30CF">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6D30CF">
        <w:rPr>
          <w:rFonts w:ascii="Arial" w:eastAsia="바탕" w:hAnsi="Arial" w:cs="Arial"/>
          <w:b/>
          <w:bCs/>
          <w:sz w:val="28"/>
          <w:szCs w:val="24"/>
        </w:rPr>
        <w:t>3GPP TSG RAN WG1 #104-e</w:t>
      </w:r>
      <w:r w:rsidRPr="006D30CF">
        <w:rPr>
          <w:rFonts w:ascii="Arial" w:eastAsia="바탕" w:hAnsi="Arial" w:cs="Arial"/>
          <w:b/>
          <w:bCs/>
          <w:sz w:val="28"/>
          <w:szCs w:val="24"/>
        </w:rPr>
        <w:tab/>
      </w:r>
      <w:r w:rsidRPr="006D30CF">
        <w:rPr>
          <w:rFonts w:ascii="Arial" w:eastAsia="바탕" w:hAnsi="Arial" w:cs="Arial"/>
          <w:b/>
          <w:bCs/>
          <w:sz w:val="28"/>
          <w:szCs w:val="24"/>
        </w:rPr>
        <w:tab/>
      </w:r>
      <w:r>
        <w:rPr>
          <w:rFonts w:ascii="Arial" w:eastAsia="바탕" w:hAnsi="Arial" w:cs="Arial"/>
          <w:b/>
          <w:bCs/>
          <w:sz w:val="28"/>
          <w:szCs w:val="24"/>
        </w:rPr>
        <w:t xml:space="preserve">                         </w:t>
      </w:r>
      <w:r w:rsidRPr="00775406">
        <w:rPr>
          <w:rFonts w:ascii="Arial" w:eastAsia="바탕" w:hAnsi="Arial" w:cs="Arial"/>
          <w:b/>
          <w:bCs/>
          <w:sz w:val="28"/>
          <w:szCs w:val="24"/>
        </w:rPr>
        <w:t>R1-</w:t>
      </w:r>
      <w:r w:rsidR="00AD046A" w:rsidRPr="00775406">
        <w:rPr>
          <w:rFonts w:ascii="Arial" w:eastAsia="바탕" w:hAnsi="Arial" w:cs="Arial"/>
          <w:b/>
          <w:bCs/>
          <w:sz w:val="28"/>
          <w:szCs w:val="24"/>
        </w:rPr>
        <w:t>21</w:t>
      </w:r>
      <w:r w:rsidR="00AD046A" w:rsidRPr="00AD046A">
        <w:rPr>
          <w:rFonts w:ascii="Arial" w:eastAsia="바탕" w:hAnsi="Arial" w:cs="Arial"/>
          <w:b/>
          <w:bCs/>
          <w:sz w:val="28"/>
          <w:szCs w:val="24"/>
        </w:rPr>
        <w:t>00892</w:t>
      </w:r>
    </w:p>
    <w:p w14:paraId="03C8F1E6" w14:textId="77777777" w:rsidR="006D30CF" w:rsidRPr="006D30CF" w:rsidRDefault="006D30CF" w:rsidP="006D30CF">
      <w:pPr>
        <w:tabs>
          <w:tab w:val="center" w:pos="4536"/>
          <w:tab w:val="right" w:pos="9072"/>
        </w:tabs>
        <w:spacing w:before="0" w:after="0" w:line="240" w:lineRule="auto"/>
        <w:ind w:left="0" w:firstLine="0"/>
        <w:jc w:val="left"/>
        <w:rPr>
          <w:rFonts w:ascii="Arial" w:hAnsi="Arial" w:cs="Arial"/>
          <w:b/>
          <w:bCs/>
          <w:sz w:val="28"/>
          <w:szCs w:val="24"/>
          <w:lang w:eastAsia="ja-JP"/>
        </w:rPr>
      </w:pPr>
      <w:r w:rsidRPr="006D30CF">
        <w:rPr>
          <w:rFonts w:ascii="Arial" w:hAnsi="Arial" w:cs="Arial"/>
          <w:b/>
          <w:bCs/>
          <w:sz w:val="28"/>
          <w:szCs w:val="24"/>
          <w:lang w:eastAsia="ja-JP"/>
        </w:rPr>
        <w:t>e-Meeting, January 25</w:t>
      </w:r>
      <w:r w:rsidRPr="006D30CF">
        <w:rPr>
          <w:rFonts w:ascii="Arial" w:hAnsi="Arial" w:cs="Arial"/>
          <w:b/>
          <w:bCs/>
          <w:sz w:val="28"/>
          <w:szCs w:val="24"/>
          <w:vertAlign w:val="superscript"/>
          <w:lang w:eastAsia="ja-JP"/>
        </w:rPr>
        <w:t>th</w:t>
      </w:r>
      <w:r w:rsidRPr="006D30CF">
        <w:rPr>
          <w:rFonts w:ascii="Arial" w:hAnsi="Arial" w:cs="Arial"/>
          <w:b/>
          <w:bCs/>
          <w:sz w:val="28"/>
          <w:szCs w:val="24"/>
          <w:lang w:eastAsia="ja-JP"/>
        </w:rPr>
        <w:t xml:space="preserve"> – February 5</w:t>
      </w:r>
      <w:r w:rsidRPr="006D30CF">
        <w:rPr>
          <w:rFonts w:ascii="Arial" w:hAnsi="Arial" w:cs="Arial"/>
          <w:b/>
          <w:bCs/>
          <w:sz w:val="28"/>
          <w:szCs w:val="24"/>
          <w:vertAlign w:val="superscript"/>
          <w:lang w:eastAsia="ja-JP"/>
        </w:rPr>
        <w:t>th</w:t>
      </w:r>
      <w:r w:rsidRPr="006D30CF">
        <w:rPr>
          <w:rFonts w:ascii="Arial" w:hAnsi="Arial" w:cs="Arial"/>
          <w:b/>
          <w:bCs/>
          <w:sz w:val="28"/>
          <w:szCs w:val="24"/>
          <w:lang w:eastAsia="ja-JP"/>
        </w:rPr>
        <w:t>, 2021</w:t>
      </w:r>
    </w:p>
    <w:p w14:paraId="47200AEB" w14:textId="77777777" w:rsidR="000D41C4" w:rsidRPr="009D0786" w:rsidRDefault="000D41C4" w:rsidP="00634235">
      <w:pPr>
        <w:tabs>
          <w:tab w:val="left" w:pos="1985"/>
        </w:tabs>
        <w:spacing w:after="0"/>
        <w:ind w:left="0" w:firstLine="0"/>
        <w:rPr>
          <w:rFonts w:ascii="Arial" w:eastAsia="맑은 고딕" w:hAnsi="Arial"/>
          <w:b/>
          <w:sz w:val="24"/>
          <w:lang w:eastAsia="ko-KR"/>
        </w:rPr>
      </w:pPr>
    </w:p>
    <w:p w14:paraId="334FB070" w14:textId="77777777"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9E12C3" w:rsidRPr="00E70DE7">
        <w:rPr>
          <w:rFonts w:ascii="Arial" w:eastAsia="맑은 고딕" w:hAnsi="Arial"/>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223614EC" w:rsidR="003C5E2A" w:rsidRPr="00E70DE7" w:rsidRDefault="003C5E2A" w:rsidP="00F0470E">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0470E" w:rsidRPr="00F0470E">
        <w:rPr>
          <w:rFonts w:ascii="Arial" w:eastAsia="바탕" w:hAnsi="Arial" w:cs="Arial"/>
          <w:sz w:val="24"/>
          <w:szCs w:val="24"/>
          <w:lang w:val="en-US" w:eastAsia="ko-KR"/>
        </w:rPr>
        <w:t>Initial access aspects to support NR above 52.6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bookmarkStart w:id="3" w:name="_GoBack"/>
      <w:bookmarkEnd w:id="3"/>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7A147731" w14:textId="399B8E0C" w:rsidR="005A5C15" w:rsidRDefault="009D0786" w:rsidP="005A5C1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updated </w:t>
      </w:r>
      <w:r w:rsidR="005A5C15">
        <w:rPr>
          <w:rFonts w:eastAsia="바탕" w:hint="eastAsia"/>
          <w:sz w:val="22"/>
          <w:szCs w:val="22"/>
          <w:lang w:eastAsia="ko-KR"/>
        </w:rPr>
        <w:t>W</w:t>
      </w:r>
      <w:r w:rsidR="005A5C15" w:rsidRPr="002F2D18">
        <w:rPr>
          <w:rFonts w:eastAsia="바탕"/>
          <w:sz w:val="22"/>
          <w:szCs w:val="22"/>
          <w:lang w:eastAsia="ko-KR"/>
        </w:rPr>
        <w:t xml:space="preserve">I </w:t>
      </w:r>
      <w:r w:rsidR="005A5C15" w:rsidRPr="006164F1">
        <w:rPr>
          <w:rFonts w:eastAsia="바탕"/>
          <w:sz w:val="22"/>
          <w:szCs w:val="22"/>
          <w:lang w:eastAsia="ko-KR"/>
        </w:rPr>
        <w:t>[1]</w:t>
      </w:r>
      <w:r w:rsidR="005A5C15">
        <w:rPr>
          <w:rFonts w:eastAsia="바탕"/>
          <w:sz w:val="22"/>
          <w:szCs w:val="22"/>
          <w:lang w:eastAsia="ko-KR"/>
        </w:rPr>
        <w:t xml:space="preserve"> </w:t>
      </w:r>
      <w:r w:rsidR="005A5C15" w:rsidRPr="002F2D18">
        <w:rPr>
          <w:rFonts w:eastAsia="바탕"/>
          <w:sz w:val="22"/>
          <w:szCs w:val="22"/>
          <w:lang w:eastAsia="ko-KR"/>
        </w:rPr>
        <w:t xml:space="preserve">to support NR </w:t>
      </w:r>
      <w:r w:rsidR="005A5C15">
        <w:rPr>
          <w:rFonts w:eastAsia="바탕"/>
          <w:sz w:val="22"/>
          <w:szCs w:val="22"/>
          <w:lang w:eastAsia="ko-KR"/>
        </w:rPr>
        <w:t>operation</w:t>
      </w:r>
      <w:r w:rsidR="005A5C15" w:rsidRPr="00713FEB">
        <w:rPr>
          <w:rFonts w:eastAsia="바탕"/>
          <w:sz w:val="22"/>
          <w:szCs w:val="22"/>
          <w:lang w:eastAsia="ko-KR"/>
        </w:rPr>
        <w:t xml:space="preserve"> </w:t>
      </w:r>
      <w:r w:rsidR="005A5C15">
        <w:rPr>
          <w:rFonts w:eastAsia="바탕"/>
          <w:sz w:val="22"/>
          <w:szCs w:val="22"/>
          <w:lang w:eastAsia="ko-KR"/>
        </w:rPr>
        <w:t>above</w:t>
      </w:r>
      <w:r w:rsidR="005A5C15" w:rsidRPr="00713FEB">
        <w:rPr>
          <w:rFonts w:eastAsia="바탕"/>
          <w:sz w:val="22"/>
          <w:szCs w:val="22"/>
          <w:lang w:eastAsia="ko-KR"/>
        </w:rPr>
        <w:t xml:space="preserve"> 52.6 GHz </w:t>
      </w:r>
      <w:r w:rsidR="005A5C15">
        <w:rPr>
          <w:rFonts w:eastAsia="바탕"/>
          <w:sz w:val="22"/>
          <w:szCs w:val="22"/>
          <w:lang w:eastAsia="ko-KR"/>
        </w:rPr>
        <w:t xml:space="preserve">up </w:t>
      </w:r>
      <w:r w:rsidR="005A5C15" w:rsidRPr="00713FEB">
        <w:rPr>
          <w:rFonts w:eastAsia="바탕"/>
          <w:sz w:val="22"/>
          <w:szCs w:val="22"/>
          <w:lang w:eastAsia="ko-KR"/>
        </w:rPr>
        <w:t xml:space="preserve">to 71 GHz was </w:t>
      </w:r>
      <w:r>
        <w:rPr>
          <w:rFonts w:eastAsia="바탕"/>
          <w:sz w:val="22"/>
          <w:szCs w:val="22"/>
          <w:lang w:eastAsia="ko-KR"/>
        </w:rPr>
        <w:t>endorsed</w:t>
      </w:r>
      <w:r w:rsidR="005A5C15" w:rsidRPr="00713FEB">
        <w:rPr>
          <w:rFonts w:eastAsia="바탕"/>
          <w:sz w:val="22"/>
          <w:szCs w:val="22"/>
          <w:lang w:eastAsia="ko-KR"/>
        </w:rPr>
        <w:t xml:space="preserve"> in RAN#</w:t>
      </w:r>
      <w:r w:rsidR="005A5C15">
        <w:rPr>
          <w:rFonts w:eastAsia="바탕"/>
          <w:sz w:val="22"/>
          <w:szCs w:val="22"/>
          <w:lang w:eastAsia="ko-KR"/>
        </w:rPr>
        <w:t>90</w:t>
      </w:r>
      <w:r w:rsidR="00093B73">
        <w:rPr>
          <w:rFonts w:eastAsia="바탕"/>
          <w:sz w:val="22"/>
          <w:szCs w:val="22"/>
          <w:lang w:eastAsia="ko-KR"/>
        </w:rPr>
        <w:t>-e</w:t>
      </w:r>
      <w:r w:rsidR="005A5C15">
        <w:rPr>
          <w:rFonts w:eastAsia="바탕"/>
          <w:sz w:val="22"/>
          <w:szCs w:val="22"/>
          <w:lang w:eastAsia="ko-KR"/>
        </w:rPr>
        <w:t xml:space="preserve"> and contains the</w:t>
      </w:r>
      <w:r w:rsidR="005A5C15" w:rsidRPr="00713FEB">
        <w:rPr>
          <w:rFonts w:eastAsia="바탕"/>
          <w:sz w:val="22"/>
          <w:szCs w:val="22"/>
          <w:lang w:eastAsia="ko-KR"/>
        </w:rPr>
        <w:t xml:space="preserve"> following objectives </w:t>
      </w:r>
      <w:r w:rsidR="005A5C15">
        <w:rPr>
          <w:rFonts w:eastAsia="바탕"/>
          <w:sz w:val="22"/>
          <w:szCs w:val="22"/>
          <w:lang w:eastAsia="ko-KR"/>
        </w:rPr>
        <w:t>related to initial access aspects</w:t>
      </w:r>
      <w:r w:rsidR="005A5C15" w:rsidRPr="002F2D18">
        <w:rPr>
          <w:rFonts w:eastAsia="바탕"/>
          <w:sz w:val="22"/>
          <w:szCs w:val="22"/>
          <w:lang w:eastAsia="ko-KR"/>
        </w:rPr>
        <w:t>.</w:t>
      </w:r>
    </w:p>
    <w:tbl>
      <w:tblPr>
        <w:tblStyle w:val="a6"/>
        <w:tblW w:w="5000" w:type="pct"/>
        <w:tblLook w:val="04A0" w:firstRow="1" w:lastRow="0" w:firstColumn="1" w:lastColumn="0" w:noHBand="0" w:noVBand="1"/>
      </w:tblPr>
      <w:tblGrid>
        <w:gridCol w:w="9628"/>
      </w:tblGrid>
      <w:tr w:rsidR="005A5C15" w14:paraId="5AE5849B" w14:textId="77777777" w:rsidTr="008A297E">
        <w:tc>
          <w:tcPr>
            <w:tcW w:w="5000" w:type="pct"/>
          </w:tcPr>
          <w:p w14:paraId="7E2D9938" w14:textId="5A72F660" w:rsidR="005A5C15" w:rsidRDefault="005A5C15" w:rsidP="005A5C15">
            <w:pPr>
              <w:numPr>
                <w:ilvl w:val="0"/>
                <w:numId w:val="17"/>
              </w:numPr>
              <w:spacing w:before="120" w:after="120" w:line="240" w:lineRule="auto"/>
              <w:rPr>
                <w:rFonts w:eastAsia="바탕"/>
                <w:sz w:val="22"/>
                <w:szCs w:val="22"/>
                <w:lang w:eastAsia="ko-KR"/>
              </w:rPr>
            </w:pPr>
            <w:bookmarkStart w:id="4" w:name="_Hlk26996217"/>
            <w:r w:rsidRPr="005A5C15">
              <w:rPr>
                <w:rFonts w:eastAsia="바탕"/>
                <w:sz w:val="22"/>
                <w:szCs w:val="22"/>
                <w:lang w:eastAsia="ko-KR"/>
              </w:rPr>
              <w:t>Support of up to 64 SSB beams for licensed and unlicensed operation in this frequency range.</w:t>
            </w:r>
          </w:p>
          <w:p w14:paraId="13BF6EB6" w14:textId="075B5D3D" w:rsidR="005A5C15" w:rsidRDefault="005A5C15" w:rsidP="005A5C15">
            <w:pPr>
              <w:numPr>
                <w:ilvl w:val="0"/>
                <w:numId w:val="17"/>
              </w:numPr>
              <w:spacing w:before="120" w:after="120" w:line="240" w:lineRule="auto"/>
              <w:rPr>
                <w:rFonts w:eastAsia="바탕"/>
                <w:sz w:val="22"/>
                <w:szCs w:val="22"/>
                <w:lang w:eastAsia="ko-KR"/>
              </w:rPr>
            </w:pPr>
            <w:r w:rsidRPr="005A5C15">
              <w:rPr>
                <w:rFonts w:eastAsia="바탕"/>
                <w:sz w:val="22"/>
                <w:szCs w:val="22"/>
                <w:lang w:eastAsia="ko-KR"/>
              </w:rPr>
              <w:t>Supports 120</w:t>
            </w:r>
            <w:r>
              <w:rPr>
                <w:rFonts w:eastAsia="바탕"/>
                <w:sz w:val="22"/>
                <w:szCs w:val="22"/>
                <w:lang w:eastAsia="ko-KR"/>
              </w:rPr>
              <w:t xml:space="preserve"> </w:t>
            </w:r>
            <w:r w:rsidRPr="005A5C15">
              <w:rPr>
                <w:rFonts w:eastAsia="바탕"/>
                <w:sz w:val="22"/>
                <w:szCs w:val="22"/>
                <w:lang w:eastAsia="ko-KR"/>
              </w:rPr>
              <w:t>kHz SCS for SSB and 120</w:t>
            </w:r>
            <w:r>
              <w:rPr>
                <w:rFonts w:eastAsia="바탕"/>
                <w:sz w:val="22"/>
                <w:szCs w:val="22"/>
                <w:lang w:eastAsia="ko-KR"/>
              </w:rPr>
              <w:t xml:space="preserve"> </w:t>
            </w:r>
            <w:r w:rsidRPr="005A5C15">
              <w:rPr>
                <w:rFonts w:eastAsia="바탕"/>
                <w:sz w:val="22"/>
                <w:szCs w:val="22"/>
                <w:lang w:eastAsia="ko-KR"/>
              </w:rPr>
              <w:t>kHz SCS for initial access related signals/channels in an initial BWP.</w:t>
            </w:r>
          </w:p>
          <w:p w14:paraId="6D8E27DF" w14:textId="29874341" w:rsidR="005A5C15" w:rsidRDefault="005A5C15" w:rsidP="005A5C15">
            <w:pPr>
              <w:numPr>
                <w:ilvl w:val="1"/>
                <w:numId w:val="19"/>
              </w:numPr>
              <w:spacing w:before="120" w:after="120" w:line="240" w:lineRule="auto"/>
              <w:rPr>
                <w:rFonts w:eastAsia="바탕"/>
                <w:sz w:val="22"/>
                <w:szCs w:val="22"/>
                <w:lang w:eastAsia="ko-KR"/>
              </w:rPr>
            </w:pPr>
            <w:r w:rsidRPr="005A5C15">
              <w:rPr>
                <w:rFonts w:eastAsia="바탕"/>
                <w:sz w:val="22"/>
                <w:szCs w:val="22"/>
                <w:lang w:eastAsia="ko-KR"/>
              </w:rPr>
              <w:t>Study and specify, if needed, additional SCS (240</w:t>
            </w:r>
            <w:r>
              <w:rPr>
                <w:rFonts w:eastAsia="바탕"/>
                <w:sz w:val="22"/>
                <w:szCs w:val="22"/>
                <w:lang w:eastAsia="ko-KR"/>
              </w:rPr>
              <w:t xml:space="preserve"> </w:t>
            </w:r>
            <w:r w:rsidRPr="005A5C15">
              <w:rPr>
                <w:rFonts w:eastAsia="바탕"/>
                <w:sz w:val="22"/>
                <w:szCs w:val="22"/>
                <w:lang w:eastAsia="ko-KR"/>
              </w:rPr>
              <w:t>kHz, 480</w:t>
            </w:r>
            <w:r>
              <w:rPr>
                <w:rFonts w:eastAsia="바탕"/>
                <w:sz w:val="22"/>
                <w:szCs w:val="22"/>
                <w:lang w:eastAsia="ko-KR"/>
              </w:rPr>
              <w:t xml:space="preserve"> </w:t>
            </w:r>
            <w:r w:rsidRPr="005A5C15">
              <w:rPr>
                <w:rFonts w:eastAsia="바탕"/>
                <w:sz w:val="22"/>
                <w:szCs w:val="22"/>
                <w:lang w:eastAsia="ko-KR"/>
              </w:rPr>
              <w:t>kHz, 960</w:t>
            </w:r>
            <w:r>
              <w:rPr>
                <w:rFonts w:eastAsia="바탕"/>
                <w:sz w:val="22"/>
                <w:szCs w:val="22"/>
                <w:lang w:eastAsia="ko-KR"/>
              </w:rPr>
              <w:t xml:space="preserve"> </w:t>
            </w:r>
            <w:r w:rsidRPr="005A5C15">
              <w:rPr>
                <w:rFonts w:eastAsia="바탕"/>
                <w:sz w:val="22"/>
                <w:szCs w:val="22"/>
                <w:lang w:eastAsia="ko-KR"/>
              </w:rPr>
              <w:t>kHz) for SSB, and additional SCS</w:t>
            </w:r>
            <w:r w:rsidR="00103ADE">
              <w:rPr>
                <w:rFonts w:eastAsia="바탕"/>
                <w:sz w:val="22"/>
                <w:szCs w:val="22"/>
                <w:lang w:eastAsia="ko-KR"/>
              </w:rPr>
              <w:t xml:space="preserve"> </w:t>
            </w:r>
            <w:r w:rsidRPr="005A5C15">
              <w:rPr>
                <w:rFonts w:eastAsia="바탕"/>
                <w:sz w:val="22"/>
                <w:szCs w:val="22"/>
                <w:lang w:eastAsia="ko-KR"/>
              </w:rPr>
              <w:t>(480</w:t>
            </w:r>
            <w:r>
              <w:rPr>
                <w:rFonts w:eastAsia="바탕"/>
                <w:sz w:val="22"/>
                <w:szCs w:val="22"/>
                <w:lang w:eastAsia="ko-KR"/>
              </w:rPr>
              <w:t xml:space="preserve"> </w:t>
            </w:r>
            <w:r w:rsidRPr="005A5C15">
              <w:rPr>
                <w:rFonts w:eastAsia="바탕"/>
                <w:sz w:val="22"/>
                <w:szCs w:val="22"/>
                <w:lang w:eastAsia="ko-KR"/>
              </w:rPr>
              <w:t>kHz, 960</w:t>
            </w:r>
            <w:r>
              <w:rPr>
                <w:rFonts w:eastAsia="바탕"/>
                <w:sz w:val="22"/>
                <w:szCs w:val="22"/>
                <w:lang w:eastAsia="ko-KR"/>
              </w:rPr>
              <w:t xml:space="preserve"> </w:t>
            </w:r>
            <w:r w:rsidRPr="005A5C15">
              <w:rPr>
                <w:rFonts w:eastAsia="바탕"/>
                <w:sz w:val="22"/>
                <w:szCs w:val="22"/>
                <w:lang w:eastAsia="ko-KR"/>
              </w:rPr>
              <w:t>kHz) for initial access related signals/channels in initial BWP.</w:t>
            </w:r>
          </w:p>
          <w:p w14:paraId="386B0AAE" w14:textId="1D133ABC" w:rsidR="005A5C15" w:rsidRDefault="005A5C15" w:rsidP="005A5C15">
            <w:pPr>
              <w:numPr>
                <w:ilvl w:val="1"/>
                <w:numId w:val="19"/>
              </w:numPr>
              <w:spacing w:before="120" w:after="120" w:line="240" w:lineRule="auto"/>
              <w:rPr>
                <w:rFonts w:eastAsia="바탕"/>
                <w:sz w:val="22"/>
                <w:szCs w:val="22"/>
                <w:lang w:eastAsia="ko-KR"/>
              </w:rPr>
            </w:pPr>
            <w:r w:rsidRPr="005A5C15">
              <w:rPr>
                <w:rFonts w:eastAsia="바탕"/>
                <w:sz w:val="22"/>
                <w:szCs w:val="22"/>
                <w:lang w:eastAsia="ko-KR"/>
              </w:rPr>
              <w:t xml:space="preserve">Study and specify, if needed, additional </w:t>
            </w:r>
            <w:r w:rsidRPr="005A5C15">
              <w:rPr>
                <w:rFonts w:eastAsia="바탕" w:hint="eastAsia"/>
                <w:sz w:val="22"/>
                <w:szCs w:val="22"/>
                <w:lang w:eastAsia="ko-KR"/>
              </w:rPr>
              <w:t>SCS</w:t>
            </w:r>
            <w:r w:rsidRPr="005A5C15">
              <w:rPr>
                <w:rFonts w:eastAsia="바탕"/>
                <w:sz w:val="22"/>
                <w:szCs w:val="22"/>
                <w:lang w:eastAsia="ko-KR"/>
              </w:rPr>
              <w:t xml:space="preserve"> (480</w:t>
            </w:r>
            <w:r>
              <w:rPr>
                <w:rFonts w:eastAsia="바탕"/>
                <w:sz w:val="22"/>
                <w:szCs w:val="22"/>
                <w:lang w:eastAsia="ko-KR"/>
              </w:rPr>
              <w:t xml:space="preserve"> </w:t>
            </w:r>
            <w:r w:rsidRPr="005A5C15">
              <w:rPr>
                <w:rFonts w:eastAsia="바탕"/>
                <w:sz w:val="22"/>
                <w:szCs w:val="22"/>
                <w:lang w:eastAsia="ko-KR"/>
              </w:rPr>
              <w:t>kHz, 960</w:t>
            </w:r>
            <w:r>
              <w:rPr>
                <w:rFonts w:eastAsia="바탕"/>
                <w:sz w:val="22"/>
                <w:szCs w:val="22"/>
                <w:lang w:eastAsia="ko-KR"/>
              </w:rPr>
              <w:t xml:space="preserve"> </w:t>
            </w:r>
            <w:r w:rsidRPr="005A5C15">
              <w:rPr>
                <w:rFonts w:eastAsia="바탕"/>
                <w:sz w:val="22"/>
                <w:szCs w:val="22"/>
                <w:lang w:eastAsia="ko-KR"/>
              </w:rPr>
              <w:t>kHz) for SSB for cases other than initial access.</w:t>
            </w:r>
          </w:p>
          <w:p w14:paraId="0C497631" w14:textId="0ADEFDD6" w:rsidR="005A5C15" w:rsidRPr="00A062E1" w:rsidRDefault="005A5C15" w:rsidP="005A5C15">
            <w:pPr>
              <w:numPr>
                <w:ilvl w:val="1"/>
                <w:numId w:val="19"/>
              </w:numPr>
              <w:spacing w:before="120" w:after="120" w:line="240" w:lineRule="auto"/>
              <w:rPr>
                <w:rFonts w:eastAsia="바탕"/>
                <w:sz w:val="22"/>
                <w:szCs w:val="22"/>
                <w:lang w:eastAsia="ko-KR"/>
              </w:rPr>
            </w:pPr>
            <w:r w:rsidRPr="005A5C15">
              <w:rPr>
                <w:rFonts w:eastAsia="바탕"/>
                <w:sz w:val="22"/>
                <w:szCs w:val="22"/>
                <w:lang w:eastAsia="ko-KR"/>
              </w:rPr>
              <w:t>Note: coverage enhancement for SSB is not pursued.</w:t>
            </w:r>
          </w:p>
          <w:bookmarkEnd w:id="4"/>
          <w:p w14:paraId="0D539771" w14:textId="3FB38155" w:rsidR="005A5C15" w:rsidRPr="005A5C15" w:rsidRDefault="005A5C15" w:rsidP="005A5C15">
            <w:pPr>
              <w:numPr>
                <w:ilvl w:val="0"/>
                <w:numId w:val="17"/>
              </w:numPr>
              <w:spacing w:before="120" w:after="120" w:line="240" w:lineRule="auto"/>
              <w:rPr>
                <w:rFonts w:eastAsia="바탕"/>
                <w:sz w:val="22"/>
                <w:szCs w:val="22"/>
                <w:lang w:eastAsia="ko-KR"/>
              </w:rPr>
            </w:pPr>
            <w:r w:rsidRPr="005A5C15">
              <w:rPr>
                <w:rFonts w:eastAsia="바탕" w:hint="eastAsia"/>
                <w:sz w:val="22"/>
                <w:szCs w:val="22"/>
                <w:lang w:eastAsia="ko-KR"/>
              </w:rPr>
              <w:t xml:space="preserve">Specify support for PRACH sequence lengths (i.e. </w:t>
            </w:r>
            <w:r w:rsidRPr="005A5C15">
              <w:rPr>
                <w:rFonts w:eastAsia="바탕"/>
                <w:sz w:val="22"/>
                <w:szCs w:val="22"/>
                <w:lang w:eastAsia="ko-KR"/>
              </w:rPr>
              <w:t xml:space="preserve">L=139, </w:t>
            </w:r>
            <w:r w:rsidRPr="005A5C15">
              <w:rPr>
                <w:rFonts w:eastAsia="바탕" w:hint="eastAsia"/>
                <w:sz w:val="22"/>
                <w:szCs w:val="22"/>
                <w:lang w:eastAsia="ko-KR"/>
              </w:rPr>
              <w:t xml:space="preserve">L=571 and L=1151) </w:t>
            </w:r>
            <w:bookmarkStart w:id="5" w:name="_Hlk58594915"/>
            <w:r w:rsidRPr="005A5C15">
              <w:rPr>
                <w:rFonts w:eastAsia="바탕" w:hint="eastAsia"/>
                <w:sz w:val="22"/>
                <w:szCs w:val="22"/>
                <w:lang w:eastAsia="ko-KR"/>
              </w:rPr>
              <w:t xml:space="preserve">and </w:t>
            </w:r>
            <w:r w:rsidRPr="005A5C15">
              <w:rPr>
                <w:rFonts w:eastAsia="바탕"/>
                <w:sz w:val="22"/>
                <w:szCs w:val="22"/>
                <w:lang w:eastAsia="ko-KR"/>
              </w:rPr>
              <w:t xml:space="preserve">study, </w:t>
            </w:r>
            <w:r w:rsidRPr="005A5C15">
              <w:rPr>
                <w:rFonts w:eastAsia="바탕" w:hint="eastAsia"/>
                <w:sz w:val="22"/>
                <w:szCs w:val="22"/>
                <w:lang w:eastAsia="ko-KR"/>
              </w:rPr>
              <w:t>if needed, specify support for</w:t>
            </w:r>
            <w:r w:rsidRPr="005A5C15">
              <w:rPr>
                <w:rFonts w:eastAsia="바탕"/>
                <w:sz w:val="22"/>
                <w:szCs w:val="22"/>
                <w:lang w:eastAsia="ko-KR"/>
              </w:rPr>
              <w:t xml:space="preserve"> RO configuration for</w:t>
            </w:r>
            <w:r w:rsidRPr="005A5C15">
              <w:rPr>
                <w:rFonts w:eastAsia="바탕" w:hint="eastAsia"/>
                <w:sz w:val="22"/>
                <w:szCs w:val="22"/>
                <w:lang w:eastAsia="ko-KR"/>
              </w:rPr>
              <w:t xml:space="preserve"> non-consecutive RACH occasions (RO) in </w:t>
            </w:r>
            <w:bookmarkEnd w:id="5"/>
            <w:r w:rsidRPr="005A5C15">
              <w:rPr>
                <w:rFonts w:eastAsia="바탕"/>
                <w:sz w:val="22"/>
                <w:szCs w:val="22"/>
                <w:lang w:eastAsia="ko-KR"/>
              </w:rPr>
              <w:t>time domain for operation in shared spectrum</w:t>
            </w:r>
            <w:r w:rsidRPr="00A062E1">
              <w:rPr>
                <w:rFonts w:eastAsia="바탕"/>
                <w:sz w:val="22"/>
                <w:szCs w:val="22"/>
                <w:lang w:eastAsia="ko-KR"/>
              </w:rPr>
              <w:t xml:space="preserve"> </w:t>
            </w:r>
          </w:p>
        </w:tc>
      </w:tr>
    </w:tbl>
    <w:p w14:paraId="2167DD94" w14:textId="5263BBFC" w:rsidR="005A5C15" w:rsidRDefault="005A5C15" w:rsidP="005A5C15">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n this contribution, we discuss and provide views on</w:t>
      </w:r>
      <w:r w:rsidRPr="005A5C15">
        <w:t xml:space="preserve"> </w:t>
      </w:r>
      <w:r w:rsidRPr="005A5C15">
        <w:rPr>
          <w:rFonts w:eastAsia="바탕"/>
          <w:bCs/>
          <w:sz w:val="22"/>
          <w:szCs w:val="22"/>
          <w:lang w:val="en-US" w:eastAsia="ko-KR"/>
        </w:rPr>
        <w:t>SS</w:t>
      </w:r>
      <w:r>
        <w:rPr>
          <w:rFonts w:eastAsia="바탕"/>
          <w:bCs/>
          <w:sz w:val="22"/>
          <w:szCs w:val="22"/>
          <w:lang w:val="en-US" w:eastAsia="ko-KR"/>
        </w:rPr>
        <w:t>/P</w:t>
      </w:r>
      <w:r w:rsidRPr="005A5C15">
        <w:rPr>
          <w:rFonts w:eastAsia="바탕"/>
          <w:bCs/>
          <w:sz w:val="22"/>
          <w:szCs w:val="22"/>
          <w:lang w:val="en-US" w:eastAsia="ko-KR"/>
        </w:rPr>
        <w:t>B</w:t>
      </w:r>
      <w:r>
        <w:rPr>
          <w:rFonts w:eastAsia="바탕"/>
          <w:bCs/>
          <w:sz w:val="22"/>
          <w:szCs w:val="22"/>
          <w:lang w:val="en-US" w:eastAsia="ko-KR"/>
        </w:rPr>
        <w:t>CH block</w:t>
      </w:r>
      <w:r w:rsidRPr="005A5C15">
        <w:rPr>
          <w:rFonts w:eastAsia="바탕"/>
          <w:bCs/>
          <w:sz w:val="22"/>
          <w:szCs w:val="22"/>
          <w:lang w:val="en-US" w:eastAsia="ko-KR"/>
        </w:rPr>
        <w:t xml:space="preserve">, initial BWP, </w:t>
      </w:r>
      <w:r>
        <w:rPr>
          <w:rFonts w:eastAsia="바탕"/>
          <w:bCs/>
          <w:sz w:val="22"/>
          <w:szCs w:val="22"/>
          <w:lang w:val="en-US" w:eastAsia="ko-KR"/>
        </w:rPr>
        <w:t xml:space="preserve">and </w:t>
      </w:r>
      <w:r w:rsidRPr="005A5C15">
        <w:rPr>
          <w:rFonts w:eastAsia="바탕"/>
          <w:bCs/>
          <w:sz w:val="22"/>
          <w:szCs w:val="22"/>
          <w:lang w:val="en-US" w:eastAsia="ko-KR"/>
        </w:rPr>
        <w:t>PRACH</w:t>
      </w:r>
      <w:r>
        <w:rPr>
          <w:rFonts w:eastAsia="바탕"/>
          <w:bCs/>
          <w:sz w:val="22"/>
          <w:szCs w:val="22"/>
          <w:lang w:val="en-US" w:eastAsia="ko-KR"/>
        </w:rPr>
        <w:t>,</w:t>
      </w:r>
      <w:r w:rsidRPr="00C61F77">
        <w:rPr>
          <w:rFonts w:eastAsia="바탕"/>
          <w:bCs/>
          <w:sz w:val="22"/>
          <w:szCs w:val="22"/>
          <w:lang w:val="en-US" w:eastAsia="ko-KR"/>
        </w:rPr>
        <w:t xml:space="preserve"> </w:t>
      </w:r>
      <w:r>
        <w:rPr>
          <w:rFonts w:eastAsia="바탕"/>
          <w:bCs/>
          <w:sz w:val="22"/>
          <w:szCs w:val="22"/>
          <w:lang w:val="en-US" w:eastAsia="ko-KR"/>
        </w:rPr>
        <w:t xml:space="preserve">to support NR in high frequency range from </w:t>
      </w:r>
      <w:r>
        <w:rPr>
          <w:rFonts w:eastAsia="바탕"/>
          <w:sz w:val="22"/>
          <w:szCs w:val="22"/>
          <w:lang w:eastAsia="ko-KR"/>
        </w:rPr>
        <w:t>52.6 GHz to 71 GHz (simply denoted as “FR-X” hereafter).</w:t>
      </w:r>
    </w:p>
    <w:p w14:paraId="4EEB2294" w14:textId="77777777" w:rsidR="00A14D66" w:rsidRPr="00F97550" w:rsidRDefault="00A14D66" w:rsidP="00671D1E">
      <w:pPr>
        <w:spacing w:before="120" w:after="120" w:line="240" w:lineRule="auto"/>
        <w:ind w:left="284" w:hangingChars="129"/>
        <w:rPr>
          <w:rFonts w:eastAsia="바탕"/>
          <w:sz w:val="22"/>
          <w:szCs w:val="22"/>
          <w:lang w:eastAsia="ko-KR"/>
        </w:rPr>
      </w:pPr>
    </w:p>
    <w:p w14:paraId="2D9A6C8C" w14:textId="2F34F610" w:rsidR="00511A0E" w:rsidRPr="00FE2B0D" w:rsidRDefault="00E02935" w:rsidP="00E02935">
      <w:pPr>
        <w:pStyle w:val="1"/>
        <w:numPr>
          <w:ilvl w:val="0"/>
          <w:numId w:val="1"/>
        </w:numPr>
        <w:spacing w:before="300"/>
        <w:rPr>
          <w:rFonts w:eastAsia="바탕" w:cs="Arial"/>
          <w:b/>
          <w:lang w:eastAsia="ko-KR"/>
        </w:rPr>
      </w:pPr>
      <w:r>
        <w:rPr>
          <w:rFonts w:eastAsia="바탕" w:cs="Arial"/>
          <w:b/>
          <w:lang w:eastAsia="ko-KR"/>
        </w:rPr>
        <w:t>SS/PBCH block</w:t>
      </w:r>
    </w:p>
    <w:p w14:paraId="1842F61A" w14:textId="75219F5C" w:rsidR="00511A0E" w:rsidRDefault="00E02935" w:rsidP="00E0293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addition to 120 kHz S</w:t>
      </w:r>
      <w:r>
        <w:rPr>
          <w:rFonts w:eastAsia="바탕"/>
          <w:sz w:val="22"/>
          <w:szCs w:val="22"/>
          <w:lang w:eastAsia="ko-KR"/>
        </w:rPr>
        <w:t>CS SS/PBCH block that was agreed in RAN#90</w:t>
      </w:r>
      <w:r w:rsidR="00093B73">
        <w:rPr>
          <w:rFonts w:eastAsia="바탕"/>
          <w:sz w:val="22"/>
          <w:szCs w:val="22"/>
          <w:lang w:eastAsia="ko-KR"/>
        </w:rPr>
        <w:t>-e</w:t>
      </w:r>
      <w:r>
        <w:rPr>
          <w:rFonts w:eastAsia="바탕"/>
          <w:sz w:val="22"/>
          <w:szCs w:val="22"/>
          <w:lang w:eastAsia="ko-KR"/>
        </w:rPr>
        <w:t xml:space="preserve">, it should be discussed which SCS can be supported for SS/PBCH block. Considering that FR2 already supports both of 120 kHz and 240 kHz as SCS for SS/PBCH block, extending applicability of 240 kHz SCS SS/PBCH block to FR-X must be the natural choice. One of advantages of allowing 240 kHz SCS for SS/PBCH block in FR-X is </w:t>
      </w:r>
      <w:r w:rsidR="00103ADE">
        <w:rPr>
          <w:rFonts w:eastAsia="바탕"/>
          <w:sz w:val="22"/>
          <w:szCs w:val="22"/>
          <w:lang w:eastAsia="ko-KR"/>
        </w:rPr>
        <w:t>that</w:t>
      </w:r>
      <w:r>
        <w:rPr>
          <w:rFonts w:eastAsia="바탕"/>
          <w:sz w:val="22"/>
          <w:szCs w:val="22"/>
          <w:lang w:eastAsia="ko-KR"/>
        </w:rPr>
        <w:t xml:space="preserve"> UE’s complexity for integer CFO compensation</w:t>
      </w:r>
      <w:r w:rsidR="00103ADE">
        <w:rPr>
          <w:rFonts w:eastAsia="바탕"/>
          <w:sz w:val="22"/>
          <w:szCs w:val="22"/>
          <w:lang w:eastAsia="ko-KR"/>
        </w:rPr>
        <w:t xml:space="preserve"> can be reduced</w:t>
      </w:r>
      <w:r>
        <w:rPr>
          <w:rFonts w:eastAsia="바탕"/>
          <w:sz w:val="22"/>
          <w:szCs w:val="22"/>
          <w:lang w:eastAsia="ko-KR"/>
        </w:rPr>
        <w:t>, compared to 120 kHz SCS based SS/PBCH block.</w:t>
      </w:r>
    </w:p>
    <w:p w14:paraId="76572A7F" w14:textId="77777777" w:rsidR="00E02935" w:rsidRDefault="00E02935" w:rsidP="00E02935">
      <w:pPr>
        <w:spacing w:before="120" w:after="120" w:line="240" w:lineRule="auto"/>
        <w:ind w:left="0" w:firstLineChars="100" w:firstLine="220"/>
        <w:rPr>
          <w:rFonts w:eastAsia="바탕"/>
          <w:sz w:val="22"/>
          <w:szCs w:val="22"/>
          <w:lang w:eastAsia="ko-KR"/>
        </w:rPr>
      </w:pPr>
    </w:p>
    <w:p w14:paraId="272ABA20" w14:textId="03A40EB7" w:rsidR="00E02935" w:rsidRDefault="00E02935" w:rsidP="00E0293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Pr>
          <w:rFonts w:eastAsia="바탕"/>
          <w:b/>
          <w:sz w:val="22"/>
          <w:szCs w:val="22"/>
          <w:lang w:eastAsia="ko-KR"/>
        </w:rPr>
        <w:t xml:space="preserve">Support 240 kHz SCS for </w:t>
      </w:r>
      <w:r w:rsidR="00BA55B6">
        <w:rPr>
          <w:rFonts w:eastAsia="바탕"/>
          <w:b/>
          <w:sz w:val="22"/>
          <w:szCs w:val="22"/>
          <w:lang w:eastAsia="ko-KR"/>
        </w:rPr>
        <w:t>SS/PBCH block</w:t>
      </w:r>
      <w:r>
        <w:rPr>
          <w:rFonts w:eastAsia="바탕"/>
          <w:b/>
          <w:sz w:val="22"/>
          <w:szCs w:val="22"/>
          <w:lang w:eastAsia="ko-KR"/>
        </w:rPr>
        <w:t xml:space="preserve"> in frequency range from 52.6 GHz to 71 GHz.</w:t>
      </w:r>
    </w:p>
    <w:p w14:paraId="50114C5A" w14:textId="77777777" w:rsidR="00E02935" w:rsidRPr="00E02935" w:rsidRDefault="00E02935" w:rsidP="00E02935">
      <w:pPr>
        <w:spacing w:before="120" w:after="120" w:line="240" w:lineRule="auto"/>
        <w:ind w:left="0" w:firstLineChars="100" w:firstLine="220"/>
        <w:rPr>
          <w:rFonts w:eastAsia="바탕"/>
          <w:sz w:val="22"/>
          <w:szCs w:val="22"/>
          <w:lang w:eastAsia="ko-KR"/>
        </w:rPr>
      </w:pPr>
    </w:p>
    <w:p w14:paraId="2C4B350B" w14:textId="5858D720" w:rsidR="00E02935" w:rsidRDefault="00BA55B6" w:rsidP="00E0293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SS/PBCH </w:t>
      </w:r>
      <w:r>
        <w:rPr>
          <w:rFonts w:eastAsia="바탕"/>
          <w:sz w:val="22"/>
          <w:szCs w:val="22"/>
          <w:lang w:eastAsia="ko-KR"/>
        </w:rPr>
        <w:t>block with 480 and/or 960 kHz SCS, there could be the following three alternatives.</w:t>
      </w:r>
    </w:p>
    <w:p w14:paraId="65FD6888" w14:textId="3A641EBC" w:rsidR="00BA55B6" w:rsidRDefault="00BA55B6" w:rsidP="00BA55B6">
      <w:pPr>
        <w:pStyle w:val="ac"/>
        <w:numPr>
          <w:ilvl w:val="1"/>
          <w:numId w:val="19"/>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Alt 1: Support </w:t>
      </w:r>
      <w:r w:rsidRPr="00BA55B6">
        <w:rPr>
          <w:rFonts w:ascii="Times New Roman" w:hAnsi="Times New Roman" w:hint="eastAsia"/>
          <w:sz w:val="22"/>
          <w:szCs w:val="22"/>
          <w:lang w:val="en-GB" w:eastAsia="ko-KR"/>
        </w:rPr>
        <w:t xml:space="preserve">SS/PBCH </w:t>
      </w:r>
      <w:r w:rsidRPr="00BA55B6">
        <w:rPr>
          <w:rFonts w:ascii="Times New Roman" w:hAnsi="Times New Roman"/>
          <w:sz w:val="22"/>
          <w:szCs w:val="22"/>
          <w:lang w:val="en-GB" w:eastAsia="ko-KR"/>
        </w:rPr>
        <w:t>block with 480 and/or 960 kHz SCS</w:t>
      </w:r>
      <w:r>
        <w:rPr>
          <w:rFonts w:ascii="Times New Roman" w:hAnsi="Times New Roman"/>
          <w:sz w:val="22"/>
          <w:szCs w:val="22"/>
          <w:lang w:val="en-GB" w:eastAsia="ko-KR"/>
        </w:rPr>
        <w:t xml:space="preserve"> for all cases</w:t>
      </w:r>
    </w:p>
    <w:p w14:paraId="5F2F7338" w14:textId="7D66C80A" w:rsidR="00BA55B6" w:rsidRDefault="00BA55B6" w:rsidP="00BA55B6">
      <w:pPr>
        <w:pStyle w:val="ac"/>
        <w:numPr>
          <w:ilvl w:val="1"/>
          <w:numId w:val="19"/>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Alt 2: Support </w:t>
      </w:r>
      <w:r w:rsidRPr="00BA55B6">
        <w:rPr>
          <w:rFonts w:ascii="Times New Roman" w:hAnsi="Times New Roman" w:hint="eastAsia"/>
          <w:sz w:val="22"/>
          <w:szCs w:val="22"/>
          <w:lang w:val="en-GB" w:eastAsia="ko-KR"/>
        </w:rPr>
        <w:t xml:space="preserve">SS/PBCH </w:t>
      </w:r>
      <w:r w:rsidRPr="00BA55B6">
        <w:rPr>
          <w:rFonts w:ascii="Times New Roman" w:hAnsi="Times New Roman"/>
          <w:sz w:val="22"/>
          <w:szCs w:val="22"/>
          <w:lang w:val="en-GB" w:eastAsia="ko-KR"/>
        </w:rPr>
        <w:t>block with 480 and/or 960 kHz SCS</w:t>
      </w:r>
      <w:r>
        <w:rPr>
          <w:rFonts w:ascii="Times New Roman" w:hAnsi="Times New Roman"/>
          <w:sz w:val="22"/>
          <w:szCs w:val="22"/>
          <w:lang w:val="en-GB" w:eastAsia="ko-KR"/>
        </w:rPr>
        <w:t xml:space="preserve"> for cases other than initial access</w:t>
      </w:r>
    </w:p>
    <w:p w14:paraId="1C1F720B" w14:textId="30D2C4D6" w:rsidR="00BA55B6" w:rsidRDefault="00BA55B6" w:rsidP="00BA55B6">
      <w:pPr>
        <w:pStyle w:val="ac"/>
        <w:numPr>
          <w:ilvl w:val="1"/>
          <w:numId w:val="19"/>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Alt 3: Do not support </w:t>
      </w:r>
      <w:r w:rsidRPr="00BA55B6">
        <w:rPr>
          <w:rFonts w:ascii="Times New Roman" w:hAnsi="Times New Roman" w:hint="eastAsia"/>
          <w:sz w:val="22"/>
          <w:szCs w:val="22"/>
          <w:lang w:val="en-GB" w:eastAsia="ko-KR"/>
        </w:rPr>
        <w:t xml:space="preserve">SS/PBCH </w:t>
      </w:r>
      <w:r w:rsidRPr="00BA55B6">
        <w:rPr>
          <w:rFonts w:ascii="Times New Roman" w:hAnsi="Times New Roman"/>
          <w:sz w:val="22"/>
          <w:szCs w:val="22"/>
          <w:lang w:val="en-GB" w:eastAsia="ko-KR"/>
        </w:rPr>
        <w:t>block with 480 and/or 960 kHz SCS</w:t>
      </w:r>
      <w:r>
        <w:rPr>
          <w:rFonts w:ascii="Times New Roman" w:hAnsi="Times New Roman"/>
          <w:sz w:val="22"/>
          <w:szCs w:val="22"/>
          <w:lang w:val="en-GB" w:eastAsia="ko-KR"/>
        </w:rPr>
        <w:t xml:space="preserve"> for any case</w:t>
      </w:r>
    </w:p>
    <w:p w14:paraId="5C3EB452" w14:textId="77777777" w:rsidR="00E02935" w:rsidRDefault="00E02935" w:rsidP="00E02935">
      <w:pPr>
        <w:spacing w:before="120" w:after="120" w:line="240" w:lineRule="auto"/>
        <w:ind w:left="0" w:firstLineChars="100" w:firstLine="220"/>
        <w:rPr>
          <w:rFonts w:eastAsia="바탕"/>
          <w:sz w:val="22"/>
          <w:szCs w:val="22"/>
          <w:lang w:eastAsia="ko-KR"/>
        </w:rPr>
      </w:pPr>
    </w:p>
    <w:p w14:paraId="5ABBA7B1" w14:textId="42105DD7" w:rsidR="00C972E0" w:rsidRDefault="00C972E0" w:rsidP="00E0293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Alt 1 mandates initial access UE to implement 480/960 kHz SS/PBCH block reception, even though it was agreed that </w:t>
      </w:r>
      <w:r w:rsidRPr="00C972E0">
        <w:rPr>
          <w:rFonts w:eastAsia="바탕"/>
          <w:sz w:val="22"/>
          <w:szCs w:val="22"/>
          <w:lang w:eastAsia="ko-KR"/>
        </w:rPr>
        <w:t xml:space="preserve">UEs supporting </w:t>
      </w:r>
      <w:r>
        <w:rPr>
          <w:rFonts w:eastAsia="바탕"/>
          <w:sz w:val="22"/>
          <w:szCs w:val="22"/>
          <w:lang w:eastAsia="ko-KR"/>
        </w:rPr>
        <w:t>FR-X</w:t>
      </w:r>
      <w:r w:rsidRPr="00C972E0">
        <w:rPr>
          <w:rFonts w:eastAsia="바탕"/>
          <w:sz w:val="22"/>
          <w:szCs w:val="22"/>
          <w:lang w:eastAsia="ko-KR"/>
        </w:rPr>
        <w:t xml:space="preserve"> are not required to support 480</w:t>
      </w:r>
      <w:r>
        <w:rPr>
          <w:rFonts w:eastAsia="바탕"/>
          <w:sz w:val="22"/>
          <w:szCs w:val="22"/>
          <w:lang w:eastAsia="ko-KR"/>
        </w:rPr>
        <w:t xml:space="preserve"> </w:t>
      </w:r>
      <w:r w:rsidRPr="00C972E0">
        <w:rPr>
          <w:rFonts w:eastAsia="바탕"/>
          <w:sz w:val="22"/>
          <w:szCs w:val="22"/>
          <w:lang w:eastAsia="ko-KR"/>
        </w:rPr>
        <w:t>kHz SCS and 960</w:t>
      </w:r>
      <w:r>
        <w:rPr>
          <w:rFonts w:eastAsia="바탕"/>
          <w:sz w:val="22"/>
          <w:szCs w:val="22"/>
          <w:lang w:eastAsia="ko-KR"/>
        </w:rPr>
        <w:t xml:space="preserve"> </w:t>
      </w:r>
      <w:r w:rsidRPr="00C972E0">
        <w:rPr>
          <w:rFonts w:eastAsia="바탕"/>
          <w:sz w:val="22"/>
          <w:szCs w:val="22"/>
          <w:lang w:eastAsia="ko-KR"/>
        </w:rPr>
        <w:t>kHz SCS</w:t>
      </w:r>
      <w:r>
        <w:rPr>
          <w:rFonts w:eastAsia="바탕"/>
          <w:sz w:val="22"/>
          <w:szCs w:val="22"/>
          <w:lang w:eastAsia="ko-KR"/>
        </w:rPr>
        <w:t>. This may impose the huge burden for UE implantation</w:t>
      </w:r>
      <w:r w:rsidR="00666074">
        <w:rPr>
          <w:rFonts w:eastAsia="바탕"/>
          <w:sz w:val="22"/>
          <w:szCs w:val="22"/>
          <w:lang w:eastAsia="ko-KR"/>
        </w:rPr>
        <w:t xml:space="preserve">. However, if Alt 1 is adopted due to simple UE behaviour of a single numerology, only the same numerology between SS/PBCH block and initial access related </w:t>
      </w:r>
      <w:r w:rsidR="00666074" w:rsidRPr="005A5C15">
        <w:rPr>
          <w:rFonts w:eastAsia="바탕"/>
          <w:sz w:val="22"/>
          <w:szCs w:val="22"/>
          <w:lang w:eastAsia="ko-KR"/>
        </w:rPr>
        <w:t>signals/channels in initial BWP</w:t>
      </w:r>
      <w:r w:rsidR="00666074">
        <w:rPr>
          <w:rFonts w:eastAsia="바탕"/>
          <w:sz w:val="22"/>
          <w:szCs w:val="22"/>
          <w:lang w:eastAsia="ko-KR"/>
        </w:rPr>
        <w:t xml:space="preserve"> should be considered. Furthermore, it would be reasonable to minimize specification impact by </w:t>
      </w:r>
      <w:r w:rsidR="00103ADE">
        <w:rPr>
          <w:rFonts w:eastAsia="바탕"/>
          <w:sz w:val="22"/>
          <w:szCs w:val="22"/>
          <w:lang w:eastAsia="ko-KR"/>
        </w:rPr>
        <w:t>applying</w:t>
      </w:r>
      <w:r w:rsidR="00666074">
        <w:rPr>
          <w:rFonts w:eastAsia="바탕"/>
          <w:sz w:val="22"/>
          <w:szCs w:val="22"/>
          <w:lang w:eastAsia="ko-KR"/>
        </w:rPr>
        <w:t xml:space="preserve"> one of existing SS/PBCH cases among which Case A or C (SS/PBCH block index n in symbol 2/3/4/5 and index n+1 in symbol 8/9/10/11 for the same slot) is preferable considering beam switching time between SS/PBCH blocks.</w:t>
      </w:r>
    </w:p>
    <w:p w14:paraId="6C989902" w14:textId="77777777" w:rsidR="00E02935" w:rsidRPr="00103ADE" w:rsidRDefault="00E02935" w:rsidP="00E02935">
      <w:pPr>
        <w:spacing w:before="120" w:after="120" w:line="240" w:lineRule="auto"/>
        <w:ind w:left="0" w:firstLineChars="100" w:firstLine="220"/>
        <w:rPr>
          <w:rFonts w:eastAsia="바탕"/>
          <w:sz w:val="22"/>
          <w:szCs w:val="22"/>
          <w:lang w:eastAsia="ko-KR"/>
        </w:rPr>
      </w:pPr>
    </w:p>
    <w:p w14:paraId="534D2FA1" w14:textId="23669D09" w:rsidR="00666074" w:rsidRDefault="00D55956" w:rsidP="00E0293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Alt 2 does not </w:t>
      </w:r>
      <w:r w:rsidR="008B4E9E">
        <w:rPr>
          <w:rFonts w:eastAsia="바탕"/>
          <w:sz w:val="22"/>
          <w:szCs w:val="22"/>
          <w:lang w:eastAsia="ko-KR"/>
        </w:rPr>
        <w:t>require</w:t>
      </w:r>
      <w:r>
        <w:rPr>
          <w:rFonts w:eastAsia="바탕" w:hint="eastAsia"/>
          <w:sz w:val="22"/>
          <w:szCs w:val="22"/>
          <w:lang w:eastAsia="ko-KR"/>
        </w:rPr>
        <w:t xml:space="preserve"> </w:t>
      </w:r>
      <w:r>
        <w:rPr>
          <w:rFonts w:eastAsia="바탕"/>
          <w:sz w:val="22"/>
          <w:szCs w:val="22"/>
          <w:lang w:eastAsia="ko-KR"/>
        </w:rPr>
        <w:t xml:space="preserve">UE incapable of 480/960 kHz to implement 480/960 kHz SS/PBCH block reception during initial access, but may necessitate SS/PBCH block configuration per BWP in a serving cell. As depicted in Figure 1, a UE can access the cell by using 120 kHz SS/PBCH block, and if the UE is capable of 480 kHz SCS then </w:t>
      </w:r>
      <w:r w:rsidR="008B4E9E">
        <w:rPr>
          <w:rFonts w:eastAsia="바탕"/>
          <w:sz w:val="22"/>
          <w:szCs w:val="22"/>
          <w:lang w:eastAsia="ko-KR"/>
        </w:rPr>
        <w:t>it</w:t>
      </w:r>
      <w:r>
        <w:rPr>
          <w:rFonts w:eastAsia="바탕"/>
          <w:sz w:val="22"/>
          <w:szCs w:val="22"/>
          <w:lang w:eastAsia="ko-KR"/>
        </w:rPr>
        <w:t xml:space="preserve"> can be configured with dedicated BWP of 480 kHz where 480 kHz SS/PBCH blocks are transmitted. Since 480</w:t>
      </w:r>
      <w:r w:rsidR="008B4E9E">
        <w:rPr>
          <w:rFonts w:eastAsia="바탕"/>
          <w:sz w:val="22"/>
          <w:szCs w:val="22"/>
          <w:lang w:eastAsia="ko-KR"/>
        </w:rPr>
        <w:t>/</w:t>
      </w:r>
      <w:r>
        <w:rPr>
          <w:rFonts w:eastAsia="바탕"/>
          <w:sz w:val="22"/>
          <w:szCs w:val="22"/>
          <w:lang w:eastAsia="ko-KR"/>
        </w:rPr>
        <w:t>960 kHz SS/PBCH block shall not contain CORESET#0 and type0-PDCCH CSS set configurations</w:t>
      </w:r>
      <w:r w:rsidR="008B4E9E">
        <w:rPr>
          <w:rFonts w:eastAsia="바탕"/>
          <w:sz w:val="22"/>
          <w:szCs w:val="22"/>
          <w:lang w:eastAsia="ko-KR"/>
        </w:rPr>
        <w:t xml:space="preserve"> with 480/960 kHz SCS for this alternative</w:t>
      </w:r>
      <w:r>
        <w:rPr>
          <w:rFonts w:eastAsia="바탕"/>
          <w:sz w:val="22"/>
          <w:szCs w:val="22"/>
          <w:lang w:eastAsia="ko-KR"/>
        </w:rPr>
        <w:t xml:space="preserve">, UE should change numerology to move to initial BWP in order to read SIB1 (e.g., caused by SIB modification), but it </w:t>
      </w:r>
      <w:r w:rsidR="00297A3B">
        <w:rPr>
          <w:rFonts w:eastAsia="바탕" w:hint="eastAsia"/>
          <w:sz w:val="22"/>
          <w:szCs w:val="22"/>
          <w:lang w:eastAsia="ko-KR"/>
        </w:rPr>
        <w:t xml:space="preserve">can </w:t>
      </w:r>
      <w:r w:rsidR="00297A3B">
        <w:rPr>
          <w:rFonts w:eastAsia="바탕"/>
          <w:sz w:val="22"/>
          <w:szCs w:val="22"/>
          <w:lang w:eastAsia="ko-KR"/>
        </w:rPr>
        <w:t>happen intermittently</w:t>
      </w:r>
      <w:r>
        <w:rPr>
          <w:rFonts w:eastAsia="바탕"/>
          <w:sz w:val="22"/>
          <w:szCs w:val="22"/>
          <w:lang w:eastAsia="ko-KR"/>
        </w:rPr>
        <w:t xml:space="preserve">. </w:t>
      </w:r>
      <w:r w:rsidR="00D848EE">
        <w:rPr>
          <w:rFonts w:eastAsia="바탕"/>
          <w:sz w:val="22"/>
          <w:szCs w:val="22"/>
          <w:lang w:eastAsia="ko-KR"/>
        </w:rPr>
        <w:t xml:space="preserve">If Alt 2 is adopted due to simplified initial access procedure, only the same numerology </w:t>
      </w:r>
      <w:r w:rsidR="00093B73">
        <w:rPr>
          <w:rFonts w:eastAsia="바탕"/>
          <w:sz w:val="22"/>
          <w:szCs w:val="22"/>
          <w:lang w:eastAsia="ko-KR"/>
        </w:rPr>
        <w:t xml:space="preserve">(between SS/PBCH block and initial access related </w:t>
      </w:r>
      <w:r w:rsidR="00093B73" w:rsidRPr="005A5C15">
        <w:rPr>
          <w:rFonts w:eastAsia="바탕"/>
          <w:sz w:val="22"/>
          <w:szCs w:val="22"/>
          <w:lang w:eastAsia="ko-KR"/>
        </w:rPr>
        <w:t>signals/channels in initial BWP</w:t>
      </w:r>
      <w:r w:rsidR="00093B73">
        <w:rPr>
          <w:rFonts w:eastAsia="바탕"/>
          <w:sz w:val="22"/>
          <w:szCs w:val="22"/>
          <w:lang w:eastAsia="ko-KR"/>
        </w:rPr>
        <w:t xml:space="preserve">) </w:t>
      </w:r>
      <w:r w:rsidR="00D848EE">
        <w:rPr>
          <w:rFonts w:eastAsia="바탕"/>
          <w:sz w:val="22"/>
          <w:szCs w:val="22"/>
          <w:lang w:eastAsia="ko-KR"/>
        </w:rPr>
        <w:t xml:space="preserve">and reuse of legacy SS/PBCH block pattern </w:t>
      </w:r>
      <w:r w:rsidR="00093B73">
        <w:rPr>
          <w:rFonts w:eastAsia="바탕"/>
          <w:sz w:val="22"/>
          <w:szCs w:val="22"/>
          <w:lang w:eastAsia="ko-KR"/>
        </w:rPr>
        <w:t xml:space="preserve">(e.g., SS/PBCH block Case A or C) </w:t>
      </w:r>
      <w:r w:rsidR="00D848EE">
        <w:rPr>
          <w:rFonts w:eastAsia="바탕"/>
          <w:sz w:val="22"/>
          <w:szCs w:val="22"/>
          <w:lang w:eastAsia="ko-KR"/>
        </w:rPr>
        <w:t>should be considered</w:t>
      </w:r>
      <w:r w:rsidR="00093B73">
        <w:rPr>
          <w:rFonts w:eastAsia="바탕"/>
          <w:sz w:val="22"/>
          <w:szCs w:val="22"/>
          <w:lang w:eastAsia="ko-KR"/>
        </w:rPr>
        <w:t>,</w:t>
      </w:r>
      <w:r w:rsidR="008B4E9E">
        <w:rPr>
          <w:rFonts w:eastAsia="바탕"/>
          <w:sz w:val="22"/>
          <w:szCs w:val="22"/>
          <w:lang w:eastAsia="ko-KR"/>
        </w:rPr>
        <w:t xml:space="preserve"> similar to Alt 1</w:t>
      </w:r>
      <w:r w:rsidR="00D848EE">
        <w:rPr>
          <w:rFonts w:eastAsia="바탕"/>
          <w:sz w:val="22"/>
          <w:szCs w:val="22"/>
          <w:lang w:eastAsia="ko-KR"/>
        </w:rPr>
        <w:t xml:space="preserve">. Furthermore, if 480 or 960 kHz SS/PBCH block can be used for hand-over or neighbour cell RRM measurement, PBCH may need to contain frame boundary related information especially for asynchronous deployment scenario. </w:t>
      </w:r>
      <w:r w:rsidR="00297A3B">
        <w:rPr>
          <w:rFonts w:eastAsia="바탕"/>
          <w:sz w:val="22"/>
          <w:szCs w:val="22"/>
          <w:lang w:eastAsia="ko-KR"/>
        </w:rPr>
        <w:t>Additionally, i</w:t>
      </w:r>
      <w:r w:rsidR="00D848EE">
        <w:rPr>
          <w:rFonts w:eastAsia="바탕"/>
          <w:sz w:val="22"/>
          <w:szCs w:val="22"/>
          <w:lang w:eastAsia="ko-KR"/>
        </w:rPr>
        <w:t>f 480 or 960 kHz SS/PBCH block can be used for the purpose of ANR, PBCH may need to include information on 120 kHz SCS SS/PBCH block and/or corresponding SIB1 PDCCH configurations.</w:t>
      </w:r>
    </w:p>
    <w:p w14:paraId="6B27206E" w14:textId="77777777" w:rsidR="003B4515" w:rsidRDefault="003B4515" w:rsidP="00E02935">
      <w:pPr>
        <w:spacing w:before="120" w:after="120" w:line="240" w:lineRule="auto"/>
        <w:ind w:left="0" w:firstLineChars="100" w:firstLine="220"/>
        <w:rPr>
          <w:rFonts w:eastAsia="바탕"/>
          <w:sz w:val="22"/>
          <w:szCs w:val="22"/>
          <w:lang w:eastAsia="ko-KR"/>
        </w:rPr>
      </w:pPr>
    </w:p>
    <w:p w14:paraId="5713FBA5" w14:textId="1C047B15" w:rsidR="003B4515" w:rsidRDefault="003B4515" w:rsidP="003B4515">
      <w:pPr>
        <w:spacing w:before="120" w:after="120" w:line="240" w:lineRule="auto"/>
        <w:ind w:left="0" w:firstLineChars="100" w:firstLine="200"/>
        <w:jc w:val="center"/>
        <w:rPr>
          <w:rFonts w:eastAsia="바탕"/>
          <w:sz w:val="22"/>
          <w:szCs w:val="22"/>
          <w:lang w:eastAsia="ko-KR"/>
        </w:rPr>
      </w:pPr>
      <w:r w:rsidRPr="003B4515">
        <w:rPr>
          <w:noProof/>
          <w:lang w:val="en-US" w:eastAsia="ko-KR"/>
        </w:rPr>
        <w:lastRenderedPageBreak/>
        <w:drawing>
          <wp:inline distT="0" distB="0" distL="0" distR="0" wp14:anchorId="324C4C95" wp14:editId="6EFA76F5">
            <wp:extent cx="5594400" cy="2725200"/>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94400" cy="2725200"/>
                    </a:xfrm>
                    <a:prstGeom prst="rect">
                      <a:avLst/>
                    </a:prstGeom>
                    <a:noFill/>
                    <a:ln>
                      <a:noFill/>
                    </a:ln>
                  </pic:spPr>
                </pic:pic>
              </a:graphicData>
            </a:graphic>
          </wp:inline>
        </w:drawing>
      </w:r>
    </w:p>
    <w:p w14:paraId="34A9C122" w14:textId="54535C0F" w:rsidR="003B4515" w:rsidRPr="003B4515" w:rsidRDefault="003B4515" w:rsidP="003B4515">
      <w:pPr>
        <w:spacing w:before="120" w:after="120" w:line="240" w:lineRule="auto"/>
        <w:ind w:left="0" w:firstLineChars="100" w:firstLine="216"/>
        <w:jc w:val="center"/>
        <w:rPr>
          <w:rFonts w:eastAsia="바탕"/>
          <w:b/>
          <w:sz w:val="22"/>
          <w:szCs w:val="22"/>
          <w:lang w:eastAsia="ko-KR"/>
        </w:rPr>
      </w:pPr>
      <w:r w:rsidRPr="003B4515">
        <w:rPr>
          <w:rFonts w:eastAsia="바탕" w:hint="eastAsia"/>
          <w:b/>
          <w:sz w:val="22"/>
          <w:szCs w:val="22"/>
          <w:lang w:eastAsia="ko-KR"/>
        </w:rPr>
        <w:t xml:space="preserve">Figure 1. </w:t>
      </w:r>
      <w:r w:rsidRPr="003B4515">
        <w:rPr>
          <w:rFonts w:eastAsia="바탕"/>
          <w:b/>
          <w:sz w:val="22"/>
          <w:szCs w:val="22"/>
          <w:lang w:eastAsia="ko-KR"/>
        </w:rPr>
        <w:t>Exemplary illustration of Alt 2</w:t>
      </w:r>
    </w:p>
    <w:p w14:paraId="53291EEF" w14:textId="77777777" w:rsidR="00666074" w:rsidRDefault="00666074" w:rsidP="00E02935">
      <w:pPr>
        <w:spacing w:before="120" w:after="120" w:line="240" w:lineRule="auto"/>
        <w:ind w:left="0" w:firstLineChars="100" w:firstLine="220"/>
        <w:rPr>
          <w:rFonts w:eastAsia="바탕"/>
          <w:sz w:val="22"/>
          <w:szCs w:val="22"/>
          <w:lang w:eastAsia="ko-KR"/>
        </w:rPr>
      </w:pPr>
    </w:p>
    <w:p w14:paraId="5D4A9AA5" w14:textId="26E50450" w:rsidR="003B4515" w:rsidRDefault="00D848EE" w:rsidP="00E0293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Alt 3, </w:t>
      </w:r>
      <w:r>
        <w:rPr>
          <w:rFonts w:eastAsia="바탕"/>
          <w:sz w:val="22"/>
          <w:szCs w:val="22"/>
          <w:lang w:eastAsia="ko-KR"/>
        </w:rPr>
        <w:t xml:space="preserve">one could indicate the potential problem that a UE may frequently change numerology e.g., to perform </w:t>
      </w:r>
      <w:r w:rsidR="008B4E9E">
        <w:rPr>
          <w:rFonts w:eastAsia="바탕"/>
          <w:sz w:val="22"/>
          <w:szCs w:val="22"/>
          <w:lang w:eastAsia="ko-KR"/>
        </w:rPr>
        <w:t xml:space="preserve">SS/PBCH block based </w:t>
      </w:r>
      <w:r>
        <w:rPr>
          <w:rFonts w:eastAsia="바탕"/>
          <w:sz w:val="22"/>
          <w:szCs w:val="22"/>
          <w:lang w:eastAsia="ko-KR"/>
        </w:rPr>
        <w:t xml:space="preserve">RRM measurement if the UE is operating on BWP with 480 or 960 kHz SCS. However, </w:t>
      </w:r>
      <w:r w:rsidR="00BA3F52">
        <w:rPr>
          <w:rFonts w:eastAsia="바탕"/>
          <w:sz w:val="22"/>
          <w:szCs w:val="22"/>
          <w:lang w:eastAsia="ko-KR"/>
        </w:rPr>
        <w:t xml:space="preserve">CSI-RS can be </w:t>
      </w:r>
      <w:r w:rsidR="00297A3B">
        <w:rPr>
          <w:rFonts w:eastAsia="바탕"/>
          <w:sz w:val="22"/>
          <w:szCs w:val="22"/>
          <w:lang w:eastAsia="ko-KR"/>
        </w:rPr>
        <w:t xml:space="preserve">an </w:t>
      </w:r>
      <w:r w:rsidR="00BA3F52">
        <w:rPr>
          <w:rFonts w:eastAsia="바탕"/>
          <w:sz w:val="22"/>
          <w:szCs w:val="22"/>
          <w:lang w:eastAsia="ko-KR"/>
        </w:rPr>
        <w:t xml:space="preserve">alternative of SS/PBCH block in most use cases such as radio link monitoring, beam failure detection, candidate beam detection, RRM measurement, beam management and so on. </w:t>
      </w:r>
      <w:r w:rsidR="008B4E9E">
        <w:rPr>
          <w:rFonts w:eastAsia="바탕"/>
          <w:sz w:val="22"/>
          <w:szCs w:val="22"/>
          <w:lang w:eastAsia="ko-KR"/>
        </w:rPr>
        <w:t xml:space="preserve">Thus, UE operating on BWP with 480 or 960 kHz SCS does not need to switch numerology if CSI-RS is configured for those use cases. </w:t>
      </w:r>
      <w:r w:rsidR="00BA3F52">
        <w:rPr>
          <w:rFonts w:eastAsia="바탕"/>
          <w:sz w:val="22"/>
          <w:szCs w:val="22"/>
          <w:lang w:eastAsia="ko-KR"/>
        </w:rPr>
        <w:t>It</w:t>
      </w:r>
      <w:r w:rsidR="00093B73">
        <w:rPr>
          <w:rFonts w:eastAsia="바탕"/>
          <w:sz w:val="22"/>
          <w:szCs w:val="22"/>
          <w:lang w:eastAsia="ko-KR"/>
        </w:rPr>
        <w:t xml:space="preserve"> would be</w:t>
      </w:r>
      <w:r w:rsidR="00BA3F52">
        <w:rPr>
          <w:rFonts w:eastAsia="바탕"/>
          <w:sz w:val="22"/>
          <w:szCs w:val="22"/>
          <w:lang w:eastAsia="ko-KR"/>
        </w:rPr>
        <w:t xml:space="preserve"> </w:t>
      </w:r>
      <w:r w:rsidR="00093B73">
        <w:rPr>
          <w:rFonts w:eastAsia="바탕"/>
          <w:sz w:val="22"/>
          <w:szCs w:val="22"/>
          <w:lang w:eastAsia="ko-KR"/>
        </w:rPr>
        <w:t xml:space="preserve">obvious </w:t>
      </w:r>
      <w:r w:rsidR="00BA3F52">
        <w:rPr>
          <w:rFonts w:eastAsia="바탕"/>
          <w:sz w:val="22"/>
          <w:szCs w:val="22"/>
          <w:lang w:eastAsia="ko-KR"/>
        </w:rPr>
        <w:t>that UE should change numerology to move to initial BWP in order to read SIB1 (e.g., caused by SIB modification), but this is the same with Alt 2. Moreover, Alt 3 does not require any further specification impact, thus, Alt 3 is preferred.</w:t>
      </w:r>
    </w:p>
    <w:p w14:paraId="121B89AE" w14:textId="77777777" w:rsidR="003B4515" w:rsidRPr="00297A3B" w:rsidRDefault="003B4515" w:rsidP="00E02935">
      <w:pPr>
        <w:spacing w:before="120" w:after="120" w:line="240" w:lineRule="auto"/>
        <w:ind w:left="0" w:firstLineChars="100" w:firstLine="220"/>
        <w:rPr>
          <w:rFonts w:eastAsia="바탕"/>
          <w:sz w:val="22"/>
          <w:szCs w:val="22"/>
          <w:lang w:eastAsia="ko-KR"/>
        </w:rPr>
      </w:pPr>
    </w:p>
    <w:p w14:paraId="129EE93B" w14:textId="003C777A" w:rsidR="00BA3F52" w:rsidRPr="00BA3F52" w:rsidRDefault="00710F75" w:rsidP="00BA3F52">
      <w:pPr>
        <w:spacing w:before="120" w:after="120" w:line="240" w:lineRule="auto"/>
        <w:ind w:left="0" w:firstLineChars="100" w:firstLine="216"/>
        <w:rPr>
          <w:rFonts w:eastAsia="바탕"/>
          <w:b/>
          <w:sz w:val="22"/>
          <w:szCs w:val="22"/>
          <w:lang w:eastAsia="ko-KR"/>
        </w:rPr>
      </w:pPr>
      <w:r w:rsidRPr="00BA3F52">
        <w:rPr>
          <w:rFonts w:eastAsia="바탕"/>
          <w:b/>
          <w:sz w:val="22"/>
          <w:szCs w:val="22"/>
          <w:lang w:eastAsia="ko-KR"/>
        </w:rPr>
        <w:t>Proposal #</w:t>
      </w:r>
      <w:r w:rsidR="00BA3F52" w:rsidRPr="00BA3F52">
        <w:rPr>
          <w:rFonts w:eastAsia="바탕"/>
          <w:b/>
          <w:sz w:val="22"/>
          <w:szCs w:val="22"/>
          <w:lang w:eastAsia="ko-KR"/>
        </w:rPr>
        <w:t>2</w:t>
      </w:r>
      <w:r w:rsidRPr="00BA3F52">
        <w:rPr>
          <w:rFonts w:eastAsia="바탕"/>
          <w:b/>
          <w:sz w:val="22"/>
          <w:szCs w:val="22"/>
          <w:lang w:eastAsia="ko-KR"/>
        </w:rPr>
        <w:t xml:space="preserve">: </w:t>
      </w:r>
      <w:r w:rsidR="00BA3F52" w:rsidRPr="00BA3F52">
        <w:rPr>
          <w:rFonts w:eastAsia="바탕" w:hint="eastAsia"/>
          <w:b/>
          <w:sz w:val="22"/>
          <w:szCs w:val="22"/>
          <w:lang w:eastAsia="ko-KR"/>
        </w:rPr>
        <w:t xml:space="preserve">For SS/PBCH </w:t>
      </w:r>
      <w:r w:rsidR="00BA3F52" w:rsidRPr="00BA3F52">
        <w:rPr>
          <w:rFonts w:eastAsia="바탕"/>
          <w:b/>
          <w:sz w:val="22"/>
          <w:szCs w:val="22"/>
          <w:lang w:eastAsia="ko-KR"/>
        </w:rPr>
        <w:t xml:space="preserve">block with 480 and/or 960 kHz SCS, the following three alternatives can be </w:t>
      </w:r>
      <w:r w:rsidR="00BA3F52">
        <w:rPr>
          <w:rFonts w:eastAsia="바탕"/>
          <w:b/>
          <w:sz w:val="22"/>
          <w:szCs w:val="22"/>
          <w:lang w:eastAsia="ko-KR"/>
        </w:rPr>
        <w:t>taken into account</w:t>
      </w:r>
      <w:r w:rsidR="00BA3F52" w:rsidRPr="00BA3F52">
        <w:rPr>
          <w:rFonts w:eastAsia="바탕"/>
          <w:b/>
          <w:sz w:val="22"/>
          <w:szCs w:val="22"/>
          <w:lang w:eastAsia="ko-KR"/>
        </w:rPr>
        <w:t xml:space="preserve"> and Alt 3 is preferred considering </w:t>
      </w:r>
      <w:r w:rsidR="00BA3F52">
        <w:rPr>
          <w:rFonts w:eastAsia="바탕"/>
          <w:b/>
          <w:sz w:val="22"/>
          <w:szCs w:val="22"/>
          <w:lang w:eastAsia="ko-KR"/>
        </w:rPr>
        <w:t xml:space="preserve">no </w:t>
      </w:r>
      <w:r w:rsidR="00BA3F52" w:rsidRPr="00BA3F52">
        <w:rPr>
          <w:rFonts w:eastAsia="바탕"/>
          <w:b/>
          <w:sz w:val="22"/>
          <w:szCs w:val="22"/>
          <w:lang w:eastAsia="ko-KR"/>
        </w:rPr>
        <w:t>specification impact and CSI-RS as an alternative of SS/PBCH block in most use cases.</w:t>
      </w:r>
    </w:p>
    <w:p w14:paraId="75663A19" w14:textId="77777777" w:rsidR="00BA3F52" w:rsidRPr="00BA3F52" w:rsidRDefault="00BA3F52" w:rsidP="00BA3F52">
      <w:pPr>
        <w:pStyle w:val="ac"/>
        <w:numPr>
          <w:ilvl w:val="1"/>
          <w:numId w:val="19"/>
        </w:numPr>
        <w:spacing w:before="120" w:after="120" w:line="240" w:lineRule="auto"/>
        <w:ind w:leftChars="0"/>
        <w:rPr>
          <w:rFonts w:ascii="Times New Roman" w:hAnsi="Times New Roman"/>
          <w:b/>
          <w:sz w:val="22"/>
          <w:szCs w:val="22"/>
          <w:lang w:val="en-GB" w:eastAsia="ko-KR"/>
        </w:rPr>
      </w:pPr>
      <w:r w:rsidRPr="00BA3F52">
        <w:rPr>
          <w:rFonts w:ascii="Times New Roman" w:hAnsi="Times New Roman"/>
          <w:b/>
          <w:sz w:val="22"/>
          <w:szCs w:val="22"/>
          <w:lang w:val="en-GB" w:eastAsia="ko-KR"/>
        </w:rPr>
        <w:t xml:space="preserve">Alt 1: Support </w:t>
      </w:r>
      <w:r w:rsidRPr="00BA3F52">
        <w:rPr>
          <w:rFonts w:ascii="Times New Roman" w:hAnsi="Times New Roman" w:hint="eastAsia"/>
          <w:b/>
          <w:sz w:val="22"/>
          <w:szCs w:val="22"/>
          <w:lang w:val="en-GB" w:eastAsia="ko-KR"/>
        </w:rPr>
        <w:t xml:space="preserve">SS/PBCH </w:t>
      </w:r>
      <w:r w:rsidRPr="00BA3F52">
        <w:rPr>
          <w:rFonts w:ascii="Times New Roman" w:hAnsi="Times New Roman"/>
          <w:b/>
          <w:sz w:val="22"/>
          <w:szCs w:val="22"/>
          <w:lang w:val="en-GB" w:eastAsia="ko-KR"/>
        </w:rPr>
        <w:t>block with 480 and/or 960 kHz SCS for all cases</w:t>
      </w:r>
    </w:p>
    <w:p w14:paraId="6DCFBDBA" w14:textId="77777777" w:rsidR="00BA3F52" w:rsidRPr="00BA3F52" w:rsidRDefault="00BA3F52" w:rsidP="00BA3F52">
      <w:pPr>
        <w:pStyle w:val="ac"/>
        <w:numPr>
          <w:ilvl w:val="1"/>
          <w:numId w:val="19"/>
        </w:numPr>
        <w:spacing w:before="120" w:after="120" w:line="240" w:lineRule="auto"/>
        <w:ind w:leftChars="0"/>
        <w:rPr>
          <w:rFonts w:ascii="Times New Roman" w:hAnsi="Times New Roman"/>
          <w:b/>
          <w:sz w:val="22"/>
          <w:szCs w:val="22"/>
          <w:lang w:val="en-GB" w:eastAsia="ko-KR"/>
        </w:rPr>
      </w:pPr>
      <w:r w:rsidRPr="00BA3F52">
        <w:rPr>
          <w:rFonts w:ascii="Times New Roman" w:hAnsi="Times New Roman"/>
          <w:b/>
          <w:sz w:val="22"/>
          <w:szCs w:val="22"/>
          <w:lang w:val="en-GB" w:eastAsia="ko-KR"/>
        </w:rPr>
        <w:t xml:space="preserve">Alt 2: Support </w:t>
      </w:r>
      <w:r w:rsidRPr="00BA3F52">
        <w:rPr>
          <w:rFonts w:ascii="Times New Roman" w:hAnsi="Times New Roman" w:hint="eastAsia"/>
          <w:b/>
          <w:sz w:val="22"/>
          <w:szCs w:val="22"/>
          <w:lang w:val="en-GB" w:eastAsia="ko-KR"/>
        </w:rPr>
        <w:t xml:space="preserve">SS/PBCH </w:t>
      </w:r>
      <w:r w:rsidRPr="00BA3F52">
        <w:rPr>
          <w:rFonts w:ascii="Times New Roman" w:hAnsi="Times New Roman"/>
          <w:b/>
          <w:sz w:val="22"/>
          <w:szCs w:val="22"/>
          <w:lang w:val="en-GB" w:eastAsia="ko-KR"/>
        </w:rPr>
        <w:t>block with 480 and/or 960 kHz SCS for cases other than initial access</w:t>
      </w:r>
    </w:p>
    <w:p w14:paraId="55AE7118" w14:textId="77777777" w:rsidR="00BA3F52" w:rsidRPr="00BA3F52" w:rsidRDefault="00BA3F52" w:rsidP="00BA3F52">
      <w:pPr>
        <w:pStyle w:val="ac"/>
        <w:numPr>
          <w:ilvl w:val="1"/>
          <w:numId w:val="19"/>
        </w:numPr>
        <w:spacing w:before="120" w:after="120" w:line="240" w:lineRule="auto"/>
        <w:ind w:leftChars="0"/>
        <w:rPr>
          <w:rFonts w:ascii="Times New Roman" w:hAnsi="Times New Roman"/>
          <w:b/>
          <w:sz w:val="22"/>
          <w:szCs w:val="22"/>
          <w:lang w:val="en-GB" w:eastAsia="ko-KR"/>
        </w:rPr>
      </w:pPr>
      <w:r w:rsidRPr="00BA3F52">
        <w:rPr>
          <w:rFonts w:ascii="Times New Roman" w:hAnsi="Times New Roman"/>
          <w:b/>
          <w:sz w:val="22"/>
          <w:szCs w:val="22"/>
          <w:lang w:val="en-GB" w:eastAsia="ko-KR"/>
        </w:rPr>
        <w:t xml:space="preserve">Alt 3: Do not support </w:t>
      </w:r>
      <w:r w:rsidRPr="00BA3F52">
        <w:rPr>
          <w:rFonts w:ascii="Times New Roman" w:hAnsi="Times New Roman" w:hint="eastAsia"/>
          <w:b/>
          <w:sz w:val="22"/>
          <w:szCs w:val="22"/>
          <w:lang w:val="en-GB" w:eastAsia="ko-KR"/>
        </w:rPr>
        <w:t xml:space="preserve">SS/PBCH </w:t>
      </w:r>
      <w:r w:rsidRPr="00BA3F52">
        <w:rPr>
          <w:rFonts w:ascii="Times New Roman" w:hAnsi="Times New Roman"/>
          <w:b/>
          <w:sz w:val="22"/>
          <w:szCs w:val="22"/>
          <w:lang w:val="en-GB" w:eastAsia="ko-KR"/>
        </w:rPr>
        <w:t>block with 480 and/or 960 kHz SCS for any case</w:t>
      </w:r>
    </w:p>
    <w:p w14:paraId="76905D76" w14:textId="4C37C575" w:rsidR="00710F75" w:rsidRDefault="00710F75" w:rsidP="00BA3F52">
      <w:pPr>
        <w:spacing w:before="120" w:after="120" w:line="240" w:lineRule="auto"/>
        <w:ind w:left="0" w:firstLineChars="100" w:firstLine="220"/>
        <w:rPr>
          <w:rFonts w:eastAsia="바탕"/>
          <w:sz w:val="22"/>
          <w:szCs w:val="22"/>
          <w:lang w:eastAsia="ko-KR"/>
        </w:rPr>
      </w:pPr>
    </w:p>
    <w:p w14:paraId="5E5931D6" w14:textId="77777777" w:rsidR="00F834B0" w:rsidRDefault="00F834B0" w:rsidP="00775406">
      <w:pPr>
        <w:pStyle w:val="1"/>
        <w:numPr>
          <w:ilvl w:val="0"/>
          <w:numId w:val="1"/>
        </w:numPr>
        <w:spacing w:before="300"/>
        <w:rPr>
          <w:rFonts w:eastAsia="바탕" w:cs="Arial"/>
          <w:b/>
          <w:lang w:eastAsia="ko-KR"/>
        </w:rPr>
      </w:pPr>
      <w:r>
        <w:rPr>
          <w:rFonts w:eastAsia="바탕" w:cs="Arial"/>
          <w:b/>
          <w:lang w:eastAsia="ko-KR"/>
        </w:rPr>
        <w:t>PRACH</w:t>
      </w:r>
    </w:p>
    <w:p w14:paraId="1ED9D3B5" w14:textId="77777777" w:rsidR="00F834B0" w:rsidRDefault="00F834B0" w:rsidP="00F834B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Based on the regulatory requirements such as the maximum power spectral density (PSD) limit of 23 dBm/MHz and the maximum output power limit of 40 dBm in ETSI EN 302 567, the minimum required </w:t>
      </w:r>
      <w:r>
        <w:rPr>
          <w:rFonts w:eastAsia="바탕"/>
          <w:sz w:val="22"/>
          <w:szCs w:val="22"/>
          <w:lang w:eastAsia="ko-KR"/>
        </w:rPr>
        <w:lastRenderedPageBreak/>
        <w:t>number of PRBs in order to transmit a PRACH to the maximum allowed output power can be calculated as below for each subcarrier spacing in FR-X.</w:t>
      </w:r>
    </w:p>
    <w:p w14:paraId="259B8EFD" w14:textId="77777777" w:rsidR="00F834B0" w:rsidRDefault="00F834B0" w:rsidP="00F834B0">
      <w:pPr>
        <w:spacing w:before="120" w:after="120" w:line="240" w:lineRule="auto"/>
        <w:ind w:left="0" w:firstLineChars="100" w:firstLine="200"/>
        <w:rPr>
          <w:rFonts w:eastAsia="바탕"/>
          <w:lang w:eastAsia="ko-KR"/>
        </w:rPr>
      </w:pPr>
    </w:p>
    <w:p w14:paraId="5BC93748" w14:textId="77777777" w:rsidR="00F834B0" w:rsidRDefault="00F834B0" w:rsidP="00F834B0">
      <w:pPr>
        <w:spacing w:before="120" w:after="120" w:line="240" w:lineRule="auto"/>
        <w:ind w:left="0" w:firstLineChars="100" w:firstLine="220"/>
        <w:rPr>
          <w:rFonts w:eastAsia="바탕"/>
          <w:lang w:eastAsia="ko-KR"/>
        </w:rPr>
      </w:pPr>
      <w:r>
        <w:rPr>
          <w:rFonts w:eastAsia="바탕"/>
          <w:sz w:val="22"/>
          <w:szCs w:val="22"/>
          <w:lang w:eastAsia="ko-KR"/>
        </w:rPr>
        <w:t>Table 1: The number of PRBs to achieve the maximum allowed output power for each subcarrier spacing</w:t>
      </w:r>
    </w:p>
    <w:tbl>
      <w:tblPr>
        <w:tblStyle w:val="40"/>
        <w:tblW w:w="0" w:type="auto"/>
        <w:jc w:val="center"/>
        <w:tblLook w:val="04A0" w:firstRow="1" w:lastRow="0" w:firstColumn="1" w:lastColumn="0" w:noHBand="0" w:noVBand="1"/>
      </w:tblPr>
      <w:tblGrid>
        <w:gridCol w:w="887"/>
        <w:gridCol w:w="1511"/>
        <w:gridCol w:w="1702"/>
        <w:gridCol w:w="1502"/>
        <w:gridCol w:w="1613"/>
      </w:tblGrid>
      <w:tr w:rsidR="00F834B0" w14:paraId="32E264D1" w14:textId="77777777" w:rsidTr="00F834B0">
        <w:trPr>
          <w:trHeight w:val="636"/>
          <w:jc w:val="center"/>
        </w:trPr>
        <w:tc>
          <w:tcPr>
            <w:tcW w:w="88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15AA7E9"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SCS (kHz)</w:t>
            </w:r>
          </w:p>
        </w:tc>
        <w:tc>
          <w:tcPr>
            <w:tcW w:w="1511"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DE87EEC"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1 PRB BW (MHz)</w:t>
            </w:r>
          </w:p>
        </w:tc>
        <w:tc>
          <w:tcPr>
            <w:tcW w:w="170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B59DF13"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1 PRB TX power (dBm)</w:t>
            </w:r>
          </w:p>
        </w:tc>
        <w:tc>
          <w:tcPr>
            <w:tcW w:w="150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1CFD6B6"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 of PRBs</w:t>
            </w:r>
          </w:p>
        </w:tc>
        <w:tc>
          <w:tcPr>
            <w:tcW w:w="161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D6CD2DE"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Total Tx power (dBm)</w:t>
            </w:r>
          </w:p>
        </w:tc>
      </w:tr>
      <w:tr w:rsidR="00F834B0" w14:paraId="6ECD04E2" w14:textId="77777777" w:rsidTr="00F834B0">
        <w:trPr>
          <w:trHeight w:val="158"/>
          <w:jc w:val="center"/>
        </w:trPr>
        <w:tc>
          <w:tcPr>
            <w:tcW w:w="887"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2427B6C"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120</w:t>
            </w:r>
          </w:p>
        </w:tc>
        <w:tc>
          <w:tcPr>
            <w:tcW w:w="1511" w:type="dxa"/>
            <w:vMerge w:val="restart"/>
            <w:tcBorders>
              <w:top w:val="single" w:sz="4" w:space="0" w:color="000000"/>
              <w:left w:val="single" w:sz="4" w:space="0" w:color="000000"/>
              <w:bottom w:val="single" w:sz="4" w:space="0" w:color="000000"/>
              <w:right w:val="single" w:sz="4" w:space="0" w:color="000000"/>
            </w:tcBorders>
            <w:vAlign w:val="center"/>
            <w:hideMark/>
          </w:tcPr>
          <w:p w14:paraId="3B859B60"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1.44</w:t>
            </w:r>
          </w:p>
        </w:tc>
        <w:tc>
          <w:tcPr>
            <w:tcW w:w="1702" w:type="dxa"/>
            <w:vMerge w:val="restart"/>
            <w:tcBorders>
              <w:top w:val="single" w:sz="4" w:space="0" w:color="000000"/>
              <w:left w:val="single" w:sz="4" w:space="0" w:color="000000"/>
              <w:bottom w:val="single" w:sz="4" w:space="0" w:color="000000"/>
              <w:right w:val="single" w:sz="4" w:space="0" w:color="000000"/>
            </w:tcBorders>
            <w:vAlign w:val="center"/>
            <w:hideMark/>
          </w:tcPr>
          <w:p w14:paraId="0FA6941C"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24.58</w:t>
            </w:r>
          </w:p>
        </w:tc>
        <w:tc>
          <w:tcPr>
            <w:tcW w:w="1502" w:type="dxa"/>
            <w:tcBorders>
              <w:top w:val="single" w:sz="4" w:space="0" w:color="000000"/>
              <w:left w:val="single" w:sz="4" w:space="0" w:color="000000"/>
              <w:bottom w:val="single" w:sz="4" w:space="0" w:color="000000"/>
              <w:right w:val="single" w:sz="4" w:space="0" w:color="000000"/>
            </w:tcBorders>
            <w:vAlign w:val="center"/>
            <w:hideMark/>
          </w:tcPr>
          <w:p w14:paraId="048CAEAC"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34</w:t>
            </w:r>
          </w:p>
        </w:tc>
        <w:tc>
          <w:tcPr>
            <w:tcW w:w="1613" w:type="dxa"/>
            <w:tcBorders>
              <w:top w:val="single" w:sz="4" w:space="0" w:color="000000"/>
              <w:left w:val="single" w:sz="4" w:space="0" w:color="000000"/>
              <w:bottom w:val="single" w:sz="4" w:space="0" w:color="000000"/>
              <w:right w:val="single" w:sz="4" w:space="0" w:color="000000"/>
            </w:tcBorders>
            <w:vAlign w:val="center"/>
            <w:hideMark/>
          </w:tcPr>
          <w:p w14:paraId="2415AE50"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39.89</w:t>
            </w:r>
          </w:p>
        </w:tc>
      </w:tr>
      <w:tr w:rsidR="00F834B0" w14:paraId="754C81A5" w14:textId="77777777" w:rsidTr="00F834B0">
        <w:trPr>
          <w:trHeight w:val="15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41396D" w14:textId="77777777" w:rsidR="00F834B0" w:rsidRDefault="00F834B0">
            <w:pPr>
              <w:spacing w:before="0" w:after="0" w:line="240" w:lineRule="auto"/>
              <w:ind w:left="0" w:firstLine="0"/>
              <w:jc w:val="left"/>
              <w:rPr>
                <w:rFonts w:ascii="Times New Roman" w:eastAsia="맑은 고딕" w:hAnsi="Times New Roman"/>
                <w:lang w:val="en-US" w:eastAsia="ko-K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44F705" w14:textId="77777777" w:rsidR="00F834B0" w:rsidRDefault="00F834B0">
            <w:pPr>
              <w:spacing w:before="0" w:after="0" w:line="240" w:lineRule="auto"/>
              <w:ind w:left="0" w:firstLine="0"/>
              <w:jc w:val="left"/>
              <w:rPr>
                <w:rFonts w:ascii="Times New Roman" w:eastAsia="맑은 고딕" w:hAnsi="Times New Roman"/>
                <w:lang w:val="en-US" w:eastAsia="ko-K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7C54E49" w14:textId="77777777" w:rsidR="00F834B0" w:rsidRDefault="00F834B0">
            <w:pPr>
              <w:spacing w:before="0" w:after="0" w:line="240" w:lineRule="auto"/>
              <w:ind w:left="0" w:firstLine="0"/>
              <w:jc w:val="left"/>
              <w:rPr>
                <w:rFonts w:ascii="Times New Roman" w:eastAsia="맑은 고딕" w:hAnsi="Times New Roman"/>
                <w:lang w:val="en-US" w:eastAsia="ko-KR"/>
              </w:rPr>
            </w:pPr>
          </w:p>
        </w:tc>
        <w:tc>
          <w:tcPr>
            <w:tcW w:w="1502" w:type="dxa"/>
            <w:tcBorders>
              <w:top w:val="single" w:sz="4" w:space="0" w:color="000000"/>
              <w:left w:val="single" w:sz="4" w:space="0" w:color="000000"/>
              <w:bottom w:val="single" w:sz="4" w:space="0" w:color="000000"/>
              <w:right w:val="single" w:sz="4" w:space="0" w:color="000000"/>
            </w:tcBorders>
            <w:vAlign w:val="center"/>
            <w:hideMark/>
          </w:tcPr>
          <w:p w14:paraId="77592DB1"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35</w:t>
            </w:r>
          </w:p>
        </w:tc>
        <w:tc>
          <w:tcPr>
            <w:tcW w:w="1613" w:type="dxa"/>
            <w:tcBorders>
              <w:top w:val="single" w:sz="4" w:space="0" w:color="000000"/>
              <w:left w:val="single" w:sz="4" w:space="0" w:color="000000"/>
              <w:bottom w:val="single" w:sz="4" w:space="0" w:color="000000"/>
              <w:right w:val="single" w:sz="4" w:space="0" w:color="000000"/>
            </w:tcBorders>
            <w:vAlign w:val="center"/>
            <w:hideMark/>
          </w:tcPr>
          <w:p w14:paraId="333AE413"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40.02</w:t>
            </w:r>
          </w:p>
        </w:tc>
      </w:tr>
      <w:tr w:rsidR="00F834B0" w14:paraId="123B436D" w14:textId="77777777" w:rsidTr="00F834B0">
        <w:trPr>
          <w:trHeight w:val="158"/>
          <w:jc w:val="center"/>
        </w:trPr>
        <w:tc>
          <w:tcPr>
            <w:tcW w:w="887"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316817E"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480</w:t>
            </w:r>
          </w:p>
        </w:tc>
        <w:tc>
          <w:tcPr>
            <w:tcW w:w="1511" w:type="dxa"/>
            <w:vMerge w:val="restart"/>
            <w:tcBorders>
              <w:top w:val="single" w:sz="4" w:space="0" w:color="000000"/>
              <w:left w:val="single" w:sz="4" w:space="0" w:color="000000"/>
              <w:bottom w:val="single" w:sz="4" w:space="0" w:color="000000"/>
              <w:right w:val="single" w:sz="4" w:space="0" w:color="000000"/>
            </w:tcBorders>
            <w:vAlign w:val="center"/>
            <w:hideMark/>
          </w:tcPr>
          <w:p w14:paraId="61727DA3"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5.76</w:t>
            </w:r>
          </w:p>
        </w:tc>
        <w:tc>
          <w:tcPr>
            <w:tcW w:w="1702" w:type="dxa"/>
            <w:vMerge w:val="restart"/>
            <w:tcBorders>
              <w:top w:val="single" w:sz="4" w:space="0" w:color="000000"/>
              <w:left w:val="single" w:sz="4" w:space="0" w:color="000000"/>
              <w:bottom w:val="single" w:sz="4" w:space="0" w:color="000000"/>
              <w:right w:val="single" w:sz="4" w:space="0" w:color="000000"/>
            </w:tcBorders>
            <w:vAlign w:val="center"/>
            <w:hideMark/>
          </w:tcPr>
          <w:p w14:paraId="004ABF45"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30.60</w:t>
            </w:r>
          </w:p>
        </w:tc>
        <w:tc>
          <w:tcPr>
            <w:tcW w:w="1502" w:type="dxa"/>
            <w:tcBorders>
              <w:top w:val="single" w:sz="4" w:space="0" w:color="000000"/>
              <w:left w:val="single" w:sz="4" w:space="0" w:color="000000"/>
              <w:bottom w:val="single" w:sz="4" w:space="0" w:color="000000"/>
              <w:right w:val="single" w:sz="4" w:space="0" w:color="000000"/>
            </w:tcBorders>
            <w:vAlign w:val="center"/>
            <w:hideMark/>
          </w:tcPr>
          <w:p w14:paraId="4E986081"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8</w:t>
            </w:r>
          </w:p>
        </w:tc>
        <w:tc>
          <w:tcPr>
            <w:tcW w:w="1613" w:type="dxa"/>
            <w:tcBorders>
              <w:top w:val="single" w:sz="4" w:space="0" w:color="000000"/>
              <w:left w:val="single" w:sz="4" w:space="0" w:color="000000"/>
              <w:bottom w:val="single" w:sz="4" w:space="0" w:color="000000"/>
              <w:right w:val="single" w:sz="4" w:space="0" w:color="000000"/>
            </w:tcBorders>
            <w:vAlign w:val="center"/>
            <w:hideMark/>
          </w:tcPr>
          <w:p w14:paraId="46BB15AC"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39.63</w:t>
            </w:r>
          </w:p>
        </w:tc>
      </w:tr>
      <w:tr w:rsidR="00F834B0" w14:paraId="2313DDAE" w14:textId="77777777" w:rsidTr="00F834B0">
        <w:trPr>
          <w:trHeight w:val="15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965B35" w14:textId="77777777" w:rsidR="00F834B0" w:rsidRDefault="00F834B0">
            <w:pPr>
              <w:spacing w:before="0" w:after="0" w:line="240" w:lineRule="auto"/>
              <w:ind w:left="0" w:firstLine="0"/>
              <w:jc w:val="left"/>
              <w:rPr>
                <w:rFonts w:ascii="Times New Roman" w:eastAsia="맑은 고딕" w:hAnsi="Times New Roman"/>
                <w:lang w:val="en-US" w:eastAsia="ko-K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35B2FB" w14:textId="77777777" w:rsidR="00F834B0" w:rsidRDefault="00F834B0">
            <w:pPr>
              <w:spacing w:before="0" w:after="0" w:line="240" w:lineRule="auto"/>
              <w:ind w:left="0" w:firstLine="0"/>
              <w:jc w:val="left"/>
              <w:rPr>
                <w:rFonts w:ascii="Times New Roman" w:eastAsia="맑은 고딕" w:hAnsi="Times New Roman"/>
                <w:lang w:val="en-US" w:eastAsia="ko-K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4201FE7" w14:textId="77777777" w:rsidR="00F834B0" w:rsidRDefault="00F834B0">
            <w:pPr>
              <w:spacing w:before="0" w:after="0" w:line="240" w:lineRule="auto"/>
              <w:ind w:left="0" w:firstLine="0"/>
              <w:jc w:val="left"/>
              <w:rPr>
                <w:rFonts w:ascii="Times New Roman" w:eastAsia="맑은 고딕" w:hAnsi="Times New Roman"/>
                <w:lang w:val="en-US" w:eastAsia="ko-KR"/>
              </w:rPr>
            </w:pPr>
          </w:p>
        </w:tc>
        <w:tc>
          <w:tcPr>
            <w:tcW w:w="1502" w:type="dxa"/>
            <w:tcBorders>
              <w:top w:val="single" w:sz="4" w:space="0" w:color="000000"/>
              <w:left w:val="single" w:sz="4" w:space="0" w:color="000000"/>
              <w:bottom w:val="single" w:sz="4" w:space="0" w:color="000000"/>
              <w:right w:val="single" w:sz="4" w:space="0" w:color="000000"/>
            </w:tcBorders>
            <w:vAlign w:val="center"/>
            <w:hideMark/>
          </w:tcPr>
          <w:p w14:paraId="2F7496CB"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9</w:t>
            </w:r>
          </w:p>
        </w:tc>
        <w:tc>
          <w:tcPr>
            <w:tcW w:w="1613" w:type="dxa"/>
            <w:tcBorders>
              <w:top w:val="single" w:sz="4" w:space="0" w:color="000000"/>
              <w:left w:val="single" w:sz="4" w:space="0" w:color="000000"/>
              <w:bottom w:val="single" w:sz="4" w:space="0" w:color="000000"/>
              <w:right w:val="single" w:sz="4" w:space="0" w:color="000000"/>
            </w:tcBorders>
            <w:vAlign w:val="center"/>
            <w:hideMark/>
          </w:tcPr>
          <w:p w14:paraId="26C9B43A"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40.14</w:t>
            </w:r>
          </w:p>
        </w:tc>
      </w:tr>
      <w:tr w:rsidR="00F834B0" w14:paraId="014DE96D" w14:textId="77777777" w:rsidTr="00F834B0">
        <w:trPr>
          <w:trHeight w:val="158"/>
          <w:jc w:val="center"/>
        </w:trPr>
        <w:tc>
          <w:tcPr>
            <w:tcW w:w="887"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C2C1010"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960</w:t>
            </w:r>
          </w:p>
        </w:tc>
        <w:tc>
          <w:tcPr>
            <w:tcW w:w="1511" w:type="dxa"/>
            <w:vMerge w:val="restart"/>
            <w:tcBorders>
              <w:top w:val="single" w:sz="4" w:space="0" w:color="000000"/>
              <w:left w:val="single" w:sz="4" w:space="0" w:color="000000"/>
              <w:bottom w:val="single" w:sz="4" w:space="0" w:color="000000"/>
              <w:right w:val="single" w:sz="4" w:space="0" w:color="000000"/>
            </w:tcBorders>
            <w:vAlign w:val="center"/>
            <w:hideMark/>
          </w:tcPr>
          <w:p w14:paraId="517103F6"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11.52</w:t>
            </w:r>
          </w:p>
        </w:tc>
        <w:tc>
          <w:tcPr>
            <w:tcW w:w="1702" w:type="dxa"/>
            <w:vMerge w:val="restart"/>
            <w:tcBorders>
              <w:top w:val="single" w:sz="4" w:space="0" w:color="000000"/>
              <w:left w:val="single" w:sz="4" w:space="0" w:color="000000"/>
              <w:bottom w:val="single" w:sz="4" w:space="0" w:color="000000"/>
              <w:right w:val="single" w:sz="4" w:space="0" w:color="000000"/>
            </w:tcBorders>
            <w:vAlign w:val="center"/>
            <w:hideMark/>
          </w:tcPr>
          <w:p w14:paraId="77B1DF83"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33.61</w:t>
            </w:r>
          </w:p>
        </w:tc>
        <w:tc>
          <w:tcPr>
            <w:tcW w:w="1502" w:type="dxa"/>
            <w:tcBorders>
              <w:top w:val="single" w:sz="4" w:space="0" w:color="000000"/>
              <w:left w:val="single" w:sz="4" w:space="0" w:color="000000"/>
              <w:bottom w:val="single" w:sz="4" w:space="0" w:color="000000"/>
              <w:right w:val="single" w:sz="4" w:space="0" w:color="000000"/>
            </w:tcBorders>
            <w:vAlign w:val="center"/>
            <w:hideMark/>
          </w:tcPr>
          <w:p w14:paraId="7DD89B0C"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4</w:t>
            </w:r>
          </w:p>
        </w:tc>
        <w:tc>
          <w:tcPr>
            <w:tcW w:w="1613" w:type="dxa"/>
            <w:tcBorders>
              <w:top w:val="single" w:sz="4" w:space="0" w:color="000000"/>
              <w:left w:val="single" w:sz="4" w:space="0" w:color="000000"/>
              <w:bottom w:val="single" w:sz="4" w:space="0" w:color="000000"/>
              <w:right w:val="single" w:sz="4" w:space="0" w:color="000000"/>
            </w:tcBorders>
            <w:vAlign w:val="center"/>
            <w:hideMark/>
          </w:tcPr>
          <w:p w14:paraId="79C1224D"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39.63</w:t>
            </w:r>
          </w:p>
        </w:tc>
      </w:tr>
      <w:tr w:rsidR="00F834B0" w14:paraId="2787558D" w14:textId="77777777" w:rsidTr="00F834B0">
        <w:trPr>
          <w:trHeight w:val="15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5009B0B" w14:textId="77777777" w:rsidR="00F834B0" w:rsidRDefault="00F834B0">
            <w:pPr>
              <w:spacing w:before="0" w:after="0" w:line="240" w:lineRule="auto"/>
              <w:ind w:left="0" w:firstLine="0"/>
              <w:jc w:val="left"/>
              <w:rPr>
                <w:rFonts w:ascii="Times New Roman" w:eastAsia="맑은 고딕" w:hAnsi="Times New Roman"/>
                <w:lang w:val="en-US" w:eastAsia="ko-K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48C16D" w14:textId="77777777" w:rsidR="00F834B0" w:rsidRDefault="00F834B0">
            <w:pPr>
              <w:spacing w:before="0" w:after="0" w:line="240" w:lineRule="auto"/>
              <w:ind w:left="0" w:firstLine="0"/>
              <w:jc w:val="left"/>
              <w:rPr>
                <w:rFonts w:ascii="Times New Roman" w:eastAsia="맑은 고딕" w:hAnsi="Times New Roman"/>
                <w:lang w:val="en-US" w:eastAsia="ko-K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313C11" w14:textId="77777777" w:rsidR="00F834B0" w:rsidRDefault="00F834B0">
            <w:pPr>
              <w:spacing w:before="0" w:after="0" w:line="240" w:lineRule="auto"/>
              <w:ind w:left="0" w:firstLine="0"/>
              <w:jc w:val="left"/>
              <w:rPr>
                <w:rFonts w:ascii="Times New Roman" w:eastAsia="맑은 고딕" w:hAnsi="Times New Roman"/>
                <w:lang w:val="en-US" w:eastAsia="ko-KR"/>
              </w:rPr>
            </w:pPr>
          </w:p>
        </w:tc>
        <w:tc>
          <w:tcPr>
            <w:tcW w:w="1502" w:type="dxa"/>
            <w:tcBorders>
              <w:top w:val="single" w:sz="4" w:space="0" w:color="000000"/>
              <w:left w:val="single" w:sz="4" w:space="0" w:color="000000"/>
              <w:bottom w:val="single" w:sz="4" w:space="0" w:color="000000"/>
              <w:right w:val="single" w:sz="4" w:space="0" w:color="000000"/>
            </w:tcBorders>
            <w:vAlign w:val="center"/>
            <w:hideMark/>
          </w:tcPr>
          <w:p w14:paraId="30DA229E"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5</w:t>
            </w:r>
          </w:p>
        </w:tc>
        <w:tc>
          <w:tcPr>
            <w:tcW w:w="1613" w:type="dxa"/>
            <w:tcBorders>
              <w:top w:val="single" w:sz="4" w:space="0" w:color="000000"/>
              <w:left w:val="single" w:sz="4" w:space="0" w:color="000000"/>
              <w:bottom w:val="single" w:sz="4" w:space="0" w:color="000000"/>
              <w:right w:val="single" w:sz="4" w:space="0" w:color="000000"/>
            </w:tcBorders>
            <w:vAlign w:val="center"/>
            <w:hideMark/>
          </w:tcPr>
          <w:p w14:paraId="3B6EDFAA" w14:textId="77777777" w:rsidR="00F834B0" w:rsidRDefault="00F834B0">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Pr>
                <w:rFonts w:ascii="Times New Roman" w:eastAsia="맑은 고딕" w:hAnsi="Times New Roman"/>
                <w:lang w:val="en-US" w:eastAsia="ko-KR"/>
              </w:rPr>
              <w:t>40.60</w:t>
            </w:r>
          </w:p>
        </w:tc>
      </w:tr>
    </w:tbl>
    <w:p w14:paraId="0DE9BF11" w14:textId="77777777" w:rsidR="00F834B0" w:rsidRDefault="00F834B0" w:rsidP="00F834B0">
      <w:pPr>
        <w:spacing w:before="120" w:after="120" w:line="240" w:lineRule="auto"/>
        <w:ind w:left="0" w:firstLineChars="100" w:firstLine="220"/>
        <w:rPr>
          <w:rFonts w:eastAsia="바탕"/>
          <w:sz w:val="22"/>
          <w:szCs w:val="22"/>
          <w:lang w:eastAsia="ko-KR"/>
        </w:rPr>
      </w:pPr>
    </w:p>
    <w:p w14:paraId="5B53B588" w14:textId="527C06C4" w:rsidR="00F834B0" w:rsidRDefault="00F834B0" w:rsidP="00F834B0">
      <w:pPr>
        <w:spacing w:before="120" w:after="120" w:line="240" w:lineRule="auto"/>
        <w:ind w:left="0" w:firstLineChars="100" w:firstLine="220"/>
        <w:rPr>
          <w:rFonts w:eastAsia="바탕"/>
          <w:sz w:val="22"/>
          <w:szCs w:val="22"/>
          <w:lang w:eastAsia="ko-KR"/>
        </w:rPr>
      </w:pPr>
      <w:r>
        <w:rPr>
          <w:rFonts w:eastAsia="바탕"/>
          <w:sz w:val="22"/>
          <w:szCs w:val="22"/>
          <w:lang w:eastAsia="ko-KR"/>
        </w:rPr>
        <w:t>According to Table 1, the PRACH can be transmitted with the maximum allowed output power as long as the length of the PRACH preamble sequence is at least 420 (since 35 PRBs can be converted to 420 REs) for the 120 kHz subcarrier spacing. It means that the length of 571 PRACH sequence can be supported for 120 kHz subcarrier spacing and the length of 139 PRACH sequence can be supported for 480 and 960 kHz</w:t>
      </w:r>
      <w:r w:rsidR="00B00D1F">
        <w:rPr>
          <w:rFonts w:eastAsia="바탕"/>
          <w:sz w:val="22"/>
          <w:szCs w:val="22"/>
          <w:lang w:eastAsia="ko-KR"/>
        </w:rPr>
        <w:t xml:space="preserve"> </w:t>
      </w:r>
      <w:r>
        <w:rPr>
          <w:rFonts w:eastAsia="바탕"/>
          <w:sz w:val="22"/>
          <w:szCs w:val="22"/>
          <w:lang w:eastAsia="ko-KR"/>
        </w:rPr>
        <w:t xml:space="preserve">subcarrier spacing considering the regulatory requirements in ETSI EN 302 567. </w:t>
      </w:r>
    </w:p>
    <w:p w14:paraId="356811C0" w14:textId="26CDF05A" w:rsidR="00F834B0" w:rsidRDefault="00F834B0" w:rsidP="00F834B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the maximum peak conducted power depends on the transmission bandwidth in the FCC regulation (i.e., 27 dBm for BW &gt; 100MHz, and {500mW × emission-BW / 100MHz} for BW </w:t>
      </w:r>
      <w:r>
        <w:rPr>
          <w:rFonts w:eastAsia="바탕"/>
          <w:sz w:val="22"/>
          <w:szCs w:val="22"/>
          <w:u w:val="single"/>
          <w:lang w:eastAsia="ko-KR"/>
        </w:rPr>
        <w:t>&lt;</w:t>
      </w:r>
      <w:r>
        <w:rPr>
          <w:rFonts w:eastAsia="바탕"/>
          <w:sz w:val="22"/>
          <w:szCs w:val="22"/>
          <w:lang w:eastAsia="ko-KR"/>
        </w:rPr>
        <w:t xml:space="preserve"> 100 MHz), the length of 1151 </w:t>
      </w:r>
      <w:r w:rsidR="004B5ADD">
        <w:rPr>
          <w:rFonts w:eastAsia="바탕"/>
          <w:sz w:val="22"/>
          <w:szCs w:val="22"/>
          <w:lang w:eastAsia="ko-KR"/>
        </w:rPr>
        <w:t xml:space="preserve">PRACH sequence for 120 kHz and the length of 571 </w:t>
      </w:r>
      <w:r w:rsidR="009A0D29">
        <w:rPr>
          <w:rFonts w:eastAsia="바탕"/>
          <w:sz w:val="22"/>
          <w:szCs w:val="22"/>
          <w:lang w:eastAsia="ko-KR"/>
        </w:rPr>
        <w:t xml:space="preserve">PRACH sequence </w:t>
      </w:r>
      <w:r w:rsidR="004B5ADD">
        <w:rPr>
          <w:rFonts w:eastAsia="바탕"/>
          <w:sz w:val="22"/>
          <w:szCs w:val="22"/>
          <w:lang w:eastAsia="ko-KR"/>
        </w:rPr>
        <w:t>for 480</w:t>
      </w:r>
      <w:r w:rsidR="00167EC2">
        <w:rPr>
          <w:rFonts w:eastAsia="바탕"/>
          <w:sz w:val="22"/>
          <w:szCs w:val="22"/>
          <w:lang w:eastAsia="ko-KR"/>
        </w:rPr>
        <w:t xml:space="preserve">/960 </w:t>
      </w:r>
      <w:r w:rsidR="004B5ADD">
        <w:rPr>
          <w:rFonts w:eastAsia="바탕"/>
          <w:sz w:val="22"/>
          <w:szCs w:val="22"/>
          <w:lang w:eastAsia="ko-KR"/>
        </w:rPr>
        <w:t xml:space="preserve">kHz subcarrier spacing </w:t>
      </w:r>
      <w:r>
        <w:rPr>
          <w:rFonts w:eastAsia="바탕"/>
          <w:sz w:val="22"/>
          <w:szCs w:val="22"/>
          <w:lang w:eastAsia="ko-KR"/>
        </w:rPr>
        <w:t>can also be supported,</w:t>
      </w:r>
      <w:r w:rsidR="004B5ADD">
        <w:rPr>
          <w:rFonts w:eastAsia="바탕"/>
          <w:sz w:val="22"/>
          <w:szCs w:val="22"/>
          <w:lang w:eastAsia="ko-KR"/>
        </w:rPr>
        <w:t xml:space="preserve"> respectively</w:t>
      </w:r>
      <w:r w:rsidR="00656B30">
        <w:rPr>
          <w:rFonts w:eastAsia="바탕"/>
          <w:sz w:val="22"/>
          <w:szCs w:val="22"/>
          <w:lang w:eastAsia="ko-KR"/>
        </w:rPr>
        <w:t>,</w:t>
      </w:r>
      <w:r>
        <w:rPr>
          <w:rFonts w:eastAsia="바탕"/>
          <w:sz w:val="22"/>
          <w:szCs w:val="22"/>
          <w:lang w:eastAsia="ko-KR"/>
        </w:rPr>
        <w:t xml:space="preserve"> but it needs to clarify whether all of these lengths (i.e., L=139, 571, and 1151) of PRACH sequence are required in the licensed band where regulatory requirements are not defined on PSD limit.</w:t>
      </w:r>
    </w:p>
    <w:p w14:paraId="18A5D3F6" w14:textId="77777777" w:rsidR="00F834B0" w:rsidRDefault="00F834B0" w:rsidP="00F834B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However, there are other consideration points in addition to the PRACH sequence length in the 480 kHz and 960 kHz subcarrier spacing. Since the existing RA-RNTI was designed for a 10ms window, it should be noted that the number of slots in the 960 kHz subcarrier spacing is too large to cover all slots with the existing RNTI (i.e., it exceeds the range that can be expressed by 16-bits). Moreover, </w:t>
      </w:r>
      <w:r>
        <w:rPr>
          <w:rFonts w:eastAsia="바탕"/>
          <w:sz w:val="22"/>
          <w:szCs w:val="22"/>
          <w:lang w:val="x-none" w:eastAsia="ko-KR"/>
        </w:rPr>
        <w:t>if the new subcarrier spacing (i.e., 480/960 kHz) is supported for PRACH, a rule for determining RACH slot with high SCS such as 480/960 kHz is to be considered by reusing current RACH slot configuration table but re-interpreting RACH slot index.</w:t>
      </w:r>
    </w:p>
    <w:p w14:paraId="2CC14B07" w14:textId="77777777" w:rsidR="00F834B0" w:rsidRDefault="00F834B0" w:rsidP="00F834B0">
      <w:pPr>
        <w:spacing w:before="120" w:after="120" w:line="240" w:lineRule="auto"/>
        <w:ind w:left="0" w:firstLineChars="100" w:firstLine="220"/>
        <w:rPr>
          <w:rFonts w:eastAsia="바탕"/>
          <w:sz w:val="22"/>
          <w:szCs w:val="22"/>
          <w:lang w:eastAsia="ko-KR"/>
        </w:rPr>
      </w:pPr>
    </w:p>
    <w:p w14:paraId="0E680A09" w14:textId="5F2A1E1C" w:rsidR="00F834B0" w:rsidRPr="00BD54E4" w:rsidRDefault="00F834B0" w:rsidP="00F834B0">
      <w:pPr>
        <w:spacing w:before="120" w:after="120" w:line="240" w:lineRule="auto"/>
        <w:ind w:left="0" w:firstLineChars="100" w:firstLine="216"/>
        <w:rPr>
          <w:rFonts w:eastAsia="바탕"/>
          <w:b/>
          <w:sz w:val="22"/>
          <w:szCs w:val="22"/>
          <w:lang w:eastAsia="ko-KR"/>
        </w:rPr>
      </w:pPr>
      <w:r w:rsidRPr="00BD54E4">
        <w:rPr>
          <w:rFonts w:eastAsia="바탕"/>
          <w:b/>
          <w:sz w:val="22"/>
          <w:szCs w:val="22"/>
          <w:lang w:eastAsia="ko-KR"/>
        </w:rPr>
        <w:t>Proposal #</w:t>
      </w:r>
      <w:r w:rsidR="004B5ADD" w:rsidRPr="00BD54E4">
        <w:rPr>
          <w:rFonts w:eastAsia="바탕"/>
          <w:b/>
          <w:sz w:val="22"/>
          <w:szCs w:val="22"/>
          <w:lang w:eastAsia="ko-KR"/>
        </w:rPr>
        <w:t>3</w:t>
      </w:r>
      <w:r w:rsidRPr="00BD54E4">
        <w:rPr>
          <w:rFonts w:eastAsia="바탕"/>
          <w:b/>
          <w:sz w:val="22"/>
          <w:szCs w:val="22"/>
          <w:lang w:eastAsia="ko-KR"/>
        </w:rPr>
        <w:t>: The PRAC</w:t>
      </w:r>
      <w:r w:rsidR="00245E05" w:rsidRPr="00BD54E4">
        <w:rPr>
          <w:rFonts w:eastAsia="바탕"/>
          <w:b/>
          <w:sz w:val="22"/>
          <w:szCs w:val="22"/>
          <w:lang w:eastAsia="ko-KR"/>
        </w:rPr>
        <w:t xml:space="preserve">H sequence lengths </w:t>
      </w:r>
      <w:r w:rsidR="00094CCA">
        <w:rPr>
          <w:rFonts w:eastAsia="바탕"/>
          <w:b/>
          <w:sz w:val="22"/>
          <w:szCs w:val="22"/>
          <w:lang w:eastAsia="ko-KR"/>
        </w:rPr>
        <w:t xml:space="preserve">(i.e., L=139, </w:t>
      </w:r>
      <w:r w:rsidR="00813D26">
        <w:rPr>
          <w:rFonts w:eastAsia="바탕"/>
          <w:b/>
          <w:sz w:val="22"/>
          <w:szCs w:val="22"/>
          <w:lang w:eastAsia="ko-KR"/>
        </w:rPr>
        <w:t>L=571 and L=1</w:t>
      </w:r>
      <w:r w:rsidR="00094CCA">
        <w:rPr>
          <w:rFonts w:eastAsia="바탕"/>
          <w:b/>
          <w:sz w:val="22"/>
          <w:szCs w:val="22"/>
          <w:lang w:eastAsia="ko-KR"/>
        </w:rPr>
        <w:t>151)</w:t>
      </w:r>
      <w:r w:rsidR="00813D26">
        <w:rPr>
          <w:rFonts w:eastAsia="바탕"/>
          <w:b/>
          <w:sz w:val="22"/>
          <w:szCs w:val="22"/>
          <w:lang w:eastAsia="ko-KR"/>
        </w:rPr>
        <w:t xml:space="preserve"> </w:t>
      </w:r>
      <w:r w:rsidRPr="00BD54E4">
        <w:rPr>
          <w:rFonts w:eastAsia="바탕"/>
          <w:b/>
          <w:sz w:val="22"/>
          <w:szCs w:val="22"/>
          <w:lang w:eastAsia="ko-KR"/>
        </w:rPr>
        <w:t>can be supported for 120 kHz considering the regulatory requirements</w:t>
      </w:r>
      <w:r w:rsidR="006259EF">
        <w:rPr>
          <w:rFonts w:eastAsia="바탕"/>
          <w:b/>
          <w:sz w:val="22"/>
          <w:szCs w:val="22"/>
          <w:lang w:eastAsia="ko-KR"/>
        </w:rPr>
        <w:t xml:space="preserve"> </w:t>
      </w:r>
      <w:r w:rsidRPr="00BD54E4">
        <w:rPr>
          <w:rFonts w:eastAsia="바탕"/>
          <w:b/>
          <w:sz w:val="22"/>
          <w:szCs w:val="22"/>
          <w:lang w:eastAsia="ko-KR"/>
        </w:rPr>
        <w:t>in the unlicensed band but it needs to clarify whether all of these lengths of PRACH sequence are required in the licensed</w:t>
      </w:r>
      <w:r w:rsidR="00245E05" w:rsidRPr="00BD54E4">
        <w:rPr>
          <w:rFonts w:eastAsia="바탕"/>
          <w:b/>
          <w:sz w:val="22"/>
          <w:szCs w:val="22"/>
          <w:lang w:eastAsia="ko-KR"/>
        </w:rPr>
        <w:t xml:space="preserve"> </w:t>
      </w:r>
      <w:r w:rsidR="00245E05" w:rsidRPr="00775406">
        <w:rPr>
          <w:rFonts w:eastAsia="바탕"/>
          <w:b/>
          <w:sz w:val="22"/>
          <w:szCs w:val="22"/>
          <w:lang w:eastAsia="ko-KR"/>
        </w:rPr>
        <w:t>band where regulatory requirements are not defined on PSD limit.</w:t>
      </w:r>
    </w:p>
    <w:p w14:paraId="6823BAA1" w14:textId="77777777" w:rsidR="00F65BAB" w:rsidRPr="00F65BAB" w:rsidRDefault="00F65BAB" w:rsidP="00F65BAB">
      <w:pPr>
        <w:spacing w:before="120" w:after="120" w:line="240" w:lineRule="auto"/>
        <w:ind w:left="0" w:firstLineChars="100" w:firstLine="216"/>
        <w:rPr>
          <w:rFonts w:eastAsia="바탕"/>
          <w:b/>
          <w:sz w:val="22"/>
          <w:szCs w:val="22"/>
          <w:lang w:eastAsia="ko-KR"/>
        </w:rPr>
      </w:pPr>
      <w:r w:rsidRPr="00F65BAB">
        <w:rPr>
          <w:rFonts w:eastAsia="바탕"/>
          <w:b/>
          <w:sz w:val="22"/>
          <w:szCs w:val="22"/>
          <w:lang w:eastAsia="ko-KR"/>
        </w:rPr>
        <w:lastRenderedPageBreak/>
        <w:t xml:space="preserve">Proposal #4: If 480 or 960 kHz subcarrier spacing is supported for PRACH, the corresponding PRACH sequence length can be L=139 and/or L=571, and the following FFS points can be considered: </w:t>
      </w:r>
    </w:p>
    <w:p w14:paraId="3DBBB11E" w14:textId="77777777" w:rsidR="00F65BAB" w:rsidRPr="00F65BAB" w:rsidRDefault="00F65BAB" w:rsidP="00F65BAB">
      <w:pPr>
        <w:pStyle w:val="ac"/>
        <w:numPr>
          <w:ilvl w:val="0"/>
          <w:numId w:val="22"/>
        </w:numPr>
        <w:spacing w:before="120" w:after="120" w:line="240" w:lineRule="auto"/>
        <w:ind w:leftChars="0"/>
        <w:rPr>
          <w:rFonts w:ascii="Times New Roman" w:hAnsi="Times New Roman"/>
          <w:b/>
          <w:sz w:val="22"/>
          <w:szCs w:val="22"/>
          <w:lang w:eastAsia="ko-KR"/>
        </w:rPr>
      </w:pPr>
      <w:r w:rsidRPr="00F65BAB">
        <w:rPr>
          <w:rFonts w:ascii="Times New Roman" w:hAnsi="Times New Roman"/>
          <w:b/>
          <w:sz w:val="22"/>
          <w:szCs w:val="22"/>
          <w:lang w:eastAsia="ko-KR"/>
        </w:rPr>
        <w:t>How to express slot indexes within the 10ms window for 960 kHz subcarrier spacing PRACH by using existing 16 bits RA-RNTI</w:t>
      </w:r>
    </w:p>
    <w:p w14:paraId="6486B027" w14:textId="77777777" w:rsidR="00F65BAB" w:rsidRPr="00F65BAB" w:rsidRDefault="00F65BAB" w:rsidP="00F65BAB">
      <w:pPr>
        <w:pStyle w:val="ac"/>
        <w:numPr>
          <w:ilvl w:val="0"/>
          <w:numId w:val="22"/>
        </w:numPr>
        <w:spacing w:before="120" w:after="120" w:line="240" w:lineRule="auto"/>
        <w:ind w:leftChars="0"/>
        <w:rPr>
          <w:rFonts w:ascii="Times New Roman" w:hAnsi="Times New Roman"/>
          <w:b/>
          <w:sz w:val="22"/>
          <w:szCs w:val="22"/>
          <w:lang w:eastAsia="ko-KR"/>
        </w:rPr>
      </w:pPr>
      <w:r w:rsidRPr="00F65BAB">
        <w:rPr>
          <w:rFonts w:ascii="Times New Roman" w:hAnsi="Times New Roman"/>
          <w:b/>
          <w:sz w:val="22"/>
          <w:szCs w:val="22"/>
          <w:lang w:eastAsia="ko-KR"/>
        </w:rPr>
        <w:t>How to configure RACH slot for 480 or 960 kHz subcarrier spacing PRACH</w:t>
      </w:r>
    </w:p>
    <w:p w14:paraId="4855C17A" w14:textId="77777777" w:rsidR="00F834B0" w:rsidRPr="00F65BAB" w:rsidRDefault="00F834B0" w:rsidP="00F834B0">
      <w:pPr>
        <w:spacing w:before="120" w:after="120" w:line="240" w:lineRule="auto"/>
        <w:ind w:left="0" w:firstLineChars="100" w:firstLine="220"/>
        <w:rPr>
          <w:rFonts w:eastAsia="바탕"/>
          <w:sz w:val="22"/>
          <w:szCs w:val="22"/>
          <w:lang w:eastAsia="ko-KR"/>
        </w:rPr>
      </w:pPr>
    </w:p>
    <w:p w14:paraId="1CEC46BB" w14:textId="77777777" w:rsidR="00F834B0" w:rsidRDefault="00F834B0" w:rsidP="00F834B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There were many discussions on the support for RO configuration for non-consecutive RACH occasions (ROs) in time domain for operation in shared spectrum. The motivation of non-consecutive ROs is to provide the LBT gap between ROs. In Rel-16 NR-U, the solutions were proposed to create a gap between ROs using only the even or odd the RO or by inserting the symbol-level gap. However, the solution using only the even or odd RO may create larger gap than necessary considering the time units required for LBT in FR-X. Since smaller gap is better in terms of RO capacity, </w:t>
      </w:r>
      <w:r>
        <w:rPr>
          <w:rFonts w:eastAsia="바탕"/>
          <w:sz w:val="22"/>
          <w:szCs w:val="22"/>
          <w:lang w:val="x-none" w:eastAsia="ko-KR"/>
        </w:rPr>
        <w:t>inserting CCA gap between adjacent ROs in time domain by X usec or Y symbol(s) is preferred.</w:t>
      </w:r>
    </w:p>
    <w:p w14:paraId="2F622C81" w14:textId="77777777" w:rsidR="00F834B0" w:rsidRDefault="00F834B0" w:rsidP="00F834B0">
      <w:pPr>
        <w:spacing w:before="120" w:after="120" w:line="240" w:lineRule="auto"/>
        <w:ind w:left="0" w:firstLineChars="100" w:firstLine="220"/>
        <w:rPr>
          <w:rFonts w:eastAsia="바탕"/>
          <w:sz w:val="22"/>
          <w:szCs w:val="22"/>
          <w:lang w:val="x-none" w:eastAsia="ko-KR"/>
        </w:rPr>
      </w:pPr>
    </w:p>
    <w:p w14:paraId="64523005" w14:textId="1DBB2F70" w:rsidR="00F834B0" w:rsidRPr="00885EE7" w:rsidRDefault="00F834B0" w:rsidP="00F834B0">
      <w:pPr>
        <w:spacing w:before="120" w:after="120" w:line="240" w:lineRule="auto"/>
        <w:ind w:left="0" w:firstLineChars="100" w:firstLine="216"/>
        <w:rPr>
          <w:rFonts w:eastAsia="바탕"/>
          <w:b/>
          <w:sz w:val="22"/>
          <w:szCs w:val="22"/>
          <w:lang w:val="x-none" w:eastAsia="ko-KR"/>
        </w:rPr>
      </w:pPr>
      <w:r w:rsidRPr="00885EE7">
        <w:rPr>
          <w:rFonts w:eastAsia="바탕"/>
          <w:b/>
          <w:sz w:val="22"/>
          <w:szCs w:val="22"/>
          <w:lang w:val="x-none" w:eastAsia="ko-KR"/>
        </w:rPr>
        <w:t>Proposal #</w:t>
      </w:r>
      <w:r w:rsidR="00ED5B37" w:rsidRPr="00BD54E4">
        <w:rPr>
          <w:rFonts w:eastAsia="바탕"/>
          <w:b/>
          <w:sz w:val="22"/>
          <w:szCs w:val="22"/>
          <w:lang w:val="x-none" w:eastAsia="ko-KR"/>
        </w:rPr>
        <w:t>5</w:t>
      </w:r>
      <w:r w:rsidRPr="00BD54E4">
        <w:rPr>
          <w:rFonts w:eastAsia="바탕"/>
          <w:b/>
          <w:sz w:val="22"/>
          <w:szCs w:val="22"/>
          <w:lang w:val="x-none" w:eastAsia="ko-KR"/>
        </w:rPr>
        <w:t>: When LBT is used to transmit the PRACH preamble, consider to insert CCA gap between adjacent RACH occasions in time domain (e.g. X usec or Y symbol) to avoid inter-UE LBT blocking due to the propagation delay of</w:t>
      </w:r>
      <w:r w:rsidRPr="00885EE7">
        <w:rPr>
          <w:rFonts w:eastAsia="바탕"/>
          <w:b/>
          <w:sz w:val="22"/>
          <w:szCs w:val="22"/>
          <w:lang w:val="x-none" w:eastAsia="ko-KR"/>
        </w:rPr>
        <w:t xml:space="preserve"> PRACH transmitted in an earlier RO.</w:t>
      </w:r>
    </w:p>
    <w:p w14:paraId="0CECE441" w14:textId="77777777" w:rsidR="00F834B0" w:rsidRPr="00775406" w:rsidRDefault="00F834B0" w:rsidP="00BA3F52">
      <w:pPr>
        <w:spacing w:before="120" w:after="120" w:line="240" w:lineRule="auto"/>
        <w:ind w:left="0" w:firstLineChars="100" w:firstLine="220"/>
        <w:rPr>
          <w:rFonts w:eastAsia="바탕"/>
          <w:sz w:val="22"/>
          <w:szCs w:val="22"/>
          <w:lang w:val="x-none"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054FE128"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093B73">
        <w:rPr>
          <w:rFonts w:eastAsia="바탕"/>
          <w:bCs/>
          <w:sz w:val="22"/>
          <w:szCs w:val="22"/>
          <w:lang w:val="en-US" w:eastAsia="ko-KR"/>
        </w:rPr>
        <w:t xml:space="preserve">we discussed </w:t>
      </w:r>
      <w:r w:rsidR="00093B73" w:rsidRPr="005A5C15">
        <w:rPr>
          <w:rFonts w:eastAsia="바탕"/>
          <w:bCs/>
          <w:sz w:val="22"/>
          <w:szCs w:val="22"/>
          <w:lang w:val="en-US" w:eastAsia="ko-KR"/>
        </w:rPr>
        <w:t>SS</w:t>
      </w:r>
      <w:r w:rsidR="00093B73">
        <w:rPr>
          <w:rFonts w:eastAsia="바탕"/>
          <w:bCs/>
          <w:sz w:val="22"/>
          <w:szCs w:val="22"/>
          <w:lang w:val="en-US" w:eastAsia="ko-KR"/>
        </w:rPr>
        <w:t>/P</w:t>
      </w:r>
      <w:r w:rsidR="00093B73" w:rsidRPr="005A5C15">
        <w:rPr>
          <w:rFonts w:eastAsia="바탕"/>
          <w:bCs/>
          <w:sz w:val="22"/>
          <w:szCs w:val="22"/>
          <w:lang w:val="en-US" w:eastAsia="ko-KR"/>
        </w:rPr>
        <w:t>B</w:t>
      </w:r>
      <w:r w:rsidR="00093B73">
        <w:rPr>
          <w:rFonts w:eastAsia="바탕"/>
          <w:bCs/>
          <w:sz w:val="22"/>
          <w:szCs w:val="22"/>
          <w:lang w:val="en-US" w:eastAsia="ko-KR"/>
        </w:rPr>
        <w:t>CH block</w:t>
      </w:r>
      <w:r w:rsidR="00093B73" w:rsidRPr="005A5C15">
        <w:rPr>
          <w:rFonts w:eastAsia="바탕"/>
          <w:bCs/>
          <w:sz w:val="22"/>
          <w:szCs w:val="22"/>
          <w:lang w:val="en-US" w:eastAsia="ko-KR"/>
        </w:rPr>
        <w:t xml:space="preserve">, initial BWP, </w:t>
      </w:r>
      <w:r w:rsidR="00093B73">
        <w:rPr>
          <w:rFonts w:eastAsia="바탕"/>
          <w:bCs/>
          <w:sz w:val="22"/>
          <w:szCs w:val="22"/>
          <w:lang w:val="en-US" w:eastAsia="ko-KR"/>
        </w:rPr>
        <w:t xml:space="preserve">and </w:t>
      </w:r>
      <w:r w:rsidR="00093B73" w:rsidRPr="005A5C15">
        <w:rPr>
          <w:rFonts w:eastAsia="바탕"/>
          <w:bCs/>
          <w:sz w:val="22"/>
          <w:szCs w:val="22"/>
          <w:lang w:val="en-US" w:eastAsia="ko-KR"/>
        </w:rPr>
        <w:t>PRACH</w:t>
      </w:r>
      <w:r w:rsidR="00093B73" w:rsidDel="00093B73">
        <w:rPr>
          <w:rFonts w:eastAsia="바탕"/>
          <w:bCs/>
          <w:sz w:val="22"/>
          <w:szCs w:val="22"/>
          <w:lang w:val="en-US" w:eastAsia="ko-KR"/>
        </w:rPr>
        <w:t xml:space="preserve"> </w:t>
      </w:r>
      <w:r>
        <w:rPr>
          <w:rFonts w:eastAsia="바탕"/>
          <w:bCs/>
          <w:sz w:val="22"/>
          <w:szCs w:val="22"/>
          <w:lang w:val="en-US" w:eastAsia="ko-KR"/>
        </w:rPr>
        <w:t xml:space="preserve">to support NR in high frequency range (FR-X) from </w:t>
      </w:r>
      <w:r>
        <w:rPr>
          <w:rFonts w:eastAsia="바탕"/>
          <w:sz w:val="22"/>
          <w:szCs w:val="22"/>
          <w:lang w:eastAsia="ko-KR"/>
        </w:rPr>
        <w:t>52.6 GHz to 71 GHz</w:t>
      </w:r>
      <w:r w:rsidR="0091245C">
        <w:rPr>
          <w:rFonts w:eastAsia="바탕"/>
          <w:sz w:val="22"/>
          <w:szCs w:val="22"/>
          <w:lang w:eastAsia="ko-KR"/>
        </w:rPr>
        <w:t xml:space="preserve">, </w:t>
      </w:r>
      <w:r w:rsidR="00BC0709">
        <w:rPr>
          <w:rFonts w:eastAsia="바탕"/>
          <w:bCs/>
          <w:sz w:val="22"/>
          <w:szCs w:val="22"/>
          <w:lang w:val="en-US" w:eastAsia="ko-KR"/>
        </w:rPr>
        <w:t xml:space="preserve">and the followings </w:t>
      </w:r>
      <w:r w:rsidR="000E3140">
        <w:rPr>
          <w:rFonts w:eastAsia="바탕"/>
          <w:bCs/>
          <w:sz w:val="22"/>
          <w:szCs w:val="22"/>
          <w:lang w:val="en-US" w:eastAsia="ko-KR"/>
        </w:rPr>
        <w:t xml:space="preserve">were </w:t>
      </w:r>
      <w:r w:rsidR="00BC0709">
        <w:rPr>
          <w:rFonts w:eastAsia="바탕"/>
          <w:bCs/>
          <w:sz w:val="22"/>
          <w:szCs w:val="22"/>
          <w:lang w:val="en-US" w:eastAsia="ko-KR"/>
        </w:rPr>
        <w:t>proposed.</w:t>
      </w:r>
    </w:p>
    <w:p w14:paraId="78B0D461" w14:textId="77777777" w:rsidR="00093B73" w:rsidRDefault="00093B73" w:rsidP="00093B7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Pr>
          <w:rFonts w:eastAsia="바탕"/>
          <w:b/>
          <w:sz w:val="22"/>
          <w:szCs w:val="22"/>
          <w:lang w:eastAsia="ko-KR"/>
        </w:rPr>
        <w:t>Support 240 kHz SCS for SS/PBCH block in frequency range from 52.6 GHz to 71 GHz.</w:t>
      </w:r>
    </w:p>
    <w:p w14:paraId="4BB71DCE" w14:textId="77777777" w:rsidR="00093B73" w:rsidRPr="00BA3F52" w:rsidRDefault="00093B73" w:rsidP="00093B73">
      <w:pPr>
        <w:spacing w:before="120" w:after="120" w:line="240" w:lineRule="auto"/>
        <w:ind w:left="0" w:firstLineChars="100" w:firstLine="216"/>
        <w:rPr>
          <w:rFonts w:eastAsia="바탕"/>
          <w:b/>
          <w:sz w:val="22"/>
          <w:szCs w:val="22"/>
          <w:lang w:eastAsia="ko-KR"/>
        </w:rPr>
      </w:pPr>
      <w:r w:rsidRPr="00BA3F52">
        <w:rPr>
          <w:rFonts w:eastAsia="바탕"/>
          <w:b/>
          <w:sz w:val="22"/>
          <w:szCs w:val="22"/>
          <w:lang w:eastAsia="ko-KR"/>
        </w:rPr>
        <w:t xml:space="preserve">Proposal #2: </w:t>
      </w:r>
      <w:r w:rsidRPr="00BA3F52">
        <w:rPr>
          <w:rFonts w:eastAsia="바탕" w:hint="eastAsia"/>
          <w:b/>
          <w:sz w:val="22"/>
          <w:szCs w:val="22"/>
          <w:lang w:eastAsia="ko-KR"/>
        </w:rPr>
        <w:t xml:space="preserve">For SS/PBCH </w:t>
      </w:r>
      <w:r w:rsidRPr="00BA3F52">
        <w:rPr>
          <w:rFonts w:eastAsia="바탕"/>
          <w:b/>
          <w:sz w:val="22"/>
          <w:szCs w:val="22"/>
          <w:lang w:eastAsia="ko-KR"/>
        </w:rPr>
        <w:t xml:space="preserve">block with 480 and/or 960 kHz SCS, the following three alternatives can be </w:t>
      </w:r>
      <w:r>
        <w:rPr>
          <w:rFonts w:eastAsia="바탕"/>
          <w:b/>
          <w:sz w:val="22"/>
          <w:szCs w:val="22"/>
          <w:lang w:eastAsia="ko-KR"/>
        </w:rPr>
        <w:t>taken into account</w:t>
      </w:r>
      <w:r w:rsidRPr="00BA3F52">
        <w:rPr>
          <w:rFonts w:eastAsia="바탕"/>
          <w:b/>
          <w:sz w:val="22"/>
          <w:szCs w:val="22"/>
          <w:lang w:eastAsia="ko-KR"/>
        </w:rPr>
        <w:t xml:space="preserve"> and Alt 3 is preferred considering </w:t>
      </w:r>
      <w:r>
        <w:rPr>
          <w:rFonts w:eastAsia="바탕"/>
          <w:b/>
          <w:sz w:val="22"/>
          <w:szCs w:val="22"/>
          <w:lang w:eastAsia="ko-KR"/>
        </w:rPr>
        <w:t xml:space="preserve">no </w:t>
      </w:r>
      <w:r w:rsidRPr="00BA3F52">
        <w:rPr>
          <w:rFonts w:eastAsia="바탕"/>
          <w:b/>
          <w:sz w:val="22"/>
          <w:szCs w:val="22"/>
          <w:lang w:eastAsia="ko-KR"/>
        </w:rPr>
        <w:t>specification impact and CSI-RS as an alternative of SS/PBCH block in most use cases.</w:t>
      </w:r>
    </w:p>
    <w:p w14:paraId="4AFF48DE" w14:textId="77777777" w:rsidR="00093B73" w:rsidRPr="00BA3F52" w:rsidRDefault="00093B73" w:rsidP="00093B73">
      <w:pPr>
        <w:pStyle w:val="ac"/>
        <w:numPr>
          <w:ilvl w:val="1"/>
          <w:numId w:val="19"/>
        </w:numPr>
        <w:spacing w:before="120" w:after="120" w:line="240" w:lineRule="auto"/>
        <w:ind w:leftChars="0"/>
        <w:rPr>
          <w:rFonts w:ascii="Times New Roman" w:hAnsi="Times New Roman"/>
          <w:b/>
          <w:sz w:val="22"/>
          <w:szCs w:val="22"/>
          <w:lang w:val="en-GB" w:eastAsia="ko-KR"/>
        </w:rPr>
      </w:pPr>
      <w:r w:rsidRPr="00BA3F52">
        <w:rPr>
          <w:rFonts w:ascii="Times New Roman" w:hAnsi="Times New Roman"/>
          <w:b/>
          <w:sz w:val="22"/>
          <w:szCs w:val="22"/>
          <w:lang w:val="en-GB" w:eastAsia="ko-KR"/>
        </w:rPr>
        <w:t xml:space="preserve">Alt 1: Support </w:t>
      </w:r>
      <w:r w:rsidRPr="00BA3F52">
        <w:rPr>
          <w:rFonts w:ascii="Times New Roman" w:hAnsi="Times New Roman" w:hint="eastAsia"/>
          <w:b/>
          <w:sz w:val="22"/>
          <w:szCs w:val="22"/>
          <w:lang w:val="en-GB" w:eastAsia="ko-KR"/>
        </w:rPr>
        <w:t xml:space="preserve">SS/PBCH </w:t>
      </w:r>
      <w:r w:rsidRPr="00BA3F52">
        <w:rPr>
          <w:rFonts w:ascii="Times New Roman" w:hAnsi="Times New Roman"/>
          <w:b/>
          <w:sz w:val="22"/>
          <w:szCs w:val="22"/>
          <w:lang w:val="en-GB" w:eastAsia="ko-KR"/>
        </w:rPr>
        <w:t>block with 480 and/or 960 kHz SCS for all cases</w:t>
      </w:r>
    </w:p>
    <w:p w14:paraId="3E9B4F1B" w14:textId="77777777" w:rsidR="00093B73" w:rsidRPr="00BA3F52" w:rsidRDefault="00093B73" w:rsidP="00093B73">
      <w:pPr>
        <w:pStyle w:val="ac"/>
        <w:numPr>
          <w:ilvl w:val="1"/>
          <w:numId w:val="19"/>
        </w:numPr>
        <w:spacing w:before="120" w:after="120" w:line="240" w:lineRule="auto"/>
        <w:ind w:leftChars="0"/>
        <w:rPr>
          <w:rFonts w:ascii="Times New Roman" w:hAnsi="Times New Roman"/>
          <w:b/>
          <w:sz w:val="22"/>
          <w:szCs w:val="22"/>
          <w:lang w:val="en-GB" w:eastAsia="ko-KR"/>
        </w:rPr>
      </w:pPr>
      <w:r w:rsidRPr="00BA3F52">
        <w:rPr>
          <w:rFonts w:ascii="Times New Roman" w:hAnsi="Times New Roman"/>
          <w:b/>
          <w:sz w:val="22"/>
          <w:szCs w:val="22"/>
          <w:lang w:val="en-GB" w:eastAsia="ko-KR"/>
        </w:rPr>
        <w:t xml:space="preserve">Alt 2: Support </w:t>
      </w:r>
      <w:r w:rsidRPr="00BA3F52">
        <w:rPr>
          <w:rFonts w:ascii="Times New Roman" w:hAnsi="Times New Roman" w:hint="eastAsia"/>
          <w:b/>
          <w:sz w:val="22"/>
          <w:szCs w:val="22"/>
          <w:lang w:val="en-GB" w:eastAsia="ko-KR"/>
        </w:rPr>
        <w:t xml:space="preserve">SS/PBCH </w:t>
      </w:r>
      <w:r w:rsidRPr="00BA3F52">
        <w:rPr>
          <w:rFonts w:ascii="Times New Roman" w:hAnsi="Times New Roman"/>
          <w:b/>
          <w:sz w:val="22"/>
          <w:szCs w:val="22"/>
          <w:lang w:val="en-GB" w:eastAsia="ko-KR"/>
        </w:rPr>
        <w:t>block with 480 and/or 960 kHz SCS for cases other than initial access</w:t>
      </w:r>
    </w:p>
    <w:p w14:paraId="67368C35" w14:textId="77777777" w:rsidR="00093B73" w:rsidRPr="00BA3F52" w:rsidRDefault="00093B73" w:rsidP="00093B73">
      <w:pPr>
        <w:pStyle w:val="ac"/>
        <w:numPr>
          <w:ilvl w:val="1"/>
          <w:numId w:val="19"/>
        </w:numPr>
        <w:spacing w:before="120" w:after="120" w:line="240" w:lineRule="auto"/>
        <w:ind w:leftChars="0"/>
        <w:rPr>
          <w:rFonts w:ascii="Times New Roman" w:hAnsi="Times New Roman"/>
          <w:b/>
          <w:sz w:val="22"/>
          <w:szCs w:val="22"/>
          <w:lang w:val="en-GB" w:eastAsia="ko-KR"/>
        </w:rPr>
      </w:pPr>
      <w:r w:rsidRPr="00BA3F52">
        <w:rPr>
          <w:rFonts w:ascii="Times New Roman" w:hAnsi="Times New Roman"/>
          <w:b/>
          <w:sz w:val="22"/>
          <w:szCs w:val="22"/>
          <w:lang w:val="en-GB" w:eastAsia="ko-KR"/>
        </w:rPr>
        <w:t xml:space="preserve">Alt 3: Do not support </w:t>
      </w:r>
      <w:r w:rsidRPr="00BA3F52">
        <w:rPr>
          <w:rFonts w:ascii="Times New Roman" w:hAnsi="Times New Roman" w:hint="eastAsia"/>
          <w:b/>
          <w:sz w:val="22"/>
          <w:szCs w:val="22"/>
          <w:lang w:val="en-GB" w:eastAsia="ko-KR"/>
        </w:rPr>
        <w:t xml:space="preserve">SS/PBCH </w:t>
      </w:r>
      <w:r w:rsidRPr="00BA3F52">
        <w:rPr>
          <w:rFonts w:ascii="Times New Roman" w:hAnsi="Times New Roman"/>
          <w:b/>
          <w:sz w:val="22"/>
          <w:szCs w:val="22"/>
          <w:lang w:val="en-GB" w:eastAsia="ko-KR"/>
        </w:rPr>
        <w:t>block with 480 and/or 960 kHz SCS for any case</w:t>
      </w:r>
    </w:p>
    <w:p w14:paraId="2CFD5DBF" w14:textId="77777777" w:rsidR="00A71057" w:rsidRDefault="00A71057" w:rsidP="0007321C">
      <w:pPr>
        <w:spacing w:before="120" w:after="120" w:line="240" w:lineRule="auto"/>
        <w:ind w:left="0" w:firstLineChars="100" w:firstLine="216"/>
        <w:rPr>
          <w:rFonts w:eastAsia="바탕"/>
          <w:b/>
          <w:sz w:val="22"/>
          <w:szCs w:val="22"/>
          <w:lang w:eastAsia="ko-KR"/>
        </w:rPr>
      </w:pPr>
    </w:p>
    <w:p w14:paraId="639409AC" w14:textId="77777777" w:rsidR="00A71057" w:rsidRPr="00BD54E4" w:rsidRDefault="00A71057" w:rsidP="00A71057">
      <w:pPr>
        <w:spacing w:before="120" w:after="120" w:line="240" w:lineRule="auto"/>
        <w:ind w:left="0" w:firstLineChars="100" w:firstLine="216"/>
        <w:rPr>
          <w:rFonts w:eastAsia="바탕"/>
          <w:b/>
          <w:sz w:val="22"/>
          <w:szCs w:val="22"/>
          <w:lang w:eastAsia="ko-KR"/>
        </w:rPr>
      </w:pPr>
      <w:r w:rsidRPr="00BD54E4">
        <w:rPr>
          <w:rFonts w:eastAsia="바탕"/>
          <w:b/>
          <w:sz w:val="22"/>
          <w:szCs w:val="22"/>
          <w:lang w:eastAsia="ko-KR"/>
        </w:rPr>
        <w:t xml:space="preserve">Proposal #3: The PRACH sequence lengths </w:t>
      </w:r>
      <w:r>
        <w:rPr>
          <w:rFonts w:eastAsia="바탕"/>
          <w:b/>
          <w:sz w:val="22"/>
          <w:szCs w:val="22"/>
          <w:lang w:eastAsia="ko-KR"/>
        </w:rPr>
        <w:t xml:space="preserve">(i.e., L=139, L=571 and L=1151) </w:t>
      </w:r>
      <w:r w:rsidRPr="00BD54E4">
        <w:rPr>
          <w:rFonts w:eastAsia="바탕"/>
          <w:b/>
          <w:sz w:val="22"/>
          <w:szCs w:val="22"/>
          <w:lang w:eastAsia="ko-KR"/>
        </w:rPr>
        <w:t>can be supported for 120 kHz considering the regulatory requirements</w:t>
      </w:r>
      <w:r>
        <w:rPr>
          <w:rFonts w:eastAsia="바탕"/>
          <w:b/>
          <w:sz w:val="22"/>
          <w:szCs w:val="22"/>
          <w:lang w:eastAsia="ko-KR"/>
        </w:rPr>
        <w:t xml:space="preserve"> </w:t>
      </w:r>
      <w:r w:rsidRPr="00BD54E4">
        <w:rPr>
          <w:rFonts w:eastAsia="바탕"/>
          <w:b/>
          <w:sz w:val="22"/>
          <w:szCs w:val="22"/>
          <w:lang w:eastAsia="ko-KR"/>
        </w:rPr>
        <w:t xml:space="preserve">in the unlicensed band but it needs to clarify whether all </w:t>
      </w:r>
      <w:r w:rsidRPr="00BD54E4">
        <w:rPr>
          <w:rFonts w:eastAsia="바탕"/>
          <w:b/>
          <w:sz w:val="22"/>
          <w:szCs w:val="22"/>
          <w:lang w:eastAsia="ko-KR"/>
        </w:rPr>
        <w:lastRenderedPageBreak/>
        <w:t xml:space="preserve">of these lengths of PRACH sequence are required in the licensed </w:t>
      </w:r>
      <w:r w:rsidRPr="00775406">
        <w:rPr>
          <w:rFonts w:eastAsia="바탕"/>
          <w:b/>
          <w:sz w:val="22"/>
          <w:szCs w:val="22"/>
          <w:lang w:eastAsia="ko-KR"/>
        </w:rPr>
        <w:t>band where regulatory requirements are not defined on PSD limit.</w:t>
      </w:r>
    </w:p>
    <w:p w14:paraId="41440159" w14:textId="77777777" w:rsidR="00A71057" w:rsidRPr="00F65BAB" w:rsidRDefault="00A71057" w:rsidP="00A71057">
      <w:pPr>
        <w:spacing w:before="120" w:after="120" w:line="240" w:lineRule="auto"/>
        <w:ind w:left="0" w:firstLineChars="100" w:firstLine="216"/>
        <w:rPr>
          <w:rFonts w:eastAsia="바탕"/>
          <w:b/>
          <w:sz w:val="22"/>
          <w:szCs w:val="22"/>
          <w:lang w:eastAsia="ko-KR"/>
        </w:rPr>
      </w:pPr>
      <w:r w:rsidRPr="00F65BAB">
        <w:rPr>
          <w:rFonts w:eastAsia="바탕"/>
          <w:b/>
          <w:sz w:val="22"/>
          <w:szCs w:val="22"/>
          <w:lang w:eastAsia="ko-KR"/>
        </w:rPr>
        <w:t xml:space="preserve">Proposal #4: If 480 or 960 kHz subcarrier spacing is supported for PRACH, the corresponding PRACH sequence length can be L=139 and/or L=571, and the following FFS points can be considered: </w:t>
      </w:r>
    </w:p>
    <w:p w14:paraId="68F48274" w14:textId="77777777" w:rsidR="00A71057" w:rsidRPr="00F65BAB" w:rsidRDefault="00A71057" w:rsidP="00A71057">
      <w:pPr>
        <w:pStyle w:val="ac"/>
        <w:numPr>
          <w:ilvl w:val="0"/>
          <w:numId w:val="22"/>
        </w:numPr>
        <w:spacing w:before="120" w:after="120" w:line="240" w:lineRule="auto"/>
        <w:ind w:leftChars="0"/>
        <w:rPr>
          <w:rFonts w:ascii="Times New Roman" w:hAnsi="Times New Roman"/>
          <w:b/>
          <w:sz w:val="22"/>
          <w:szCs w:val="22"/>
          <w:lang w:eastAsia="ko-KR"/>
        </w:rPr>
      </w:pPr>
      <w:r w:rsidRPr="00F65BAB">
        <w:rPr>
          <w:rFonts w:ascii="Times New Roman" w:hAnsi="Times New Roman"/>
          <w:b/>
          <w:sz w:val="22"/>
          <w:szCs w:val="22"/>
          <w:lang w:eastAsia="ko-KR"/>
        </w:rPr>
        <w:t>How to express slot indexes within the 10ms window for 960 kHz subcarrier spacing PRACH by using existing 16 bits RA-RNTI</w:t>
      </w:r>
    </w:p>
    <w:p w14:paraId="073D9527" w14:textId="77777777" w:rsidR="00A71057" w:rsidRPr="00F65BAB" w:rsidRDefault="00A71057" w:rsidP="00A71057">
      <w:pPr>
        <w:pStyle w:val="ac"/>
        <w:numPr>
          <w:ilvl w:val="0"/>
          <w:numId w:val="22"/>
        </w:numPr>
        <w:spacing w:before="120" w:after="120" w:line="240" w:lineRule="auto"/>
        <w:ind w:leftChars="0"/>
        <w:rPr>
          <w:rFonts w:ascii="Times New Roman" w:hAnsi="Times New Roman"/>
          <w:b/>
          <w:sz w:val="22"/>
          <w:szCs w:val="22"/>
          <w:lang w:eastAsia="ko-KR"/>
        </w:rPr>
      </w:pPr>
      <w:r w:rsidRPr="00F65BAB">
        <w:rPr>
          <w:rFonts w:ascii="Times New Roman" w:hAnsi="Times New Roman"/>
          <w:b/>
          <w:sz w:val="22"/>
          <w:szCs w:val="22"/>
          <w:lang w:eastAsia="ko-KR"/>
        </w:rPr>
        <w:t>How to configure RACH slot for 480 or 960 kHz subcarrier spacing PRACH</w:t>
      </w:r>
    </w:p>
    <w:p w14:paraId="0A7B1A48" w14:textId="3A90B0EB" w:rsidR="00D1015E" w:rsidRPr="008D0222" w:rsidRDefault="00033E2C" w:rsidP="00D1015E">
      <w:pPr>
        <w:spacing w:before="120" w:after="120" w:line="240" w:lineRule="auto"/>
        <w:ind w:left="0" w:firstLineChars="100" w:firstLine="216"/>
        <w:rPr>
          <w:rFonts w:eastAsia="바탕"/>
          <w:b/>
          <w:sz w:val="22"/>
          <w:szCs w:val="22"/>
          <w:lang w:val="x-none" w:eastAsia="ko-KR"/>
        </w:rPr>
      </w:pPr>
      <w:r w:rsidRPr="00885EE7">
        <w:rPr>
          <w:rFonts w:eastAsia="바탕"/>
          <w:b/>
          <w:sz w:val="22"/>
          <w:szCs w:val="22"/>
          <w:lang w:val="x-none" w:eastAsia="ko-KR"/>
        </w:rPr>
        <w:t>Proposal #</w:t>
      </w:r>
      <w:r w:rsidRPr="00BD54E4">
        <w:rPr>
          <w:rFonts w:eastAsia="바탕"/>
          <w:b/>
          <w:sz w:val="22"/>
          <w:szCs w:val="22"/>
          <w:lang w:val="x-none" w:eastAsia="ko-KR"/>
        </w:rPr>
        <w:t>5: When LBT is used to transmit the PRACH preamble, consider to insert CCA gap between adjacent RACH occasions in time domain (e.g. X usec or Y symbol) to avoid inter-UE LBT blocking due to the propagation delay of</w:t>
      </w:r>
      <w:r w:rsidRPr="00885EE7">
        <w:rPr>
          <w:rFonts w:eastAsia="바탕"/>
          <w:b/>
          <w:sz w:val="22"/>
          <w:szCs w:val="22"/>
          <w:lang w:val="x-none" w:eastAsia="ko-KR"/>
        </w:rPr>
        <w:t xml:space="preserve"> PRACH transmitted in an earlier RO.</w:t>
      </w:r>
    </w:p>
    <w:p w14:paraId="21994FC9" w14:textId="77777777" w:rsidR="001F25D5" w:rsidRPr="001F25D5" w:rsidRDefault="001F25D5" w:rsidP="00E3636D">
      <w:pPr>
        <w:spacing w:before="120" w:after="120" w:line="240" w:lineRule="auto"/>
        <w:ind w:left="284" w:hangingChars="129"/>
        <w:rPr>
          <w:rFonts w:eastAsia="바탕"/>
          <w:sz w:val="22"/>
          <w:szCs w:val="22"/>
          <w:lang w:eastAsia="ko-KR"/>
        </w:rPr>
      </w:pPr>
    </w:p>
    <w:p w14:paraId="193ABE8F"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14:paraId="61533C30" w14:textId="77777777" w:rsidR="005A5C15" w:rsidRPr="00D70999" w:rsidRDefault="005A5C15" w:rsidP="005A5C15">
      <w:pPr>
        <w:pStyle w:val="References"/>
        <w:rPr>
          <w:lang w:eastAsia="ko-KR"/>
        </w:rPr>
      </w:pPr>
      <w:r w:rsidRPr="00A062E1">
        <w:rPr>
          <w:rFonts w:eastAsiaTheme="minorEastAsia"/>
          <w:szCs w:val="22"/>
          <w:lang w:eastAsia="ko-KR"/>
        </w:rPr>
        <w:t>RP-202925</w:t>
      </w:r>
      <w:r w:rsidRPr="00D70999">
        <w:rPr>
          <w:lang w:eastAsia="ko-KR"/>
        </w:rPr>
        <w:t>, “</w:t>
      </w:r>
      <w:r w:rsidRPr="00A062E1">
        <w:rPr>
          <w:lang w:eastAsia="ko-KR"/>
        </w:rPr>
        <w:t>Revised WID:  Extending current NR operation to 71 GHz</w:t>
      </w:r>
      <w:r w:rsidRPr="00D70999">
        <w:rPr>
          <w:lang w:eastAsia="ko-KR"/>
        </w:rPr>
        <w:t>”, RAN#</w:t>
      </w:r>
      <w:r>
        <w:rPr>
          <w:lang w:eastAsia="ko-KR"/>
        </w:rPr>
        <w:t>90</w:t>
      </w:r>
      <w:r w:rsidRPr="00D70999">
        <w:rPr>
          <w:lang w:eastAsia="ko-KR"/>
        </w:rPr>
        <w:t xml:space="preserve">, </w:t>
      </w:r>
      <w:r>
        <w:rPr>
          <w:lang w:eastAsia="ko-KR"/>
        </w:rPr>
        <w:t>CMCC</w:t>
      </w:r>
    </w:p>
    <w:p w14:paraId="3CC72516" w14:textId="77777777" w:rsidR="00164BFC" w:rsidRDefault="00164BFC" w:rsidP="00E3636D">
      <w:pPr>
        <w:spacing w:before="120" w:after="120" w:line="240" w:lineRule="auto"/>
        <w:ind w:left="284" w:hangingChars="129"/>
        <w:rPr>
          <w:rFonts w:eastAsia="바탕"/>
          <w:sz w:val="22"/>
          <w:szCs w:val="22"/>
          <w:lang w:eastAsia="ko-KR"/>
        </w:rPr>
      </w:pPr>
    </w:p>
    <w:sectPr w:rsidR="00164BF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7A36B" w14:textId="77777777" w:rsidR="002D67AC" w:rsidRDefault="002D67AC" w:rsidP="00CB15B0">
      <w:pPr>
        <w:spacing w:before="0" w:after="0" w:line="240" w:lineRule="auto"/>
      </w:pPr>
      <w:r>
        <w:separator/>
      </w:r>
    </w:p>
  </w:endnote>
  <w:endnote w:type="continuationSeparator" w:id="0">
    <w:p w14:paraId="71D464B6" w14:textId="77777777" w:rsidR="002D67AC" w:rsidRDefault="002D67A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F7E48" w14:textId="77777777" w:rsidR="002D67AC" w:rsidRDefault="002D67AC" w:rsidP="00CB15B0">
      <w:pPr>
        <w:spacing w:before="0" w:after="0" w:line="240" w:lineRule="auto"/>
      </w:pPr>
      <w:r>
        <w:separator/>
      </w:r>
    </w:p>
  </w:footnote>
  <w:footnote w:type="continuationSeparator" w:id="0">
    <w:p w14:paraId="37C137D8" w14:textId="77777777" w:rsidR="002D67AC" w:rsidRDefault="002D67A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FE61B1"/>
    <w:multiLevelType w:val="hybridMultilevel"/>
    <w:tmpl w:val="399C794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7" w15:restartNumberingAfterBreak="0">
    <w:nsid w:val="1E206526"/>
    <w:multiLevelType w:val="hybridMultilevel"/>
    <w:tmpl w:val="7F008CC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2F6BE5"/>
    <w:multiLevelType w:val="hybridMultilevel"/>
    <w:tmpl w:val="D03AB696"/>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3"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0"/>
  </w:num>
  <w:num w:numId="3">
    <w:abstractNumId w:val="12"/>
  </w:num>
  <w:num w:numId="4">
    <w:abstractNumId w:val="8"/>
  </w:num>
  <w:num w:numId="5">
    <w:abstractNumId w:val="4"/>
  </w:num>
  <w:num w:numId="6">
    <w:abstractNumId w:val="10"/>
  </w:num>
  <w:num w:numId="7">
    <w:abstractNumId w:val="11"/>
  </w:num>
  <w:num w:numId="8">
    <w:abstractNumId w:val="1"/>
  </w:num>
  <w:num w:numId="9">
    <w:abstractNumId w:val="3"/>
  </w:num>
  <w:num w:numId="10">
    <w:abstractNumId w:val="2"/>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9"/>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3E2C"/>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21C"/>
    <w:rsid w:val="0007332D"/>
    <w:rsid w:val="00073DBA"/>
    <w:rsid w:val="00073E3B"/>
    <w:rsid w:val="000745A2"/>
    <w:rsid w:val="000747B6"/>
    <w:rsid w:val="00074AB8"/>
    <w:rsid w:val="00074B3A"/>
    <w:rsid w:val="00074B5E"/>
    <w:rsid w:val="00074E79"/>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3B73"/>
    <w:rsid w:val="000941F4"/>
    <w:rsid w:val="00094CCA"/>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ADE"/>
    <w:rsid w:val="00103E67"/>
    <w:rsid w:val="00103EC3"/>
    <w:rsid w:val="001045BD"/>
    <w:rsid w:val="00104786"/>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DE"/>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528"/>
    <w:rsid w:val="001669FB"/>
    <w:rsid w:val="00167055"/>
    <w:rsid w:val="001671D3"/>
    <w:rsid w:val="00167245"/>
    <w:rsid w:val="001679AB"/>
    <w:rsid w:val="00167EC2"/>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51E"/>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C9"/>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5E05"/>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7F0"/>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1D1"/>
    <w:rsid w:val="00272632"/>
    <w:rsid w:val="00273088"/>
    <w:rsid w:val="002737F3"/>
    <w:rsid w:val="0027491D"/>
    <w:rsid w:val="002749B8"/>
    <w:rsid w:val="002774E4"/>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87C6D"/>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2A3"/>
    <w:rsid w:val="002955E1"/>
    <w:rsid w:val="00295624"/>
    <w:rsid w:val="002966CC"/>
    <w:rsid w:val="00296D4B"/>
    <w:rsid w:val="002971E5"/>
    <w:rsid w:val="00297A3B"/>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C7F87"/>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7AC"/>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515"/>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6D74"/>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1E5"/>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961"/>
    <w:rsid w:val="00474D98"/>
    <w:rsid w:val="00474E8D"/>
    <w:rsid w:val="00475034"/>
    <w:rsid w:val="00475228"/>
    <w:rsid w:val="004756F9"/>
    <w:rsid w:val="00475EE1"/>
    <w:rsid w:val="00475F81"/>
    <w:rsid w:val="00480B92"/>
    <w:rsid w:val="00480C89"/>
    <w:rsid w:val="00480CCF"/>
    <w:rsid w:val="00480E68"/>
    <w:rsid w:val="00480E6A"/>
    <w:rsid w:val="004813F9"/>
    <w:rsid w:val="00481476"/>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5B"/>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39"/>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ADD"/>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48"/>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1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66D9"/>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36A"/>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C52"/>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EF"/>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30"/>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36CA"/>
    <w:rsid w:val="00664B4E"/>
    <w:rsid w:val="00664B53"/>
    <w:rsid w:val="006653C0"/>
    <w:rsid w:val="0066568E"/>
    <w:rsid w:val="00665E4E"/>
    <w:rsid w:val="00665E61"/>
    <w:rsid w:val="00666074"/>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B9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406"/>
    <w:rsid w:val="0077593C"/>
    <w:rsid w:val="00775992"/>
    <w:rsid w:val="0077647A"/>
    <w:rsid w:val="007768BD"/>
    <w:rsid w:val="00776A68"/>
    <w:rsid w:val="00776C8E"/>
    <w:rsid w:val="007777B7"/>
    <w:rsid w:val="00777A65"/>
    <w:rsid w:val="00777B35"/>
    <w:rsid w:val="00777BE1"/>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16EC"/>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26"/>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2FA"/>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5EE7"/>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4E9E"/>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222"/>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29"/>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786"/>
    <w:rsid w:val="009D08E1"/>
    <w:rsid w:val="009D093F"/>
    <w:rsid w:val="009D0A22"/>
    <w:rsid w:val="009D1231"/>
    <w:rsid w:val="009D136B"/>
    <w:rsid w:val="009D1692"/>
    <w:rsid w:val="009D16E5"/>
    <w:rsid w:val="009D20EF"/>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057"/>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21CE"/>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46A"/>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085"/>
    <w:rsid w:val="00AF41E5"/>
    <w:rsid w:val="00AF4617"/>
    <w:rsid w:val="00AF589A"/>
    <w:rsid w:val="00AF5A9F"/>
    <w:rsid w:val="00AF6249"/>
    <w:rsid w:val="00AF624B"/>
    <w:rsid w:val="00AF631F"/>
    <w:rsid w:val="00AF6F0A"/>
    <w:rsid w:val="00AF7C65"/>
    <w:rsid w:val="00B0049A"/>
    <w:rsid w:val="00B00662"/>
    <w:rsid w:val="00B00979"/>
    <w:rsid w:val="00B00D1F"/>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3F52"/>
    <w:rsid w:val="00BA405D"/>
    <w:rsid w:val="00BA41F4"/>
    <w:rsid w:val="00BA4311"/>
    <w:rsid w:val="00BA437B"/>
    <w:rsid w:val="00BA4390"/>
    <w:rsid w:val="00BA449D"/>
    <w:rsid w:val="00BA4FEE"/>
    <w:rsid w:val="00BA528D"/>
    <w:rsid w:val="00BA55B6"/>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4E4"/>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529"/>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2E0"/>
    <w:rsid w:val="00C974D7"/>
    <w:rsid w:val="00C97A36"/>
    <w:rsid w:val="00CA0385"/>
    <w:rsid w:val="00CA055B"/>
    <w:rsid w:val="00CA0A43"/>
    <w:rsid w:val="00CA0C6C"/>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82"/>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3EA6"/>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941"/>
    <w:rsid w:val="00D03E2C"/>
    <w:rsid w:val="00D04134"/>
    <w:rsid w:val="00D0437D"/>
    <w:rsid w:val="00D056D0"/>
    <w:rsid w:val="00D05F03"/>
    <w:rsid w:val="00D06431"/>
    <w:rsid w:val="00D0645C"/>
    <w:rsid w:val="00D065D6"/>
    <w:rsid w:val="00D06AC9"/>
    <w:rsid w:val="00D06BAC"/>
    <w:rsid w:val="00D070C4"/>
    <w:rsid w:val="00D070F6"/>
    <w:rsid w:val="00D07BC6"/>
    <w:rsid w:val="00D1015E"/>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56"/>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8EE"/>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56C"/>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935"/>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A98"/>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2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5B37"/>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7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2E77"/>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111"/>
    <w:rsid w:val="00F475E3"/>
    <w:rsid w:val="00F47821"/>
    <w:rsid w:val="00F50EC2"/>
    <w:rsid w:val="00F50F45"/>
    <w:rsid w:val="00F5176D"/>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2BDC"/>
    <w:rsid w:val="00F64312"/>
    <w:rsid w:val="00F64574"/>
    <w:rsid w:val="00F64E77"/>
    <w:rsid w:val="00F65BAB"/>
    <w:rsid w:val="00F660EC"/>
    <w:rsid w:val="00F6619F"/>
    <w:rsid w:val="00F66239"/>
    <w:rsid w:val="00F66A04"/>
    <w:rsid w:val="00F66B41"/>
    <w:rsid w:val="00F70234"/>
    <w:rsid w:val="00F7113D"/>
    <w:rsid w:val="00F716E2"/>
    <w:rsid w:val="00F728F8"/>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4B0"/>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50"/>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7A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4AE"/>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F834B0"/>
    <w:rPr>
      <w:rFonts w:eastAsia="MS Mincho"/>
      <w:lang w:val="en-GB" w:eastAsia="en-US"/>
    </w:rPr>
  </w:style>
  <w:style w:type="table" w:customStyle="1" w:styleId="40">
    <w:name w:val="표 구분선4"/>
    <w:basedOn w:val="a2"/>
    <w:uiPriority w:val="39"/>
    <w:qFormat/>
    <w:rsid w:val="00F834B0"/>
    <w:rPr>
      <w:rFonts w:ascii="맑은 고딕" w:eastAsia="맑은 고딕" w:hAnsi="맑은 고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0978">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4545021">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5639751">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2353B8-83D2-4356-B754-BF2489F74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1731</Words>
  <Characters>9871</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 Myung</cp:lastModifiedBy>
  <cp:revision>2</cp:revision>
  <cp:lastPrinted>2018-02-12T06:55:00Z</cp:lastPrinted>
  <dcterms:created xsi:type="dcterms:W3CDTF">2021-01-19T03:48:00Z</dcterms:created>
  <dcterms:modified xsi:type="dcterms:W3CDTF">2021-01-19T03:48:00Z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D:\ACS\2021\0125 RAN1#104\기고\R1-2100xxx_SSB_v2.docx</vt:lpwstr>
  </property>
</Properties>
</file>