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18A4B9C5"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3A01F9" w:rsidRPr="003A01F9">
        <w:rPr>
          <w:rFonts w:ascii="Arial" w:hAnsi="Arial" w:cs="Arial"/>
          <w:b/>
          <w:sz w:val="24"/>
        </w:rPr>
        <w:t>R1-2009317</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72DE25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Moderator summary 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41FAD887" w:rsidR="007B3F7B" w:rsidRPr="00090FE8"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8B1928" w:rsidRDefault="00FE43F7" w:rsidP="00FE43F7">
            <w:pPr>
              <w:numPr>
                <w:ilvl w:val="2"/>
                <w:numId w:val="5"/>
              </w:numPr>
              <w:contextualSpacing/>
              <w:rPr>
                <w:i/>
                <w:iCs/>
                <w:color w:val="ED7D31"/>
                <w:szCs w:val="22"/>
                <w:lang w:val="it-IT" w:eastAsia="en-US"/>
              </w:rPr>
            </w:pPr>
            <w:r w:rsidRPr="008B1928">
              <w:rPr>
                <w:i/>
                <w:iCs/>
                <w:color w:val="ED7D31"/>
                <w:szCs w:val="22"/>
                <w:lang w:val="it-IT" w:eastAsia="en-US"/>
              </w:rPr>
              <w:t>Other methods are not precluded.</w:t>
            </w:r>
          </w:p>
          <w:p w14:paraId="534362D2" w14:textId="31772859" w:rsidR="009D2DF4" w:rsidRDefault="00FE43F7" w:rsidP="00FE43F7">
            <w:r w:rsidRPr="008B1928">
              <w:rPr>
                <w:i/>
                <w:iCs/>
                <w:color w:val="ED7D31"/>
                <w:szCs w:val="22"/>
                <w:lang w:val="it-IT"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EC5BAB">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lastRenderedPageBreak/>
              <w:t>define new Access Categories for REDCAP UEs</w:t>
            </w:r>
          </w:p>
          <w:p w14:paraId="76DDF993" w14:textId="77777777" w:rsidR="009D2DF4" w:rsidRPr="00F30D50" w:rsidRDefault="009D2DF4" w:rsidP="00EC5BAB">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9B20D2">
        <w:rPr>
          <w:highlight w:val="yellow"/>
        </w:rPr>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p w14:paraId="70607096" w14:textId="77777777" w:rsidR="005D7A6F" w:rsidRPr="005D7A6F" w:rsidRDefault="005D7A6F" w:rsidP="005D7A6F"/>
    <w:tbl>
      <w:tblPr>
        <w:tblStyle w:val="TableGrid"/>
        <w:tblW w:w="9631" w:type="dxa"/>
        <w:tblLayout w:type="fixed"/>
        <w:tblLook w:val="04A0" w:firstRow="1" w:lastRow="0" w:firstColumn="1" w:lastColumn="0" w:noHBand="0" w:noVBand="1"/>
      </w:tblPr>
      <w:tblGrid>
        <w:gridCol w:w="1388"/>
        <w:gridCol w:w="1272"/>
        <w:gridCol w:w="6971"/>
      </w:tblGrid>
      <w:tr w:rsidR="005D7A6F" w14:paraId="4E6DC0AE" w14:textId="77777777" w:rsidTr="00EC5BAB">
        <w:tc>
          <w:tcPr>
            <w:tcW w:w="1388" w:type="dxa"/>
            <w:shd w:val="clear" w:color="auto" w:fill="D9D9D9" w:themeFill="background1" w:themeFillShade="D9"/>
          </w:tcPr>
          <w:p w14:paraId="5FCE5C2D" w14:textId="77777777" w:rsidR="005D7A6F" w:rsidRDefault="005D7A6F" w:rsidP="00EC5BAB">
            <w:pPr>
              <w:rPr>
                <w:b/>
                <w:bCs/>
              </w:rPr>
            </w:pPr>
            <w:r>
              <w:rPr>
                <w:b/>
                <w:bCs/>
              </w:rPr>
              <w:t>Company</w:t>
            </w:r>
          </w:p>
        </w:tc>
        <w:tc>
          <w:tcPr>
            <w:tcW w:w="1272" w:type="dxa"/>
            <w:shd w:val="clear" w:color="auto" w:fill="D9D9D9" w:themeFill="background1" w:themeFillShade="D9"/>
          </w:tcPr>
          <w:p w14:paraId="0AB3174C" w14:textId="77777777" w:rsidR="005D7A6F" w:rsidRDefault="005D7A6F" w:rsidP="00EC5BAB">
            <w:pPr>
              <w:rPr>
                <w:b/>
                <w:bCs/>
              </w:rPr>
            </w:pPr>
            <w:r>
              <w:rPr>
                <w:b/>
                <w:bCs/>
              </w:rPr>
              <w:t>Agree (Y/N)</w:t>
            </w:r>
          </w:p>
        </w:tc>
        <w:tc>
          <w:tcPr>
            <w:tcW w:w="6971" w:type="dxa"/>
            <w:shd w:val="clear" w:color="auto" w:fill="D9D9D9" w:themeFill="background1" w:themeFillShade="D9"/>
          </w:tcPr>
          <w:p w14:paraId="13917622" w14:textId="77777777" w:rsidR="005D7A6F" w:rsidRDefault="005D7A6F" w:rsidP="00EC5BAB">
            <w:pPr>
              <w:rPr>
                <w:b/>
                <w:bCs/>
              </w:rPr>
            </w:pPr>
            <w:r>
              <w:rPr>
                <w:b/>
                <w:bCs/>
              </w:rPr>
              <w:t>Comments</w:t>
            </w:r>
          </w:p>
        </w:tc>
      </w:tr>
      <w:tr w:rsidR="005D7A6F" w:rsidRPr="001D46EE" w14:paraId="3D61CD0F" w14:textId="77777777" w:rsidTr="00EC5BAB">
        <w:tc>
          <w:tcPr>
            <w:tcW w:w="1388" w:type="dxa"/>
            <w:shd w:val="clear" w:color="auto" w:fill="auto"/>
          </w:tcPr>
          <w:p w14:paraId="6385B43E" w14:textId="421FF64F" w:rsidR="005D7A6F" w:rsidRPr="00D15372" w:rsidRDefault="005D7A6F" w:rsidP="00EC5BAB">
            <w:pPr>
              <w:rPr>
                <w:rFonts w:eastAsia="Malgun Gothic"/>
                <w:lang w:eastAsia="ko-KR"/>
              </w:rPr>
            </w:pPr>
          </w:p>
        </w:tc>
        <w:tc>
          <w:tcPr>
            <w:tcW w:w="1272" w:type="dxa"/>
            <w:shd w:val="clear" w:color="auto" w:fill="auto"/>
          </w:tcPr>
          <w:p w14:paraId="1B6090FB" w14:textId="446A6E8D" w:rsidR="005D7A6F" w:rsidRPr="00D15372" w:rsidRDefault="005D7A6F" w:rsidP="00EC5BAB">
            <w:pPr>
              <w:rPr>
                <w:rFonts w:eastAsia="Malgun Gothic"/>
                <w:lang w:eastAsia="ko-KR"/>
              </w:rPr>
            </w:pPr>
          </w:p>
        </w:tc>
        <w:tc>
          <w:tcPr>
            <w:tcW w:w="6971" w:type="dxa"/>
            <w:shd w:val="clear" w:color="auto" w:fill="auto"/>
          </w:tcPr>
          <w:p w14:paraId="058794BD" w14:textId="2C39E748" w:rsidR="005D7A6F" w:rsidRPr="001D46EE" w:rsidRDefault="005D7A6F" w:rsidP="00EC5BAB">
            <w:pPr>
              <w:rPr>
                <w:rFonts w:eastAsia="Malgun Gothic"/>
                <w:b/>
                <w:bCs/>
                <w:lang w:eastAsia="ko-KR"/>
              </w:rPr>
            </w:pPr>
          </w:p>
        </w:tc>
      </w:tr>
    </w:tbl>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673B05BE" w:rsidR="001D4BE1" w:rsidRDefault="00660F6E" w:rsidP="0092455E">
      <w:r>
        <w:t xml:space="preserve">As can be seen from the above, it is imperative that RedCap UEs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32918BE0"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UEs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UEs by the NW.</w:t>
      </w:r>
    </w:p>
    <w:p w14:paraId="674E0215" w14:textId="5CD5FC8E" w:rsidR="0059163E" w:rsidRDefault="00EC619C" w:rsidP="0092455E">
      <w:r>
        <w:t xml:space="preserve">During RAN1 #103-e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77777777"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RedCap UEs,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3B0EFF" w:rsidRDefault="003B0EFF" w:rsidP="0092455E">
            <w:pPr>
              <w:numPr>
                <w:ilvl w:val="1"/>
                <w:numId w:val="29"/>
              </w:numPr>
              <w:overflowPunct w:val="0"/>
              <w:snapToGrid/>
              <w:spacing w:after="180"/>
              <w:contextualSpacing/>
              <w:jc w:val="left"/>
              <w:textAlignment w:val="baseline"/>
              <w:rPr>
                <w:lang w:val="it-IT"/>
              </w:rPr>
            </w:pPr>
            <w:r w:rsidRPr="003B0EFF">
              <w:rPr>
                <w:i/>
                <w:iCs/>
                <w:lang w:val="it-IT"/>
              </w:rPr>
              <w:lastRenderedPageBreak/>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77777777"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UEs regarding random access and</w:t>
      </w:r>
      <w:r w:rsidR="00182879">
        <w:t xml:space="preserve"> whether there may be differences for RedCap UEs compared to regular NR UEs. </w:t>
      </w:r>
      <w:r w:rsidR="007100A6">
        <w:t>I</w:t>
      </w:r>
      <w:r w:rsidR="009034A8">
        <w:t>n case</w:t>
      </w:r>
      <w:r w:rsidR="007100A6">
        <w:t xml:space="preserve"> different handling </w:t>
      </w:r>
      <w:r w:rsidR="009034A8">
        <w:t xml:space="preserve">of RedCap UEs is required for random access, then </w:t>
      </w:r>
      <w:r w:rsidR="00300F2C">
        <w:t xml:space="preserve">early identification either via Msg1 or Msg3 may be necessary. </w:t>
      </w:r>
    </w:p>
    <w:p w14:paraId="4609399F" w14:textId="5C7877C7" w:rsidR="00A42CF8" w:rsidRDefault="00A42CF8" w:rsidP="0092455E">
      <w:r>
        <w:t xml:space="preserve">Some cited motivations </w:t>
      </w:r>
      <w:r w:rsidR="005610FD">
        <w:t xml:space="preserve">for early identification of RedCap UEs </w:t>
      </w:r>
      <w:r>
        <w:t>include:</w:t>
      </w:r>
    </w:p>
    <w:p w14:paraId="2688DC97" w14:textId="3F47B6DA" w:rsidR="00A42CF8" w:rsidRDefault="00EC24BC" w:rsidP="00D0154D">
      <w:pPr>
        <w:pStyle w:val="ListParagraph"/>
        <w:numPr>
          <w:ilvl w:val="0"/>
          <w:numId w:val="6"/>
        </w:numPr>
      </w:pPr>
      <w:r w:rsidRPr="00EC24BC">
        <w:rPr>
          <w:b/>
          <w:bCs/>
          <w:u w:val="single"/>
        </w:rPr>
        <w:t>Coverage:</w:t>
      </w:r>
      <w:r w:rsidRPr="00EC24BC">
        <w:t xml:space="preserve"> </w:t>
      </w:r>
      <w:r w:rsidR="00F07B4D">
        <w:t xml:space="preserve">Different coverage performance for RAR and/or Msg4 for RedCap UEs compared to regular NR UEs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40C8AEA4"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 xml:space="preserve">non-RedCap UEs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77777777"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RedCap UEs </w:t>
      </w:r>
      <w:r w:rsidR="00DD68FB">
        <w:rPr>
          <w:i/>
          <w:iCs/>
        </w:rPr>
        <w:t xml:space="preserve">from non-RedCap UEs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 xml:space="preserve">restrictions that may otherwise impact non-RedCap UEs. </w:t>
      </w:r>
    </w:p>
    <w:p w14:paraId="57F44716" w14:textId="5DF6A088"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xml:space="preserve">, the overall adverse impact to non-RedCap UEs may not be significant </w:t>
      </w:r>
      <w:r w:rsidR="00F87599" w:rsidRPr="0050280D">
        <w:rPr>
          <w:i/>
          <w:iCs/>
        </w:rPr>
        <w:t xml:space="preserve">as the non-RedCap UEs could be switched to larger UL BWPs </w:t>
      </w:r>
      <w:r w:rsidR="0050280D" w:rsidRPr="0050280D">
        <w:rPr>
          <w:i/>
          <w:iCs/>
        </w:rPr>
        <w:t xml:space="preserve">upon RRC connection establishment. </w:t>
      </w:r>
    </w:p>
    <w:p w14:paraId="052A22EE" w14:textId="77EE1519" w:rsidR="001C6296" w:rsidRDefault="00CF7ACC" w:rsidP="001C6296">
      <w:pPr>
        <w:pStyle w:val="ListParagraph"/>
        <w:numPr>
          <w:ilvl w:val="0"/>
          <w:numId w:val="6"/>
        </w:numPr>
      </w:pPr>
      <w:r>
        <w:rPr>
          <w:b/>
          <w:bCs/>
          <w:u w:val="single"/>
        </w:rPr>
        <w:t>Initial UL BWP congestion</w:t>
      </w:r>
      <w:r w:rsidRPr="00EC24BC">
        <w:rPr>
          <w:b/>
          <w:bCs/>
          <w:u w:val="single"/>
        </w:rPr>
        <w:t>:</w:t>
      </w:r>
      <w:r w:rsidRPr="00EC24BC">
        <w:t xml:space="preserve"> </w:t>
      </w:r>
      <w:r w:rsidR="001C6296">
        <w:t xml:space="preserve">Limitations to non-RedCap UEs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1FA44E61" w:rsidR="001C6296" w:rsidRDefault="00440E97" w:rsidP="00E75DE0">
      <w:pPr>
        <w:pStyle w:val="ListParagraph"/>
        <w:numPr>
          <w:ilvl w:val="1"/>
          <w:numId w:val="6"/>
        </w:numPr>
      </w:pPr>
      <w:r>
        <w:rPr>
          <w:i/>
          <w:iCs/>
        </w:rPr>
        <w:t>This impact is primarily limited to Msg4 scheduling for non-RedCap UEs, and UE identification via Msg1 or Msg3 could facilitate more flexible resource allocation for Msg4 scheduling for non-RedCap UEs.</w:t>
      </w:r>
    </w:p>
    <w:p w14:paraId="1EF1C5DB" w14:textId="591C8DD5"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UEs </w:t>
      </w:r>
      <w:r w:rsidR="00FE6FBA">
        <w:t xml:space="preserve">at Msg1 transmission </w:t>
      </w:r>
      <w:r w:rsidR="00B47EEF">
        <w:t xml:space="preserve">if minimum UE processing times </w:t>
      </w:r>
      <w:r w:rsidR="00854C4C">
        <w:t>for RedCap UEs a</w:t>
      </w:r>
      <w:r w:rsidR="00B47EEF">
        <w:t>re relaxed compared to Capability #1 values</w:t>
      </w:r>
      <w:r w:rsidR="00710875">
        <w:t xml:space="preserve"> or </w:t>
      </w:r>
      <w:r w:rsidR="00E5268F">
        <w:t>requirements on UL waveform are re</w:t>
      </w:r>
      <w:r w:rsidR="00793DB3">
        <w:t>laxed (e.g., SC-FDM only)</w:t>
      </w:r>
      <w:r w:rsidR="00E5268F">
        <w:t xml:space="preserve"> for RedCap UEs,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7F01D514" w:rsidR="005D4E5B" w:rsidRDefault="00300F2C" w:rsidP="0092455E">
      <w:r>
        <w:t xml:space="preserve">On the other hand, </w:t>
      </w:r>
      <w:r w:rsidR="00680C28">
        <w:t xml:space="preserve">if </w:t>
      </w:r>
      <w:r w:rsidR="00B26984">
        <w:t xml:space="preserve">RedCap UEs can perform random access procedure </w:t>
      </w:r>
      <w:r w:rsidR="003B68B3">
        <w:t>like</w:t>
      </w:r>
      <w:r w:rsidR="00B26984">
        <w:t xml:space="preserve"> regular NR UEs, it may be sufficient </w:t>
      </w:r>
      <w:r w:rsidR="00B165FC">
        <w:t>if RedCap UEs are identified via Msg3 or even via Msg5 (upon connection establishment).</w:t>
      </w:r>
      <w:r w:rsidR="00877F03">
        <w:t xml:space="preserve"> </w:t>
      </w:r>
    </w:p>
    <w:p w14:paraId="05AF7E21" w14:textId="12AE5A0D"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UEs</w:t>
      </w:r>
      <w:r w:rsidR="00CA1C74">
        <w:t xml:space="preserve">, separate initial DL/UL BWPs for RedCap UEs, etc.). </w:t>
      </w:r>
      <w:r w:rsidR="00D41C78">
        <w:t xml:space="preserve">This is further complicated by the fact that such UE identification may not be limited to identifying RedCap UEs from non-RedCap ones, but also </w:t>
      </w:r>
      <w:r w:rsidR="00854C25">
        <w:t xml:space="preserve">further </w:t>
      </w:r>
      <w:r w:rsidR="00D41C78">
        <w:t xml:space="preserve">identification of </w:t>
      </w:r>
      <w:r w:rsidR="00854C25">
        <w:t>RedCap UEs</w:t>
      </w:r>
      <w:r w:rsidR="0029691A">
        <w:t>.</w:t>
      </w:r>
    </w:p>
    <w:p w14:paraId="675AF653" w14:textId="55B28AC3"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UEs</w:t>
      </w:r>
      <w:r w:rsidR="00EC1E33" w:rsidRPr="005A3188">
        <w:rPr>
          <w:u w:val="single"/>
        </w:rPr>
        <w:t xml:space="preserve">, </w:t>
      </w:r>
      <w:r w:rsidR="00EC1E33" w:rsidRPr="005A3188">
        <w:rPr>
          <w:u w:val="single"/>
        </w:rPr>
        <w:lastRenderedPageBreak/>
        <w:t xml:space="preserve">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RedCap UEs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DA2679">
        <w:rPr>
          <w:highlight w:val="yellow"/>
        </w:rPr>
        <w:t>FL Proposal</w:t>
      </w:r>
      <w:r w:rsidRPr="00B84C30">
        <w:rPr>
          <w:highlight w:val="yellow"/>
        </w:rPr>
        <w:t xml:space="preserve"> </w:t>
      </w:r>
      <w:r w:rsidR="00B84C30" w:rsidRPr="00B84C30">
        <w:rPr>
          <w:highlight w:val="yellow"/>
        </w:rPr>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EC5BAB">
        <w:tc>
          <w:tcPr>
            <w:tcW w:w="1388" w:type="dxa"/>
            <w:shd w:val="clear" w:color="auto" w:fill="D9D9D9" w:themeFill="background1" w:themeFillShade="D9"/>
          </w:tcPr>
          <w:p w14:paraId="77A79190" w14:textId="77777777" w:rsidR="005D7A6F" w:rsidRDefault="005D7A6F" w:rsidP="00EC5BAB">
            <w:pPr>
              <w:rPr>
                <w:b/>
                <w:bCs/>
              </w:rPr>
            </w:pPr>
            <w:r>
              <w:rPr>
                <w:b/>
                <w:bCs/>
              </w:rPr>
              <w:t>Company</w:t>
            </w:r>
          </w:p>
        </w:tc>
        <w:tc>
          <w:tcPr>
            <w:tcW w:w="1272" w:type="dxa"/>
            <w:shd w:val="clear" w:color="auto" w:fill="D9D9D9" w:themeFill="background1" w:themeFillShade="D9"/>
          </w:tcPr>
          <w:p w14:paraId="7288482E" w14:textId="77777777" w:rsidR="005D7A6F" w:rsidRDefault="005D7A6F" w:rsidP="00EC5BAB">
            <w:pPr>
              <w:rPr>
                <w:b/>
                <w:bCs/>
              </w:rPr>
            </w:pPr>
            <w:r>
              <w:rPr>
                <w:b/>
                <w:bCs/>
              </w:rPr>
              <w:t>Agree (Y/N)</w:t>
            </w:r>
          </w:p>
        </w:tc>
        <w:tc>
          <w:tcPr>
            <w:tcW w:w="6971" w:type="dxa"/>
            <w:shd w:val="clear" w:color="auto" w:fill="D9D9D9" w:themeFill="background1" w:themeFillShade="D9"/>
          </w:tcPr>
          <w:p w14:paraId="71460B1D" w14:textId="77777777" w:rsidR="005D7A6F" w:rsidRDefault="005D7A6F" w:rsidP="00EC5BAB">
            <w:pPr>
              <w:rPr>
                <w:b/>
                <w:bCs/>
              </w:rPr>
            </w:pPr>
            <w:r>
              <w:rPr>
                <w:b/>
                <w:bCs/>
              </w:rPr>
              <w:t>Comments</w:t>
            </w:r>
          </w:p>
        </w:tc>
      </w:tr>
      <w:tr w:rsidR="005D7A6F" w:rsidRPr="001D46EE" w14:paraId="1E14A376" w14:textId="77777777" w:rsidTr="00EC5BAB">
        <w:tc>
          <w:tcPr>
            <w:tcW w:w="1388" w:type="dxa"/>
            <w:shd w:val="clear" w:color="auto" w:fill="auto"/>
          </w:tcPr>
          <w:p w14:paraId="5B5C652B" w14:textId="77777777" w:rsidR="005D7A6F" w:rsidRPr="00D15372" w:rsidRDefault="005D7A6F" w:rsidP="00EC5BAB">
            <w:pPr>
              <w:rPr>
                <w:rFonts w:eastAsia="Malgun Gothic"/>
                <w:lang w:eastAsia="ko-KR"/>
              </w:rPr>
            </w:pPr>
          </w:p>
        </w:tc>
        <w:tc>
          <w:tcPr>
            <w:tcW w:w="1272" w:type="dxa"/>
            <w:shd w:val="clear" w:color="auto" w:fill="auto"/>
          </w:tcPr>
          <w:p w14:paraId="02A21112" w14:textId="77777777" w:rsidR="005D7A6F" w:rsidRPr="00D15372" w:rsidRDefault="005D7A6F" w:rsidP="00EC5BAB">
            <w:pPr>
              <w:rPr>
                <w:rFonts w:eastAsia="Malgun Gothic"/>
                <w:lang w:eastAsia="ko-KR"/>
              </w:rPr>
            </w:pPr>
          </w:p>
        </w:tc>
        <w:tc>
          <w:tcPr>
            <w:tcW w:w="6971" w:type="dxa"/>
            <w:shd w:val="clear" w:color="auto" w:fill="auto"/>
          </w:tcPr>
          <w:p w14:paraId="1E7588FA" w14:textId="77777777" w:rsidR="005D7A6F" w:rsidRPr="001D46EE" w:rsidRDefault="005D7A6F" w:rsidP="00EC5BAB">
            <w:pPr>
              <w:rPr>
                <w:rFonts w:eastAsia="Malgun Gothic"/>
                <w:b/>
                <w:bCs/>
                <w:lang w:eastAsia="ko-KR"/>
              </w:rPr>
            </w:pPr>
          </w:p>
        </w:tc>
      </w:tr>
    </w:tbl>
    <w:p w14:paraId="2B97BFD8" w14:textId="77777777" w:rsidR="005D7A6F" w:rsidRDefault="005D7A6F" w:rsidP="0076289E"/>
    <w:p w14:paraId="7E84CC8A" w14:textId="4C41A1D0" w:rsidR="00086D7C" w:rsidRPr="00D449BA" w:rsidRDefault="00086D7C" w:rsidP="00086D7C">
      <w:pPr>
        <w:pStyle w:val="Heading2"/>
      </w:pPr>
      <w:r w:rsidRPr="00DA2679">
        <w:rPr>
          <w:highlight w:val="yellow"/>
        </w:rPr>
        <w:t>FL Proposal</w:t>
      </w:r>
      <w:r>
        <w:rPr>
          <w:highlight w:val="yellow"/>
        </w:rPr>
        <w:t xml:space="preserve"> 3</w:t>
      </w:r>
      <w:r w:rsidRPr="00B84C30">
        <w:rPr>
          <w:highlight w:val="yellow"/>
        </w:rPr>
        <w:t xml:space="preserve">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22F8A62" w:rsidR="00086D7C" w:rsidRPr="00835F6D" w:rsidRDefault="00835F6D" w:rsidP="00835F6D">
      <w:pPr>
        <w:pStyle w:val="ListParagraph"/>
        <w:numPr>
          <w:ilvl w:val="1"/>
          <w:numId w:val="5"/>
        </w:numPr>
      </w:pPr>
      <w:r>
        <w:rPr>
          <w:i/>
          <w:iCs/>
        </w:rPr>
        <w:t>O</w:t>
      </w:r>
      <w:r w:rsidR="007B6531">
        <w:rPr>
          <w:i/>
          <w:iCs/>
        </w:rPr>
        <w:t>ptional configurability of separate resources for Msg1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p w14:paraId="0C4EF0A5" w14:textId="67E52B16" w:rsidR="00086D7C" w:rsidRDefault="00086D7C" w:rsidP="00086D7C"/>
    <w:tbl>
      <w:tblPr>
        <w:tblStyle w:val="TableGrid"/>
        <w:tblW w:w="9631" w:type="dxa"/>
        <w:tblLayout w:type="fixed"/>
        <w:tblLook w:val="04A0" w:firstRow="1" w:lastRow="0" w:firstColumn="1" w:lastColumn="0" w:noHBand="0" w:noVBand="1"/>
      </w:tblPr>
      <w:tblGrid>
        <w:gridCol w:w="1388"/>
        <w:gridCol w:w="1272"/>
        <w:gridCol w:w="6971"/>
      </w:tblGrid>
      <w:tr w:rsidR="005D7A6F" w14:paraId="7FDD6011" w14:textId="77777777" w:rsidTr="00EC5BAB">
        <w:tc>
          <w:tcPr>
            <w:tcW w:w="1388" w:type="dxa"/>
            <w:shd w:val="clear" w:color="auto" w:fill="D9D9D9" w:themeFill="background1" w:themeFillShade="D9"/>
          </w:tcPr>
          <w:p w14:paraId="3365F54E" w14:textId="77777777" w:rsidR="005D7A6F" w:rsidRDefault="005D7A6F" w:rsidP="00EC5BAB">
            <w:pPr>
              <w:rPr>
                <w:b/>
                <w:bCs/>
              </w:rPr>
            </w:pPr>
            <w:r>
              <w:rPr>
                <w:b/>
                <w:bCs/>
              </w:rPr>
              <w:t>Company</w:t>
            </w:r>
          </w:p>
        </w:tc>
        <w:tc>
          <w:tcPr>
            <w:tcW w:w="1272" w:type="dxa"/>
            <w:shd w:val="clear" w:color="auto" w:fill="D9D9D9" w:themeFill="background1" w:themeFillShade="D9"/>
          </w:tcPr>
          <w:p w14:paraId="69807299" w14:textId="77777777" w:rsidR="005D7A6F" w:rsidRDefault="005D7A6F" w:rsidP="00EC5BAB">
            <w:pPr>
              <w:rPr>
                <w:b/>
                <w:bCs/>
              </w:rPr>
            </w:pPr>
            <w:r>
              <w:rPr>
                <w:b/>
                <w:bCs/>
              </w:rPr>
              <w:t>Agree (Y/N)</w:t>
            </w:r>
          </w:p>
        </w:tc>
        <w:tc>
          <w:tcPr>
            <w:tcW w:w="6971" w:type="dxa"/>
            <w:shd w:val="clear" w:color="auto" w:fill="D9D9D9" w:themeFill="background1" w:themeFillShade="D9"/>
          </w:tcPr>
          <w:p w14:paraId="7FB9396F" w14:textId="77777777" w:rsidR="005D7A6F" w:rsidRDefault="005D7A6F" w:rsidP="00EC5BAB">
            <w:pPr>
              <w:rPr>
                <w:b/>
                <w:bCs/>
              </w:rPr>
            </w:pPr>
            <w:r>
              <w:rPr>
                <w:b/>
                <w:bCs/>
              </w:rPr>
              <w:t>Comments</w:t>
            </w:r>
          </w:p>
        </w:tc>
      </w:tr>
      <w:tr w:rsidR="005D7A6F" w:rsidRPr="001D46EE" w14:paraId="53D2B712" w14:textId="77777777" w:rsidTr="00EC5BAB">
        <w:tc>
          <w:tcPr>
            <w:tcW w:w="1388" w:type="dxa"/>
            <w:shd w:val="clear" w:color="auto" w:fill="auto"/>
          </w:tcPr>
          <w:p w14:paraId="6ABB590B" w14:textId="77777777" w:rsidR="005D7A6F" w:rsidRPr="00D15372" w:rsidRDefault="005D7A6F" w:rsidP="00EC5BAB">
            <w:pPr>
              <w:rPr>
                <w:rFonts w:eastAsia="Malgun Gothic"/>
                <w:lang w:eastAsia="ko-KR"/>
              </w:rPr>
            </w:pPr>
          </w:p>
        </w:tc>
        <w:tc>
          <w:tcPr>
            <w:tcW w:w="1272" w:type="dxa"/>
            <w:shd w:val="clear" w:color="auto" w:fill="auto"/>
          </w:tcPr>
          <w:p w14:paraId="3053F85A" w14:textId="77777777" w:rsidR="005D7A6F" w:rsidRPr="00D15372" w:rsidRDefault="005D7A6F" w:rsidP="00EC5BAB">
            <w:pPr>
              <w:rPr>
                <w:rFonts w:eastAsia="Malgun Gothic"/>
                <w:lang w:eastAsia="ko-KR"/>
              </w:rPr>
            </w:pPr>
          </w:p>
        </w:tc>
        <w:tc>
          <w:tcPr>
            <w:tcW w:w="6971" w:type="dxa"/>
            <w:shd w:val="clear" w:color="auto" w:fill="auto"/>
          </w:tcPr>
          <w:p w14:paraId="206B6A1E" w14:textId="77777777" w:rsidR="005D7A6F" w:rsidRPr="001D46EE" w:rsidRDefault="005D7A6F" w:rsidP="00EC5BAB">
            <w:pPr>
              <w:rPr>
                <w:rFonts w:eastAsia="Malgun Gothic"/>
                <w:b/>
                <w:bCs/>
                <w:lang w:eastAsia="ko-KR"/>
              </w:rPr>
            </w:pPr>
          </w:p>
        </w:tc>
      </w:tr>
    </w:tbl>
    <w:p w14:paraId="18BC0DAE" w14:textId="5B82A580"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GoBack"/>
      <w:bookmarkEnd w:id="2"/>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w:t>
            </w:r>
            <w:r w:rsidRPr="008B5759">
              <w:rPr>
                <w:i/>
                <w:iCs/>
              </w:rPr>
              <w:lastRenderedPageBreak/>
              <w:t xml:space="preserve">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3" w:name="_Ref54576496"/>
    <w:bookmarkStart w:id="4"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3"/>
    </w:p>
    <w:p w14:paraId="0DC2639B" w14:textId="70EA838A" w:rsidR="005A2C28" w:rsidRDefault="00377419"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5"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5"/>
    </w:p>
    <w:bookmarkStart w:id="6"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6"/>
    </w:p>
    <w:bookmarkStart w:id="7"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7"/>
    </w:p>
    <w:p w14:paraId="06374106" w14:textId="7F2A49A3" w:rsidR="005A2C28" w:rsidRDefault="00377419"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377419"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8"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8"/>
    </w:p>
    <w:bookmarkStart w:id="9"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9"/>
    </w:p>
    <w:p w14:paraId="22B03FED" w14:textId="64CCF00B" w:rsidR="005A2C28" w:rsidRDefault="00377419"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377419"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0"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0"/>
    </w:p>
    <w:p w14:paraId="571620F8" w14:textId="140B2787" w:rsidR="005A2C28" w:rsidRDefault="00377419"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377419"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377419"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1"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1"/>
    </w:p>
    <w:p w14:paraId="23A8AE42" w14:textId="3DF662EB" w:rsidR="005A2C28" w:rsidRDefault="00377419"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2"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2"/>
    </w:p>
    <w:p w14:paraId="2A0AA5A1" w14:textId="3DFDCCB2" w:rsidR="005A2C28" w:rsidRDefault="00377419"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377419"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377419"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377419"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4"/>
      <w:r w:rsidR="00757188">
        <w:t xml:space="preserve"> </w:t>
      </w:r>
    </w:p>
    <w:p w14:paraId="3B66EB6C" w14:textId="189946E8" w:rsidR="00020F81" w:rsidRDefault="00377419"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377419"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377419"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377419"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377419"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3"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3"/>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4" w:name="_Ref48645182"/>
      <w:r>
        <w:rPr>
          <w:rFonts w:ascii="Arial" w:hAnsi="Arial"/>
          <w:b w:val="0"/>
          <w:bCs w:val="0"/>
          <w:sz w:val="36"/>
          <w:szCs w:val="20"/>
        </w:rPr>
        <w:t>Appendix A</w:t>
      </w:r>
      <w:bookmarkEnd w:id="14"/>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EC5BAB">
        <w:tc>
          <w:tcPr>
            <w:tcW w:w="9350" w:type="dxa"/>
          </w:tcPr>
          <w:p w14:paraId="5D762974" w14:textId="77777777" w:rsidR="002E25CB" w:rsidRPr="002E25CB" w:rsidRDefault="002E25CB" w:rsidP="00EC5BAB">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lastRenderedPageBreak/>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EC5BAB">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EC5BAB">
              <w:tc>
                <w:tcPr>
                  <w:tcW w:w="1838" w:type="dxa"/>
                  <w:shd w:val="clear" w:color="auto" w:fill="D9D9D9" w:themeFill="background1" w:themeFillShade="D9"/>
                </w:tcPr>
                <w:p w14:paraId="2B9599D5" w14:textId="77777777" w:rsidR="002E25CB" w:rsidRPr="007B546B" w:rsidRDefault="002E25CB" w:rsidP="00EC5BAB">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EC5BAB">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EC5BAB">
              <w:tc>
                <w:tcPr>
                  <w:tcW w:w="1838" w:type="dxa"/>
                </w:tcPr>
                <w:p w14:paraId="3B1E25E8" w14:textId="77777777" w:rsidR="002E25CB" w:rsidRPr="007B546B" w:rsidRDefault="002E25CB" w:rsidP="00EC5BAB">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EC5BAB">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EC5BAB">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EC5BAB">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EC5BAB">
              <w:tc>
                <w:tcPr>
                  <w:tcW w:w="1838" w:type="dxa"/>
                </w:tcPr>
                <w:p w14:paraId="1B703519" w14:textId="77777777" w:rsidR="002E25CB" w:rsidRPr="007B546B" w:rsidRDefault="002E25CB" w:rsidP="00EC5BAB">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EC5BAB">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EC5BAB">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EC5BAB">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EC5BAB">
              <w:tc>
                <w:tcPr>
                  <w:tcW w:w="1838" w:type="dxa"/>
                </w:tcPr>
                <w:p w14:paraId="579A4E63" w14:textId="77777777" w:rsidR="002E25CB" w:rsidRPr="007B546B" w:rsidRDefault="002E25CB" w:rsidP="00EC5BAB">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EC5BAB">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EC5BAB">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EC5BAB">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EC5BAB">
              <w:tc>
                <w:tcPr>
                  <w:tcW w:w="1838" w:type="dxa"/>
                </w:tcPr>
                <w:p w14:paraId="02A6BEFC" w14:textId="77777777" w:rsidR="002E25CB" w:rsidRPr="007B546B" w:rsidRDefault="002E25CB" w:rsidP="00EC5BAB">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EC5BAB">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EC5BAB">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EC5BAB">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EC5BAB">
            <w:pPr>
              <w:rPr>
                <w:lang w:eastAsia="x-none"/>
              </w:rPr>
            </w:pPr>
          </w:p>
          <w:p w14:paraId="190FE5EB" w14:textId="77777777" w:rsidR="002E25CB" w:rsidRDefault="002E25CB" w:rsidP="00EC5BAB">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377419"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EC5BAB">
        <w:tc>
          <w:tcPr>
            <w:tcW w:w="9350" w:type="dxa"/>
          </w:tcPr>
          <w:p w14:paraId="286A1897" w14:textId="77777777" w:rsidR="002E25CB" w:rsidRPr="00EB4984" w:rsidRDefault="002E25CB" w:rsidP="00EC5BAB">
            <w:pPr>
              <w:rPr>
                <w:i/>
                <w:iCs/>
              </w:rPr>
            </w:pPr>
            <w:r w:rsidRPr="00EB4984">
              <w:rPr>
                <w:i/>
                <w:iCs/>
              </w:rPr>
              <w:t>Observation 1: it is better to pool RACH resources between RedCap and non-RedCap UEs.</w:t>
            </w:r>
          </w:p>
          <w:p w14:paraId="093E31B9" w14:textId="77777777" w:rsidR="002E25CB" w:rsidRPr="00EB4984" w:rsidRDefault="002E25CB" w:rsidP="00EC5BAB">
            <w:pPr>
              <w:rPr>
                <w:i/>
                <w:iCs/>
              </w:rPr>
            </w:pPr>
            <w:r w:rsidRPr="00EB4984">
              <w:rPr>
                <w:i/>
                <w:iCs/>
              </w:rPr>
              <w:t>Proposal 1: Similar to LTE-M, PRACH preamble partitioning is used for RedCap identification</w:t>
            </w:r>
          </w:p>
          <w:p w14:paraId="32064A05" w14:textId="77777777" w:rsidR="002E25CB" w:rsidRPr="00EB4984" w:rsidRDefault="002E25CB" w:rsidP="00EC5BAB">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EC5BAB">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377419"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EC5BAB">
        <w:tc>
          <w:tcPr>
            <w:tcW w:w="9350" w:type="dxa"/>
          </w:tcPr>
          <w:p w14:paraId="0A82D9A0" w14:textId="77777777" w:rsidR="002E25CB" w:rsidRPr="00F96481" w:rsidRDefault="002E25CB" w:rsidP="00EC5BAB">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EC5BAB">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EC5BAB">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EC5BAB">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377419"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EC5BAB">
        <w:tc>
          <w:tcPr>
            <w:tcW w:w="9350" w:type="dxa"/>
          </w:tcPr>
          <w:p w14:paraId="7707DBB0" w14:textId="77777777" w:rsidR="002E25CB" w:rsidRPr="002F13B3" w:rsidRDefault="002E25CB" w:rsidP="00EC5BAB">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EC5BAB">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EC5BAB">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EC5BAB">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377419"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EC5BAB">
        <w:tc>
          <w:tcPr>
            <w:tcW w:w="9350" w:type="dxa"/>
          </w:tcPr>
          <w:p w14:paraId="2FC9D6D6" w14:textId="77777777" w:rsidR="002E25CB" w:rsidRPr="00804F5B" w:rsidRDefault="002E25CB" w:rsidP="00EC5BAB">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EC5BAB">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EC5BAB">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EC5BAB">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EC5BAB">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EC5BAB">
            <w:pPr>
              <w:spacing w:beforeLines="50" w:before="120" w:afterLines="50"/>
              <w:rPr>
                <w:b/>
              </w:rPr>
            </w:pPr>
            <w:r w:rsidRPr="00804F5B">
              <w:rPr>
                <w:rFonts w:hint="eastAsia"/>
                <w:bCs/>
              </w:rPr>
              <w:lastRenderedPageBreak/>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377419"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EC5BAB">
        <w:tc>
          <w:tcPr>
            <w:tcW w:w="9350" w:type="dxa"/>
          </w:tcPr>
          <w:p w14:paraId="6F1DEB19" w14:textId="77777777" w:rsidR="002E25CB" w:rsidRPr="00155CA2" w:rsidRDefault="002E25CB" w:rsidP="00EC5BAB">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EC5BAB">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EC5BAB">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EC5BAB">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EC5BAB">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377419"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EC5BAB">
        <w:tc>
          <w:tcPr>
            <w:tcW w:w="9350" w:type="dxa"/>
          </w:tcPr>
          <w:p w14:paraId="12B9DDAD" w14:textId="77777777" w:rsidR="002E25CB" w:rsidRPr="00C84DCB" w:rsidRDefault="002E25CB" w:rsidP="00EC5BAB">
            <w:pPr>
              <w:rPr>
                <w:bCs/>
              </w:rPr>
            </w:pPr>
            <w:r w:rsidRPr="00C84DCB">
              <w:rPr>
                <w:bCs/>
              </w:rPr>
              <w:t>Proposal 1: Msg.3 can be used for early identification of RedCap UEs.</w:t>
            </w:r>
          </w:p>
          <w:p w14:paraId="7F79DFCE" w14:textId="77777777" w:rsidR="002E25CB" w:rsidRPr="00C84DCB" w:rsidRDefault="002E25CB" w:rsidP="00EC5BAB">
            <w:pPr>
              <w:rPr>
                <w:bCs/>
              </w:rPr>
            </w:pPr>
            <w:r w:rsidRPr="00C84DCB">
              <w:rPr>
                <w:bCs/>
              </w:rPr>
              <w:t>Proposal 2: Separate initial BWP can be used for early identification of RedCap UEs.</w:t>
            </w:r>
          </w:p>
          <w:p w14:paraId="018BD741" w14:textId="77777777" w:rsidR="002E25CB" w:rsidRPr="00C84DCB" w:rsidRDefault="002E25CB" w:rsidP="00EC5BAB">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377419"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EC5BAB">
        <w:tc>
          <w:tcPr>
            <w:tcW w:w="9350" w:type="dxa"/>
          </w:tcPr>
          <w:p w14:paraId="2C47B604" w14:textId="77777777" w:rsidR="002E25CB" w:rsidRPr="005B6D8F" w:rsidRDefault="002E25CB" w:rsidP="00EC5BAB">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EC5BAB">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EC5BAB">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EC5BAB">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EC5BAB">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EC5BAB">
            <w:pPr>
              <w:pStyle w:val="10"/>
              <w:ind w:left="233"/>
              <w:rPr>
                <w:b w:val="0"/>
                <w:bCs/>
                <w:lang w:val="en-GB"/>
              </w:rPr>
            </w:pPr>
            <w:r w:rsidRPr="005B6D8F">
              <w:rPr>
                <w:b w:val="0"/>
                <w:bCs/>
                <w:lang w:val="en-GB"/>
              </w:rPr>
              <w:t xml:space="preserve">Proposal 3: The DCI format 1_0 with CRC scrambled by SI-RNTI explicitly or implicitly indicates whether the </w:t>
            </w:r>
            <w:r w:rsidRPr="005B6D8F">
              <w:rPr>
                <w:b w:val="0"/>
                <w:bCs/>
                <w:lang w:val="en-GB"/>
              </w:rPr>
              <w:lastRenderedPageBreak/>
              <w:t>cell supports REDCAP UEs</w:t>
            </w:r>
          </w:p>
          <w:p w14:paraId="17435DD9" w14:textId="77777777" w:rsidR="002E25CB" w:rsidRPr="005B6D8F" w:rsidRDefault="002E25CB" w:rsidP="00EC5BAB">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EC5BAB">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EC5BAB">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EC5BAB">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EC5BAB">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377419"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EC5BAB">
        <w:tc>
          <w:tcPr>
            <w:tcW w:w="9350" w:type="dxa"/>
          </w:tcPr>
          <w:p w14:paraId="52278B31" w14:textId="77777777" w:rsidR="002E25CB" w:rsidRPr="00356080" w:rsidRDefault="002E25CB" w:rsidP="00EC5BAB">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EC5BAB">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EC5BAB">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EC5BAB">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EC5BAB">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EC5BAB">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EC5BAB">
            <w:pPr>
              <w:ind w:left="1560"/>
            </w:pPr>
            <w:r w:rsidRPr="00356080">
              <w:t>Note:   This level of “hard” barring compliments the SIB1 based UAC level of “soft” barring.</w:t>
            </w:r>
          </w:p>
          <w:p w14:paraId="0A4F4102" w14:textId="77777777" w:rsidR="002E25CB" w:rsidRPr="00356080" w:rsidRDefault="002E25CB" w:rsidP="00EC5BAB">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EC5BAB">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EC5BAB">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EC5BAB">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EC5BAB">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377419"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EC5BAB">
        <w:tc>
          <w:tcPr>
            <w:tcW w:w="9350" w:type="dxa"/>
          </w:tcPr>
          <w:p w14:paraId="219918BD" w14:textId="77777777" w:rsidR="002E25CB" w:rsidRPr="00655FAD" w:rsidRDefault="002E25CB" w:rsidP="00EC5BAB">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EC5BAB">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EC5BAB">
            <w:pPr>
              <w:spacing w:beforeLines="50" w:before="120"/>
              <w:rPr>
                <w:rFonts w:ascii="Arial" w:eastAsia="MS Mincho" w:hAnsi="Arial" w:cs="Arial"/>
                <w:bCs/>
                <w:lang w:eastAsia="ja-JP"/>
              </w:rPr>
            </w:pPr>
            <w:r w:rsidRPr="00655FAD">
              <w:rPr>
                <w:rFonts w:ascii="Arial" w:eastAsia="MS Mincho" w:hAnsi="Arial" w:cs="Arial"/>
                <w:bCs/>
                <w:lang w:eastAsia="ja-JP"/>
              </w:rPr>
              <w:lastRenderedPageBreak/>
              <w:t>Proposal 3: The specific identification of the reduced capability UE type post-RAR shall be considered.</w:t>
            </w:r>
          </w:p>
          <w:p w14:paraId="0F0DB328" w14:textId="77777777" w:rsidR="002E25CB" w:rsidRPr="00655FAD" w:rsidRDefault="002E25CB" w:rsidP="00EC5BAB">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377419"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EC5BAB">
        <w:tc>
          <w:tcPr>
            <w:tcW w:w="9350" w:type="dxa"/>
          </w:tcPr>
          <w:p w14:paraId="4B0B553F" w14:textId="77777777" w:rsidR="002E25CB" w:rsidRPr="004E7798" w:rsidRDefault="002E25CB" w:rsidP="00EC5BAB">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EC5BAB">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377419"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EC5BAB">
        <w:tc>
          <w:tcPr>
            <w:tcW w:w="9350" w:type="dxa"/>
          </w:tcPr>
          <w:p w14:paraId="38812A13" w14:textId="77777777" w:rsidR="002E25CB" w:rsidRPr="00CD57A0" w:rsidRDefault="002E25CB" w:rsidP="00EC5BAB">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EC5BAB">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377419"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EC5BAB">
        <w:tc>
          <w:tcPr>
            <w:tcW w:w="9350" w:type="dxa"/>
          </w:tcPr>
          <w:p w14:paraId="2C99C925" w14:textId="77777777" w:rsidR="002E25CB" w:rsidRPr="007A064E" w:rsidRDefault="002E25CB" w:rsidP="00EC5BAB">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377419"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EC5BAB">
        <w:tc>
          <w:tcPr>
            <w:tcW w:w="9350" w:type="dxa"/>
          </w:tcPr>
          <w:p w14:paraId="166E8947" w14:textId="77777777" w:rsidR="002E25CB" w:rsidRPr="005B6C16" w:rsidRDefault="002E25CB" w:rsidP="00EC5BAB">
            <w:pPr>
              <w:pStyle w:val="BodyText"/>
              <w:rPr>
                <w:bCs/>
                <w:i/>
              </w:rPr>
            </w:pPr>
            <w:r w:rsidRPr="005B6C16">
              <w:rPr>
                <w:bCs/>
                <w:i/>
              </w:rPr>
              <w:t>Observation: Identification of RedCap UEs by Msg1 will reduce the utilization efficiency of PRACH resource.</w:t>
            </w:r>
          </w:p>
          <w:p w14:paraId="29951AB2" w14:textId="77777777" w:rsidR="002E25CB" w:rsidRPr="005B6C16" w:rsidRDefault="002E25CB" w:rsidP="00EC5BAB">
            <w:pPr>
              <w:pStyle w:val="BodyText"/>
              <w:rPr>
                <w:bCs/>
                <w:i/>
                <w:lang w:val="it-IT"/>
              </w:rPr>
            </w:pPr>
            <w:r w:rsidRPr="005B6C16">
              <w:rPr>
                <w:bCs/>
                <w:i/>
                <w:lang w:val="it-IT"/>
              </w:rPr>
              <w:t xml:space="preserve">Proposal 1: Separate SSB and CORESET 0 are not used for cell barring indication. </w:t>
            </w:r>
          </w:p>
          <w:p w14:paraId="582DF774" w14:textId="77777777" w:rsidR="002E25CB" w:rsidRPr="005B6C16" w:rsidRDefault="002E25CB" w:rsidP="00EC5BAB">
            <w:pPr>
              <w:pStyle w:val="BodyText"/>
              <w:rPr>
                <w:bCs/>
                <w:i/>
                <w:lang w:val="it-IT"/>
              </w:rPr>
            </w:pPr>
            <w:r w:rsidRPr="005B6C16">
              <w:rPr>
                <w:bCs/>
                <w:i/>
                <w:lang w:val="it-IT"/>
              </w:rPr>
              <w:t xml:space="preserve">Proposal 2: Leagacy Access Control  mechanism is reused for RedCap UE as much as possible. The details are discussed in RAN2. </w:t>
            </w:r>
          </w:p>
          <w:p w14:paraId="767B0058" w14:textId="77777777" w:rsidR="002E25CB" w:rsidRPr="005B6C16" w:rsidRDefault="002E25CB" w:rsidP="00EC5BAB">
            <w:pPr>
              <w:pStyle w:val="BodyText"/>
            </w:pPr>
            <w:r w:rsidRPr="005B6C16">
              <w:rPr>
                <w:bCs/>
                <w:i/>
                <w:lang w:val="it-IT"/>
              </w:rPr>
              <w:t>Proposal 3: Msg1 or Msg3 can be used for the identification of RedCap UE. 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377419"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EC5BAB">
        <w:tc>
          <w:tcPr>
            <w:tcW w:w="9350" w:type="dxa"/>
          </w:tcPr>
          <w:p w14:paraId="63C681A1" w14:textId="77777777" w:rsidR="002E25CB" w:rsidRPr="00BC40B6" w:rsidRDefault="002E25CB" w:rsidP="00EC5BAB">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EC5BAB">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EC5BAB">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EC5BAB">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EC5BAB">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EC5BAB">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EC5BAB">
            <w:pPr>
              <w:rPr>
                <w:rFonts w:eastAsia="MS Mincho"/>
                <w:lang w:eastAsia="ja-JP"/>
              </w:rPr>
            </w:pPr>
            <w:r w:rsidRPr="00BC40B6">
              <w:rPr>
                <w:rFonts w:eastAsia="MS Mincho"/>
                <w:lang w:eastAsia="ja-JP"/>
              </w:rPr>
              <w:t xml:space="preserve">Observation 7: The pros and cons for device type identification via Msg3 and post Msg4 transmission are quite </w:t>
            </w:r>
            <w:r w:rsidRPr="00BC40B6">
              <w:rPr>
                <w:rFonts w:eastAsia="MS Mincho"/>
                <w:lang w:eastAsia="ja-JP"/>
              </w:rPr>
              <w:lastRenderedPageBreak/>
              <w:t>similar. The more detailed differentiation of RedCap devices needs to use this option using the existing framework of UE capability reporting, if supported.</w:t>
            </w:r>
          </w:p>
          <w:p w14:paraId="48B737C3" w14:textId="77777777" w:rsidR="002E25CB" w:rsidRPr="00BC40B6" w:rsidRDefault="002E25CB" w:rsidP="00EC5BAB">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EC5BAB">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377419"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EC5BAB">
        <w:tc>
          <w:tcPr>
            <w:tcW w:w="9350" w:type="dxa"/>
          </w:tcPr>
          <w:p w14:paraId="6691C509" w14:textId="77777777" w:rsidR="002E25CB" w:rsidRPr="00CB2EB9" w:rsidRDefault="002E25CB" w:rsidP="00EC5BAB">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EC5BAB">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EC5BAB">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EC5BAB">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EC5BAB">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EC5BAB">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377419"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EC5BAB">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377419"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EC5BAB">
        <w:tc>
          <w:tcPr>
            <w:tcW w:w="9350" w:type="dxa"/>
          </w:tcPr>
          <w:p w14:paraId="489FBAF1" w14:textId="77777777" w:rsidR="002E25CB" w:rsidRDefault="002E25CB" w:rsidP="00EC5BAB">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EC5BAB">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EC5BAB">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377419"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EC5BAB">
        <w:tc>
          <w:tcPr>
            <w:tcW w:w="9350" w:type="dxa"/>
          </w:tcPr>
          <w:p w14:paraId="60696992" w14:textId="77777777" w:rsidR="002E25CB" w:rsidRPr="00F90D48" w:rsidRDefault="002E25CB" w:rsidP="00EC5BAB">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lastRenderedPageBreak/>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377419"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EC5BAB">
        <w:tc>
          <w:tcPr>
            <w:tcW w:w="9350" w:type="dxa"/>
          </w:tcPr>
          <w:p w14:paraId="6B2B90EA" w14:textId="77777777" w:rsidR="002E25CB" w:rsidRPr="00293024" w:rsidRDefault="002E25CB" w:rsidP="00EC5BAB">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EC5BAB">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EC5BAB">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EC5BAB">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EC5BAB">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EC5BAB">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EC5BAB">
        <w:tc>
          <w:tcPr>
            <w:tcW w:w="9350" w:type="dxa"/>
          </w:tcPr>
          <w:p w14:paraId="2B32A96F" w14:textId="77777777" w:rsidR="002E25CB" w:rsidRPr="009E118A" w:rsidRDefault="002E25CB" w:rsidP="00EC5BAB">
            <w:r w:rsidRPr="009E118A">
              <w:t>Observation-1: Using Msg1/A for RedCap UE identification could avoid unnecessary PRACH collision increase for the other type of devices.</w:t>
            </w:r>
          </w:p>
          <w:p w14:paraId="519ADA58" w14:textId="77777777" w:rsidR="002E25CB" w:rsidRPr="009E118A" w:rsidRDefault="002E25CB" w:rsidP="00EC5BAB">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EC5BAB">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EC5BAB">
            <w:pPr>
              <w:rPr>
                <w:lang w:val="en-GB"/>
              </w:rPr>
            </w:pPr>
          </w:p>
          <w:p w14:paraId="4F99EEF8" w14:textId="77777777" w:rsidR="002E25CB" w:rsidRPr="009E118A" w:rsidRDefault="002E25CB" w:rsidP="00EC5BAB">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EC5BAB">
        <w:tc>
          <w:tcPr>
            <w:tcW w:w="7910" w:type="dxa"/>
          </w:tcPr>
          <w:p w14:paraId="1C6365DB" w14:textId="77777777" w:rsidR="00E82016" w:rsidRPr="009B1593" w:rsidRDefault="00E82016" w:rsidP="00EC5BAB">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EC5BAB">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EC5BAB">
        <w:tc>
          <w:tcPr>
            <w:tcW w:w="7910" w:type="dxa"/>
          </w:tcPr>
          <w:p w14:paraId="4FE56D90" w14:textId="77777777" w:rsidR="00E82016" w:rsidRPr="00713CEF" w:rsidRDefault="00E82016" w:rsidP="00EC5BAB">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EC5BAB">
        <w:tc>
          <w:tcPr>
            <w:tcW w:w="7910" w:type="dxa"/>
          </w:tcPr>
          <w:p w14:paraId="6A0F7CAB" w14:textId="77777777" w:rsidR="00E82016" w:rsidRPr="00713CEF" w:rsidRDefault="00E82016" w:rsidP="00EC5BAB">
            <w:pPr>
              <w:ind w:right="-99"/>
              <w:rPr>
                <w:i/>
                <w:iCs/>
                <w:lang w:eastAsia="en-US"/>
              </w:rPr>
            </w:pPr>
            <w:r w:rsidRPr="00D65CD1">
              <w:rPr>
                <w:i/>
                <w:iCs/>
              </w:rPr>
              <w:lastRenderedPageBreak/>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EC5BAB">
        <w:tc>
          <w:tcPr>
            <w:tcW w:w="7910" w:type="dxa"/>
          </w:tcPr>
          <w:p w14:paraId="31CCD646" w14:textId="77777777" w:rsidR="00E82016" w:rsidRPr="00713CEF" w:rsidRDefault="00E82016" w:rsidP="00EC5BAB">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EC5BAB">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EC5BAB">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EC5BAB">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377419"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EC5BAB">
        <w:tc>
          <w:tcPr>
            <w:tcW w:w="7910" w:type="dxa"/>
          </w:tcPr>
          <w:p w14:paraId="4029D84E" w14:textId="77777777" w:rsidR="00E82016" w:rsidRPr="00DD127F" w:rsidRDefault="00E82016" w:rsidP="00EC5BAB">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EC5BAB">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594"/>
      <w:r>
        <w:rPr>
          <w:rFonts w:ascii="Arial" w:hAnsi="Arial"/>
          <w:b w:val="0"/>
          <w:bCs w:val="0"/>
          <w:sz w:val="36"/>
          <w:szCs w:val="20"/>
        </w:rPr>
        <w:t>Appendix B</w:t>
      </w:r>
      <w:bookmarkEnd w:id="15"/>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EC5BAB">
        <w:tc>
          <w:tcPr>
            <w:tcW w:w="9350" w:type="dxa"/>
          </w:tcPr>
          <w:p w14:paraId="46F2103B" w14:textId="77777777" w:rsidR="00211EC8" w:rsidRPr="00F96481" w:rsidRDefault="00211EC8" w:rsidP="00EC5BAB">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EC5BAB">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EC5BAB">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EC5BAB">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EC5BAB">
        <w:tc>
          <w:tcPr>
            <w:tcW w:w="9350" w:type="dxa"/>
          </w:tcPr>
          <w:p w14:paraId="4747FACD" w14:textId="77777777" w:rsidR="00416D1F" w:rsidRPr="00CD57A0" w:rsidRDefault="00416D1F" w:rsidP="00EC5BAB">
            <w:pPr>
              <w:rPr>
                <w:bCs/>
                <w:i/>
              </w:rPr>
            </w:pPr>
            <w:bookmarkStart w:id="16" w:name="OLE_LINK2"/>
            <w:bookmarkStart w:id="17" w:name="OLE_LINK3"/>
            <w:r w:rsidRPr="00CD57A0">
              <w:rPr>
                <w:bCs/>
                <w:i/>
              </w:rPr>
              <w:t xml:space="preserve">Proposal 1: RRM measurement relaxation for neighbour cells including frequency layers with higher/equal/lower </w:t>
            </w:r>
            <w:r w:rsidRPr="00CD57A0">
              <w:rPr>
                <w:bCs/>
                <w:i/>
              </w:rPr>
              <w:lastRenderedPageBreak/>
              <w:t>priority can be considered for stationary RedCap UEs.</w:t>
            </w:r>
          </w:p>
          <w:p w14:paraId="2F6D6955" w14:textId="77777777" w:rsidR="00416D1F" w:rsidRPr="00CD57A0" w:rsidRDefault="00416D1F" w:rsidP="00EC5BAB">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16"/>
            <w:bookmarkEnd w:id="17"/>
          </w:p>
        </w:tc>
      </w:tr>
    </w:tbl>
    <w:p w14:paraId="0D3340C5" w14:textId="77777777" w:rsidR="00F00B96" w:rsidRPr="00CF2A29" w:rsidRDefault="00F00B96" w:rsidP="00211EC8"/>
    <w:sectPr w:rsidR="00F00B96" w:rsidRPr="00CF2A29">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0466" w14:textId="77777777" w:rsidR="00377419" w:rsidRDefault="00377419" w:rsidP="004C0876">
      <w:pPr>
        <w:spacing w:after="0"/>
      </w:pPr>
      <w:r>
        <w:separator/>
      </w:r>
    </w:p>
  </w:endnote>
  <w:endnote w:type="continuationSeparator" w:id="0">
    <w:p w14:paraId="32D85B52" w14:textId="77777777" w:rsidR="00377419" w:rsidRDefault="00377419"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44DC" w14:textId="77777777" w:rsidR="00183029" w:rsidRDefault="0018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679AD1F3" w:rsidR="00FE73F0" w:rsidRDefault="00FE73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86F307" w14:textId="77777777" w:rsidR="00611C64" w:rsidRDefault="00611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5357" w14:textId="77777777" w:rsidR="00183029" w:rsidRDefault="0018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52C1B" w14:textId="77777777" w:rsidR="00377419" w:rsidRDefault="00377419" w:rsidP="004C0876">
      <w:pPr>
        <w:spacing w:after="0"/>
      </w:pPr>
      <w:r>
        <w:separator/>
      </w:r>
    </w:p>
  </w:footnote>
  <w:footnote w:type="continuationSeparator" w:id="0">
    <w:p w14:paraId="22C1CD3E" w14:textId="77777777" w:rsidR="00377419" w:rsidRDefault="00377419"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CF28" w14:textId="77777777" w:rsidR="00183029" w:rsidRDefault="00183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FDA9" w14:textId="77777777" w:rsidR="00183029" w:rsidRDefault="00183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E069F" w14:textId="77777777" w:rsidR="00183029" w:rsidRDefault="00183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7"/>
  </w:num>
  <w:num w:numId="2">
    <w:abstractNumId w:val="35"/>
  </w:num>
  <w:num w:numId="3">
    <w:abstractNumId w:val="15"/>
  </w:num>
  <w:num w:numId="4">
    <w:abstractNumId w:val="14"/>
  </w:num>
  <w:num w:numId="5">
    <w:abstractNumId w:val="7"/>
  </w:num>
  <w:num w:numId="6">
    <w:abstractNumId w:val="34"/>
  </w:num>
  <w:num w:numId="7">
    <w:abstractNumId w:val="26"/>
  </w:num>
  <w:num w:numId="8">
    <w:abstractNumId w:val="21"/>
  </w:num>
  <w:num w:numId="9">
    <w:abstractNumId w:val="2"/>
  </w:num>
  <w:num w:numId="10">
    <w:abstractNumId w:val="19"/>
  </w:num>
  <w:num w:numId="11">
    <w:abstractNumId w:val="9"/>
  </w:num>
  <w:num w:numId="12">
    <w:abstractNumId w:val="31"/>
  </w:num>
  <w:num w:numId="13">
    <w:abstractNumId w:val="6"/>
  </w:num>
  <w:num w:numId="14">
    <w:abstractNumId w:val="32"/>
  </w:num>
  <w:num w:numId="15">
    <w:abstractNumId w:val="16"/>
  </w:num>
  <w:num w:numId="16">
    <w:abstractNumId w:val="11"/>
  </w:num>
  <w:num w:numId="17">
    <w:abstractNumId w:val="24"/>
  </w:num>
  <w:num w:numId="18">
    <w:abstractNumId w:val="8"/>
  </w:num>
  <w:num w:numId="19">
    <w:abstractNumId w:val="4"/>
  </w:num>
  <w:num w:numId="20">
    <w:abstractNumId w:val="20"/>
  </w:num>
  <w:num w:numId="21">
    <w:abstractNumId w:val="27"/>
  </w:num>
  <w:num w:numId="22">
    <w:abstractNumId w:val="5"/>
  </w:num>
  <w:num w:numId="23">
    <w:abstractNumId w:val="0"/>
  </w:num>
  <w:num w:numId="24">
    <w:abstractNumId w:val="33"/>
  </w:num>
  <w:num w:numId="25">
    <w:abstractNumId w:val="18"/>
  </w:num>
  <w:num w:numId="26">
    <w:abstractNumId w:val="12"/>
  </w:num>
  <w:num w:numId="27">
    <w:abstractNumId w:val="30"/>
  </w:num>
  <w:num w:numId="28">
    <w:abstractNumId w:val="13"/>
  </w:num>
  <w:num w:numId="29">
    <w:abstractNumId w:val="23"/>
  </w:num>
  <w:num w:numId="30">
    <w:abstractNumId w:val="1"/>
  </w:num>
  <w:num w:numId="31">
    <w:abstractNumId w:val="10"/>
  </w:num>
  <w:num w:numId="32">
    <w:abstractNumId w:val="29"/>
  </w:num>
  <w:num w:numId="33">
    <w:abstractNumId w:val="28"/>
  </w:num>
  <w:num w:numId="34">
    <w:abstractNumId w:val="22"/>
  </w:num>
  <w:num w:numId="35">
    <w:abstractNumId w:val="25"/>
  </w:num>
  <w:num w:numId="3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20C1D"/>
    <w:rsid w:val="00020F81"/>
    <w:rsid w:val="0002393D"/>
    <w:rsid w:val="00026966"/>
    <w:rsid w:val="000272BA"/>
    <w:rsid w:val="00031D16"/>
    <w:rsid w:val="00031EE5"/>
    <w:rsid w:val="000336F4"/>
    <w:rsid w:val="000368EC"/>
    <w:rsid w:val="00036925"/>
    <w:rsid w:val="0004518F"/>
    <w:rsid w:val="00045728"/>
    <w:rsid w:val="00046C7B"/>
    <w:rsid w:val="0005089C"/>
    <w:rsid w:val="00051C70"/>
    <w:rsid w:val="00053B93"/>
    <w:rsid w:val="00056843"/>
    <w:rsid w:val="00057A3B"/>
    <w:rsid w:val="00057D50"/>
    <w:rsid w:val="00060126"/>
    <w:rsid w:val="00060BC7"/>
    <w:rsid w:val="00066263"/>
    <w:rsid w:val="00066338"/>
    <w:rsid w:val="00067254"/>
    <w:rsid w:val="00070CD1"/>
    <w:rsid w:val="0007221F"/>
    <w:rsid w:val="00073439"/>
    <w:rsid w:val="00074ADB"/>
    <w:rsid w:val="000758D2"/>
    <w:rsid w:val="00077CC0"/>
    <w:rsid w:val="00080D02"/>
    <w:rsid w:val="00082D0B"/>
    <w:rsid w:val="00082F72"/>
    <w:rsid w:val="00083593"/>
    <w:rsid w:val="0008537E"/>
    <w:rsid w:val="00086D7C"/>
    <w:rsid w:val="00090FE8"/>
    <w:rsid w:val="00093F5B"/>
    <w:rsid w:val="00094148"/>
    <w:rsid w:val="00094CAE"/>
    <w:rsid w:val="00094F64"/>
    <w:rsid w:val="00095033"/>
    <w:rsid w:val="000950EE"/>
    <w:rsid w:val="0009546B"/>
    <w:rsid w:val="0009692B"/>
    <w:rsid w:val="000969AE"/>
    <w:rsid w:val="000978FB"/>
    <w:rsid w:val="000A03F9"/>
    <w:rsid w:val="000A2A60"/>
    <w:rsid w:val="000A2F7F"/>
    <w:rsid w:val="000A2FE7"/>
    <w:rsid w:val="000A34D3"/>
    <w:rsid w:val="000A7E44"/>
    <w:rsid w:val="000A7F0C"/>
    <w:rsid w:val="000B01A0"/>
    <w:rsid w:val="000B463D"/>
    <w:rsid w:val="000B6F3D"/>
    <w:rsid w:val="000B71D1"/>
    <w:rsid w:val="000C07CD"/>
    <w:rsid w:val="000C0A12"/>
    <w:rsid w:val="000C0ADD"/>
    <w:rsid w:val="000C120E"/>
    <w:rsid w:val="000C17DD"/>
    <w:rsid w:val="000C2085"/>
    <w:rsid w:val="000C45B5"/>
    <w:rsid w:val="000C5541"/>
    <w:rsid w:val="000C584F"/>
    <w:rsid w:val="000C71C2"/>
    <w:rsid w:val="000D0C2C"/>
    <w:rsid w:val="000D261B"/>
    <w:rsid w:val="000D3E51"/>
    <w:rsid w:val="000D504F"/>
    <w:rsid w:val="000D6144"/>
    <w:rsid w:val="000D69E4"/>
    <w:rsid w:val="000E007E"/>
    <w:rsid w:val="000E3AFE"/>
    <w:rsid w:val="000E3E22"/>
    <w:rsid w:val="000E453D"/>
    <w:rsid w:val="000E4CF3"/>
    <w:rsid w:val="000E4FA8"/>
    <w:rsid w:val="000E539A"/>
    <w:rsid w:val="000E5F47"/>
    <w:rsid w:val="000E7322"/>
    <w:rsid w:val="000E78BA"/>
    <w:rsid w:val="000F0CB9"/>
    <w:rsid w:val="000F5C68"/>
    <w:rsid w:val="000F6703"/>
    <w:rsid w:val="000F6E5D"/>
    <w:rsid w:val="000F7D6D"/>
    <w:rsid w:val="000F7FFE"/>
    <w:rsid w:val="0010108F"/>
    <w:rsid w:val="00101523"/>
    <w:rsid w:val="0010210F"/>
    <w:rsid w:val="00102613"/>
    <w:rsid w:val="001033FE"/>
    <w:rsid w:val="00104598"/>
    <w:rsid w:val="001046FB"/>
    <w:rsid w:val="00104E63"/>
    <w:rsid w:val="00105D40"/>
    <w:rsid w:val="00105E22"/>
    <w:rsid w:val="00107AB7"/>
    <w:rsid w:val="00107B7C"/>
    <w:rsid w:val="0011528F"/>
    <w:rsid w:val="00117014"/>
    <w:rsid w:val="00117834"/>
    <w:rsid w:val="001179B7"/>
    <w:rsid w:val="001211A2"/>
    <w:rsid w:val="00122031"/>
    <w:rsid w:val="00122885"/>
    <w:rsid w:val="00122E13"/>
    <w:rsid w:val="00124713"/>
    <w:rsid w:val="00125A40"/>
    <w:rsid w:val="00131566"/>
    <w:rsid w:val="001316EB"/>
    <w:rsid w:val="001326FA"/>
    <w:rsid w:val="00132CEA"/>
    <w:rsid w:val="001341DE"/>
    <w:rsid w:val="00136B68"/>
    <w:rsid w:val="0014156D"/>
    <w:rsid w:val="00141E69"/>
    <w:rsid w:val="00143AA5"/>
    <w:rsid w:val="001459DF"/>
    <w:rsid w:val="00151549"/>
    <w:rsid w:val="00151BC4"/>
    <w:rsid w:val="00152BCF"/>
    <w:rsid w:val="00152DB1"/>
    <w:rsid w:val="001539A0"/>
    <w:rsid w:val="00154219"/>
    <w:rsid w:val="00155115"/>
    <w:rsid w:val="001567AA"/>
    <w:rsid w:val="0015776A"/>
    <w:rsid w:val="00163171"/>
    <w:rsid w:val="00164704"/>
    <w:rsid w:val="00164EF4"/>
    <w:rsid w:val="00165234"/>
    <w:rsid w:val="00165495"/>
    <w:rsid w:val="00166E1E"/>
    <w:rsid w:val="00167110"/>
    <w:rsid w:val="00170850"/>
    <w:rsid w:val="001719B6"/>
    <w:rsid w:val="00171E7D"/>
    <w:rsid w:val="001761A1"/>
    <w:rsid w:val="00176BA2"/>
    <w:rsid w:val="0017724D"/>
    <w:rsid w:val="00182879"/>
    <w:rsid w:val="00183029"/>
    <w:rsid w:val="00183D53"/>
    <w:rsid w:val="00183D99"/>
    <w:rsid w:val="00185C61"/>
    <w:rsid w:val="00186C7F"/>
    <w:rsid w:val="00186F19"/>
    <w:rsid w:val="00191DD9"/>
    <w:rsid w:val="00192421"/>
    <w:rsid w:val="00192AFC"/>
    <w:rsid w:val="00193D4C"/>
    <w:rsid w:val="00195805"/>
    <w:rsid w:val="00197009"/>
    <w:rsid w:val="0019713C"/>
    <w:rsid w:val="001972D1"/>
    <w:rsid w:val="001A2F6C"/>
    <w:rsid w:val="001A52DB"/>
    <w:rsid w:val="001A584E"/>
    <w:rsid w:val="001A7CD0"/>
    <w:rsid w:val="001B0A55"/>
    <w:rsid w:val="001B0ADA"/>
    <w:rsid w:val="001B0CAC"/>
    <w:rsid w:val="001B117D"/>
    <w:rsid w:val="001B2246"/>
    <w:rsid w:val="001B4F71"/>
    <w:rsid w:val="001B6C6D"/>
    <w:rsid w:val="001C0C19"/>
    <w:rsid w:val="001C0EEB"/>
    <w:rsid w:val="001C1DB4"/>
    <w:rsid w:val="001C2991"/>
    <w:rsid w:val="001C3727"/>
    <w:rsid w:val="001C45D3"/>
    <w:rsid w:val="001C4F95"/>
    <w:rsid w:val="001C6296"/>
    <w:rsid w:val="001D08D5"/>
    <w:rsid w:val="001D0D21"/>
    <w:rsid w:val="001D4654"/>
    <w:rsid w:val="001D4BE1"/>
    <w:rsid w:val="001D77CC"/>
    <w:rsid w:val="001E06A4"/>
    <w:rsid w:val="001E08B1"/>
    <w:rsid w:val="001E3135"/>
    <w:rsid w:val="001E4D8E"/>
    <w:rsid w:val="001E5720"/>
    <w:rsid w:val="001E5BD8"/>
    <w:rsid w:val="001E7B74"/>
    <w:rsid w:val="001F3D96"/>
    <w:rsid w:val="001F3F1D"/>
    <w:rsid w:val="001F46C4"/>
    <w:rsid w:val="001F51E5"/>
    <w:rsid w:val="001F53E1"/>
    <w:rsid w:val="001F64A9"/>
    <w:rsid w:val="001F6B7F"/>
    <w:rsid w:val="001F7087"/>
    <w:rsid w:val="00200F8F"/>
    <w:rsid w:val="002018B8"/>
    <w:rsid w:val="00201D76"/>
    <w:rsid w:val="00202B61"/>
    <w:rsid w:val="00203100"/>
    <w:rsid w:val="002053F8"/>
    <w:rsid w:val="00205E91"/>
    <w:rsid w:val="00206A2F"/>
    <w:rsid w:val="0020747E"/>
    <w:rsid w:val="00211B66"/>
    <w:rsid w:val="00211D62"/>
    <w:rsid w:val="00211EC8"/>
    <w:rsid w:val="0021425A"/>
    <w:rsid w:val="002150CA"/>
    <w:rsid w:val="00215DF8"/>
    <w:rsid w:val="002179F8"/>
    <w:rsid w:val="00217B5F"/>
    <w:rsid w:val="002212B8"/>
    <w:rsid w:val="00222A70"/>
    <w:rsid w:val="002234A7"/>
    <w:rsid w:val="002237E6"/>
    <w:rsid w:val="00224209"/>
    <w:rsid w:val="0022769E"/>
    <w:rsid w:val="00230496"/>
    <w:rsid w:val="00232853"/>
    <w:rsid w:val="002335A2"/>
    <w:rsid w:val="0023365D"/>
    <w:rsid w:val="002336C0"/>
    <w:rsid w:val="002347E5"/>
    <w:rsid w:val="00234EB8"/>
    <w:rsid w:val="00240004"/>
    <w:rsid w:val="00240779"/>
    <w:rsid w:val="00240A24"/>
    <w:rsid w:val="00241CB7"/>
    <w:rsid w:val="00242990"/>
    <w:rsid w:val="00242DE8"/>
    <w:rsid w:val="002470AB"/>
    <w:rsid w:val="002518AC"/>
    <w:rsid w:val="002555EA"/>
    <w:rsid w:val="002570CB"/>
    <w:rsid w:val="002579A4"/>
    <w:rsid w:val="002605A8"/>
    <w:rsid w:val="002606DB"/>
    <w:rsid w:val="0026234E"/>
    <w:rsid w:val="0026628E"/>
    <w:rsid w:val="002703CA"/>
    <w:rsid w:val="00273359"/>
    <w:rsid w:val="0027336B"/>
    <w:rsid w:val="00273F56"/>
    <w:rsid w:val="00274972"/>
    <w:rsid w:val="0027523D"/>
    <w:rsid w:val="00277ED4"/>
    <w:rsid w:val="002815BC"/>
    <w:rsid w:val="00281D78"/>
    <w:rsid w:val="00283CE6"/>
    <w:rsid w:val="00284D0A"/>
    <w:rsid w:val="00285D81"/>
    <w:rsid w:val="0028686F"/>
    <w:rsid w:val="0028713D"/>
    <w:rsid w:val="002912A4"/>
    <w:rsid w:val="00293499"/>
    <w:rsid w:val="002940DE"/>
    <w:rsid w:val="002941D2"/>
    <w:rsid w:val="00294EC7"/>
    <w:rsid w:val="00295114"/>
    <w:rsid w:val="00295687"/>
    <w:rsid w:val="00295E1C"/>
    <w:rsid w:val="0029691A"/>
    <w:rsid w:val="002A0384"/>
    <w:rsid w:val="002A094B"/>
    <w:rsid w:val="002A288F"/>
    <w:rsid w:val="002A4D2B"/>
    <w:rsid w:val="002A5D6A"/>
    <w:rsid w:val="002A6E15"/>
    <w:rsid w:val="002B22B7"/>
    <w:rsid w:val="002B254D"/>
    <w:rsid w:val="002B3212"/>
    <w:rsid w:val="002B4397"/>
    <w:rsid w:val="002B52C9"/>
    <w:rsid w:val="002B5711"/>
    <w:rsid w:val="002B5780"/>
    <w:rsid w:val="002B5CDC"/>
    <w:rsid w:val="002B6308"/>
    <w:rsid w:val="002B647B"/>
    <w:rsid w:val="002C0FF0"/>
    <w:rsid w:val="002C2CCF"/>
    <w:rsid w:val="002C2F53"/>
    <w:rsid w:val="002C3BEF"/>
    <w:rsid w:val="002C3DB0"/>
    <w:rsid w:val="002C5B81"/>
    <w:rsid w:val="002C6CD5"/>
    <w:rsid w:val="002C77D0"/>
    <w:rsid w:val="002D0179"/>
    <w:rsid w:val="002D0444"/>
    <w:rsid w:val="002D103F"/>
    <w:rsid w:val="002D1F61"/>
    <w:rsid w:val="002D39F9"/>
    <w:rsid w:val="002D5053"/>
    <w:rsid w:val="002D6854"/>
    <w:rsid w:val="002E1C44"/>
    <w:rsid w:val="002E25CB"/>
    <w:rsid w:val="002E3491"/>
    <w:rsid w:val="002E523D"/>
    <w:rsid w:val="002E5F18"/>
    <w:rsid w:val="002E6500"/>
    <w:rsid w:val="002E679E"/>
    <w:rsid w:val="002E6D80"/>
    <w:rsid w:val="002F0669"/>
    <w:rsid w:val="002F17FA"/>
    <w:rsid w:val="002F3829"/>
    <w:rsid w:val="002F642C"/>
    <w:rsid w:val="002F67F9"/>
    <w:rsid w:val="002F72EF"/>
    <w:rsid w:val="002F7732"/>
    <w:rsid w:val="00300F2C"/>
    <w:rsid w:val="003013AD"/>
    <w:rsid w:val="00302709"/>
    <w:rsid w:val="003039E9"/>
    <w:rsid w:val="00304E31"/>
    <w:rsid w:val="00306524"/>
    <w:rsid w:val="003076F3"/>
    <w:rsid w:val="00307AF5"/>
    <w:rsid w:val="003105E6"/>
    <w:rsid w:val="00311485"/>
    <w:rsid w:val="0031191B"/>
    <w:rsid w:val="003138D8"/>
    <w:rsid w:val="00315D8B"/>
    <w:rsid w:val="003161AB"/>
    <w:rsid w:val="00317C62"/>
    <w:rsid w:val="0032076F"/>
    <w:rsid w:val="00324F04"/>
    <w:rsid w:val="00325424"/>
    <w:rsid w:val="00325D35"/>
    <w:rsid w:val="00326529"/>
    <w:rsid w:val="0032758F"/>
    <w:rsid w:val="00327E8D"/>
    <w:rsid w:val="0033248D"/>
    <w:rsid w:val="00332800"/>
    <w:rsid w:val="00332DAB"/>
    <w:rsid w:val="0033579C"/>
    <w:rsid w:val="003401B2"/>
    <w:rsid w:val="00341D78"/>
    <w:rsid w:val="003426D9"/>
    <w:rsid w:val="00343084"/>
    <w:rsid w:val="00344AB1"/>
    <w:rsid w:val="003504FB"/>
    <w:rsid w:val="00351034"/>
    <w:rsid w:val="00351238"/>
    <w:rsid w:val="00351B20"/>
    <w:rsid w:val="003527B3"/>
    <w:rsid w:val="0035470C"/>
    <w:rsid w:val="003557D5"/>
    <w:rsid w:val="003565BA"/>
    <w:rsid w:val="0035737D"/>
    <w:rsid w:val="00360291"/>
    <w:rsid w:val="00360AC9"/>
    <w:rsid w:val="00360D81"/>
    <w:rsid w:val="00361449"/>
    <w:rsid w:val="003617AC"/>
    <w:rsid w:val="003625D8"/>
    <w:rsid w:val="00363631"/>
    <w:rsid w:val="003636FA"/>
    <w:rsid w:val="00365252"/>
    <w:rsid w:val="00365284"/>
    <w:rsid w:val="00367943"/>
    <w:rsid w:val="003714E6"/>
    <w:rsid w:val="00371CD2"/>
    <w:rsid w:val="0037270E"/>
    <w:rsid w:val="00373064"/>
    <w:rsid w:val="003731BB"/>
    <w:rsid w:val="003733FA"/>
    <w:rsid w:val="00376887"/>
    <w:rsid w:val="0037722D"/>
    <w:rsid w:val="00377419"/>
    <w:rsid w:val="00380B12"/>
    <w:rsid w:val="00381DE8"/>
    <w:rsid w:val="00382306"/>
    <w:rsid w:val="00383451"/>
    <w:rsid w:val="00384478"/>
    <w:rsid w:val="00386C31"/>
    <w:rsid w:val="00386E2D"/>
    <w:rsid w:val="00386F24"/>
    <w:rsid w:val="00390E2D"/>
    <w:rsid w:val="0039171C"/>
    <w:rsid w:val="00393231"/>
    <w:rsid w:val="00395618"/>
    <w:rsid w:val="003960B6"/>
    <w:rsid w:val="003A01F9"/>
    <w:rsid w:val="003A439C"/>
    <w:rsid w:val="003A6E08"/>
    <w:rsid w:val="003B087E"/>
    <w:rsid w:val="003B0EFF"/>
    <w:rsid w:val="003B1EF4"/>
    <w:rsid w:val="003B3843"/>
    <w:rsid w:val="003B4A93"/>
    <w:rsid w:val="003B50ED"/>
    <w:rsid w:val="003B68B3"/>
    <w:rsid w:val="003B715F"/>
    <w:rsid w:val="003B789C"/>
    <w:rsid w:val="003B7BBB"/>
    <w:rsid w:val="003C0107"/>
    <w:rsid w:val="003C3888"/>
    <w:rsid w:val="003C3F44"/>
    <w:rsid w:val="003C64C0"/>
    <w:rsid w:val="003C7404"/>
    <w:rsid w:val="003D1F41"/>
    <w:rsid w:val="003D23E1"/>
    <w:rsid w:val="003D2439"/>
    <w:rsid w:val="003D5061"/>
    <w:rsid w:val="003D6508"/>
    <w:rsid w:val="003D6804"/>
    <w:rsid w:val="003D70B8"/>
    <w:rsid w:val="003E64FE"/>
    <w:rsid w:val="003E6D49"/>
    <w:rsid w:val="003F0094"/>
    <w:rsid w:val="003F1149"/>
    <w:rsid w:val="003F1C83"/>
    <w:rsid w:val="003F2C80"/>
    <w:rsid w:val="003F342A"/>
    <w:rsid w:val="003F3E90"/>
    <w:rsid w:val="003F4458"/>
    <w:rsid w:val="003F6055"/>
    <w:rsid w:val="003F68D1"/>
    <w:rsid w:val="00400445"/>
    <w:rsid w:val="00400F3F"/>
    <w:rsid w:val="00400F4B"/>
    <w:rsid w:val="00400F6B"/>
    <w:rsid w:val="004033AC"/>
    <w:rsid w:val="00403808"/>
    <w:rsid w:val="00403F4B"/>
    <w:rsid w:val="00405B58"/>
    <w:rsid w:val="00406AC9"/>
    <w:rsid w:val="00411A32"/>
    <w:rsid w:val="00411D2F"/>
    <w:rsid w:val="00416430"/>
    <w:rsid w:val="00416D1F"/>
    <w:rsid w:val="00420B27"/>
    <w:rsid w:val="00421B53"/>
    <w:rsid w:val="00422213"/>
    <w:rsid w:val="004225F4"/>
    <w:rsid w:val="00423D57"/>
    <w:rsid w:val="00424309"/>
    <w:rsid w:val="0042583C"/>
    <w:rsid w:val="00425AF1"/>
    <w:rsid w:val="00426B9F"/>
    <w:rsid w:val="004272DF"/>
    <w:rsid w:val="004275AA"/>
    <w:rsid w:val="00431409"/>
    <w:rsid w:val="004316B6"/>
    <w:rsid w:val="00432742"/>
    <w:rsid w:val="00434DD3"/>
    <w:rsid w:val="0043552F"/>
    <w:rsid w:val="00437168"/>
    <w:rsid w:val="00440E97"/>
    <w:rsid w:val="00443FCA"/>
    <w:rsid w:val="00446A9A"/>
    <w:rsid w:val="004515E8"/>
    <w:rsid w:val="004525BB"/>
    <w:rsid w:val="004539CF"/>
    <w:rsid w:val="00453AE2"/>
    <w:rsid w:val="004540FD"/>
    <w:rsid w:val="00455A38"/>
    <w:rsid w:val="00456445"/>
    <w:rsid w:val="004573D0"/>
    <w:rsid w:val="00457B09"/>
    <w:rsid w:val="00464B14"/>
    <w:rsid w:val="00467639"/>
    <w:rsid w:val="0047242D"/>
    <w:rsid w:val="0047289B"/>
    <w:rsid w:val="00472A5C"/>
    <w:rsid w:val="004730A8"/>
    <w:rsid w:val="00473358"/>
    <w:rsid w:val="00473B72"/>
    <w:rsid w:val="00473C26"/>
    <w:rsid w:val="00474429"/>
    <w:rsid w:val="00477429"/>
    <w:rsid w:val="004776C6"/>
    <w:rsid w:val="00481643"/>
    <w:rsid w:val="00481CA9"/>
    <w:rsid w:val="0048233C"/>
    <w:rsid w:val="004829D5"/>
    <w:rsid w:val="00483DE4"/>
    <w:rsid w:val="0048613C"/>
    <w:rsid w:val="00486F84"/>
    <w:rsid w:val="004872BB"/>
    <w:rsid w:val="0049086E"/>
    <w:rsid w:val="0049116A"/>
    <w:rsid w:val="00491BE1"/>
    <w:rsid w:val="00491ECD"/>
    <w:rsid w:val="004A29B4"/>
    <w:rsid w:val="004A3353"/>
    <w:rsid w:val="004A3E39"/>
    <w:rsid w:val="004A66C5"/>
    <w:rsid w:val="004A698C"/>
    <w:rsid w:val="004A7A88"/>
    <w:rsid w:val="004B1692"/>
    <w:rsid w:val="004B2B34"/>
    <w:rsid w:val="004B31EF"/>
    <w:rsid w:val="004B56FF"/>
    <w:rsid w:val="004B5830"/>
    <w:rsid w:val="004B58F6"/>
    <w:rsid w:val="004B6A27"/>
    <w:rsid w:val="004C0876"/>
    <w:rsid w:val="004C1FD5"/>
    <w:rsid w:val="004C373B"/>
    <w:rsid w:val="004C51B4"/>
    <w:rsid w:val="004D03D5"/>
    <w:rsid w:val="004D08B1"/>
    <w:rsid w:val="004D26CA"/>
    <w:rsid w:val="004D2DE4"/>
    <w:rsid w:val="004D3994"/>
    <w:rsid w:val="004D4B46"/>
    <w:rsid w:val="004D4EC9"/>
    <w:rsid w:val="004D6782"/>
    <w:rsid w:val="004E0C39"/>
    <w:rsid w:val="004E1E40"/>
    <w:rsid w:val="004E25E8"/>
    <w:rsid w:val="004E3E1B"/>
    <w:rsid w:val="004E411E"/>
    <w:rsid w:val="004E5562"/>
    <w:rsid w:val="004E67E2"/>
    <w:rsid w:val="004E75BE"/>
    <w:rsid w:val="004E785E"/>
    <w:rsid w:val="004E7B98"/>
    <w:rsid w:val="004F072F"/>
    <w:rsid w:val="004F2691"/>
    <w:rsid w:val="005012D8"/>
    <w:rsid w:val="00501757"/>
    <w:rsid w:val="00502183"/>
    <w:rsid w:val="0050245D"/>
    <w:rsid w:val="0050280D"/>
    <w:rsid w:val="0050324C"/>
    <w:rsid w:val="00503842"/>
    <w:rsid w:val="00503FBF"/>
    <w:rsid w:val="00504D35"/>
    <w:rsid w:val="005057DB"/>
    <w:rsid w:val="0050584C"/>
    <w:rsid w:val="00505BA7"/>
    <w:rsid w:val="005069D7"/>
    <w:rsid w:val="005078CF"/>
    <w:rsid w:val="00507C2D"/>
    <w:rsid w:val="00511022"/>
    <w:rsid w:val="00511B87"/>
    <w:rsid w:val="00513CB6"/>
    <w:rsid w:val="0051481E"/>
    <w:rsid w:val="00515F30"/>
    <w:rsid w:val="00520EE0"/>
    <w:rsid w:val="00522931"/>
    <w:rsid w:val="00523CC6"/>
    <w:rsid w:val="00526069"/>
    <w:rsid w:val="00526711"/>
    <w:rsid w:val="005274EA"/>
    <w:rsid w:val="00527DB8"/>
    <w:rsid w:val="00531E61"/>
    <w:rsid w:val="00532090"/>
    <w:rsid w:val="00532625"/>
    <w:rsid w:val="0053516D"/>
    <w:rsid w:val="005357B3"/>
    <w:rsid w:val="005366F4"/>
    <w:rsid w:val="00536923"/>
    <w:rsid w:val="00540FEE"/>
    <w:rsid w:val="00542C3E"/>
    <w:rsid w:val="005432FA"/>
    <w:rsid w:val="00545239"/>
    <w:rsid w:val="00545D32"/>
    <w:rsid w:val="0054670D"/>
    <w:rsid w:val="005474C2"/>
    <w:rsid w:val="005501E9"/>
    <w:rsid w:val="00550E5C"/>
    <w:rsid w:val="00553025"/>
    <w:rsid w:val="0055356A"/>
    <w:rsid w:val="00553CD0"/>
    <w:rsid w:val="0055517A"/>
    <w:rsid w:val="0055547C"/>
    <w:rsid w:val="005555AB"/>
    <w:rsid w:val="00556E47"/>
    <w:rsid w:val="00556F18"/>
    <w:rsid w:val="005602D4"/>
    <w:rsid w:val="0056066F"/>
    <w:rsid w:val="00560F89"/>
    <w:rsid w:val="005610FD"/>
    <w:rsid w:val="0056156E"/>
    <w:rsid w:val="005623AD"/>
    <w:rsid w:val="00563B56"/>
    <w:rsid w:val="00566E19"/>
    <w:rsid w:val="005676A9"/>
    <w:rsid w:val="00567A07"/>
    <w:rsid w:val="005701AE"/>
    <w:rsid w:val="00570C00"/>
    <w:rsid w:val="00571085"/>
    <w:rsid w:val="005717BB"/>
    <w:rsid w:val="005731CB"/>
    <w:rsid w:val="00573B42"/>
    <w:rsid w:val="00573FC9"/>
    <w:rsid w:val="00575FF3"/>
    <w:rsid w:val="00576317"/>
    <w:rsid w:val="00577292"/>
    <w:rsid w:val="00580364"/>
    <w:rsid w:val="00582863"/>
    <w:rsid w:val="00583ABA"/>
    <w:rsid w:val="00584507"/>
    <w:rsid w:val="00584645"/>
    <w:rsid w:val="00585516"/>
    <w:rsid w:val="005875E7"/>
    <w:rsid w:val="00587799"/>
    <w:rsid w:val="00587979"/>
    <w:rsid w:val="00590AC1"/>
    <w:rsid w:val="0059163E"/>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CEC"/>
    <w:rsid w:val="005A4217"/>
    <w:rsid w:val="005A573E"/>
    <w:rsid w:val="005B13D8"/>
    <w:rsid w:val="005B18BB"/>
    <w:rsid w:val="005B258D"/>
    <w:rsid w:val="005B295B"/>
    <w:rsid w:val="005B3671"/>
    <w:rsid w:val="005B3D3B"/>
    <w:rsid w:val="005B56C3"/>
    <w:rsid w:val="005C0AAD"/>
    <w:rsid w:val="005C0AEE"/>
    <w:rsid w:val="005C2450"/>
    <w:rsid w:val="005C3365"/>
    <w:rsid w:val="005C47CE"/>
    <w:rsid w:val="005D0D8B"/>
    <w:rsid w:val="005D4E5B"/>
    <w:rsid w:val="005D6105"/>
    <w:rsid w:val="005D7A6F"/>
    <w:rsid w:val="005E00E8"/>
    <w:rsid w:val="005E02C3"/>
    <w:rsid w:val="005E04C0"/>
    <w:rsid w:val="005E11B7"/>
    <w:rsid w:val="005E150E"/>
    <w:rsid w:val="005E3AFB"/>
    <w:rsid w:val="005E61A6"/>
    <w:rsid w:val="005E68AB"/>
    <w:rsid w:val="005E6FA9"/>
    <w:rsid w:val="005E71C7"/>
    <w:rsid w:val="005E75D1"/>
    <w:rsid w:val="005F1597"/>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C64"/>
    <w:rsid w:val="006126E0"/>
    <w:rsid w:val="00613651"/>
    <w:rsid w:val="00613654"/>
    <w:rsid w:val="00614264"/>
    <w:rsid w:val="006176A2"/>
    <w:rsid w:val="00617BFF"/>
    <w:rsid w:val="0062048D"/>
    <w:rsid w:val="006208F9"/>
    <w:rsid w:val="0062142C"/>
    <w:rsid w:val="006235D4"/>
    <w:rsid w:val="006240A1"/>
    <w:rsid w:val="00624F23"/>
    <w:rsid w:val="00630509"/>
    <w:rsid w:val="00631FEC"/>
    <w:rsid w:val="00632337"/>
    <w:rsid w:val="00632787"/>
    <w:rsid w:val="00633093"/>
    <w:rsid w:val="006333BB"/>
    <w:rsid w:val="00635D7E"/>
    <w:rsid w:val="00640534"/>
    <w:rsid w:val="00643905"/>
    <w:rsid w:val="00643CBE"/>
    <w:rsid w:val="00650450"/>
    <w:rsid w:val="00650D8F"/>
    <w:rsid w:val="00650DF0"/>
    <w:rsid w:val="00651A80"/>
    <w:rsid w:val="00651F55"/>
    <w:rsid w:val="006523A9"/>
    <w:rsid w:val="00652559"/>
    <w:rsid w:val="006529CE"/>
    <w:rsid w:val="00652B69"/>
    <w:rsid w:val="00654504"/>
    <w:rsid w:val="00654E02"/>
    <w:rsid w:val="00660A60"/>
    <w:rsid w:val="00660F6E"/>
    <w:rsid w:val="006614D5"/>
    <w:rsid w:val="00665D26"/>
    <w:rsid w:val="00666723"/>
    <w:rsid w:val="00666AFD"/>
    <w:rsid w:val="00672097"/>
    <w:rsid w:val="00672262"/>
    <w:rsid w:val="0067321F"/>
    <w:rsid w:val="00675E47"/>
    <w:rsid w:val="00677DCC"/>
    <w:rsid w:val="00680085"/>
    <w:rsid w:val="006808CB"/>
    <w:rsid w:val="00680C28"/>
    <w:rsid w:val="00680D79"/>
    <w:rsid w:val="00681BA3"/>
    <w:rsid w:val="00683172"/>
    <w:rsid w:val="00683504"/>
    <w:rsid w:val="00684CA9"/>
    <w:rsid w:val="00690BFF"/>
    <w:rsid w:val="006911BA"/>
    <w:rsid w:val="00691C30"/>
    <w:rsid w:val="00692515"/>
    <w:rsid w:val="006935EB"/>
    <w:rsid w:val="00695640"/>
    <w:rsid w:val="00695B32"/>
    <w:rsid w:val="00697979"/>
    <w:rsid w:val="006A00F8"/>
    <w:rsid w:val="006A1C8D"/>
    <w:rsid w:val="006A22AC"/>
    <w:rsid w:val="006A27AB"/>
    <w:rsid w:val="006A2EE1"/>
    <w:rsid w:val="006A2F5A"/>
    <w:rsid w:val="006A304A"/>
    <w:rsid w:val="006A3CB7"/>
    <w:rsid w:val="006A3CEB"/>
    <w:rsid w:val="006A3F3C"/>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6042"/>
    <w:rsid w:val="006D704D"/>
    <w:rsid w:val="006E1CA4"/>
    <w:rsid w:val="006E2C95"/>
    <w:rsid w:val="006E4E63"/>
    <w:rsid w:val="006E712F"/>
    <w:rsid w:val="006F0AA8"/>
    <w:rsid w:val="006F0E96"/>
    <w:rsid w:val="006F2FC7"/>
    <w:rsid w:val="006F3370"/>
    <w:rsid w:val="006F3BD8"/>
    <w:rsid w:val="006F5E15"/>
    <w:rsid w:val="006F6909"/>
    <w:rsid w:val="006F6F0E"/>
    <w:rsid w:val="006F7390"/>
    <w:rsid w:val="006F791F"/>
    <w:rsid w:val="00700C77"/>
    <w:rsid w:val="00701F73"/>
    <w:rsid w:val="00703EE4"/>
    <w:rsid w:val="00704311"/>
    <w:rsid w:val="007051D4"/>
    <w:rsid w:val="00705A62"/>
    <w:rsid w:val="00706E06"/>
    <w:rsid w:val="007100A6"/>
    <w:rsid w:val="00710875"/>
    <w:rsid w:val="00711B9A"/>
    <w:rsid w:val="0071344F"/>
    <w:rsid w:val="00714A0C"/>
    <w:rsid w:val="00714C2F"/>
    <w:rsid w:val="007153F8"/>
    <w:rsid w:val="0071780F"/>
    <w:rsid w:val="00720543"/>
    <w:rsid w:val="00722120"/>
    <w:rsid w:val="00723E11"/>
    <w:rsid w:val="007248E3"/>
    <w:rsid w:val="00725060"/>
    <w:rsid w:val="00725DFE"/>
    <w:rsid w:val="007262AD"/>
    <w:rsid w:val="00726931"/>
    <w:rsid w:val="00731EBF"/>
    <w:rsid w:val="007349D4"/>
    <w:rsid w:val="00736201"/>
    <w:rsid w:val="0073747C"/>
    <w:rsid w:val="00737DC3"/>
    <w:rsid w:val="00740972"/>
    <w:rsid w:val="0074121F"/>
    <w:rsid w:val="00752539"/>
    <w:rsid w:val="007531D5"/>
    <w:rsid w:val="007552DE"/>
    <w:rsid w:val="00756B6B"/>
    <w:rsid w:val="0075717E"/>
    <w:rsid w:val="00757188"/>
    <w:rsid w:val="007571AC"/>
    <w:rsid w:val="00760FDA"/>
    <w:rsid w:val="007616F9"/>
    <w:rsid w:val="00761FCB"/>
    <w:rsid w:val="0076289E"/>
    <w:rsid w:val="007639FD"/>
    <w:rsid w:val="00763FE7"/>
    <w:rsid w:val="0076552F"/>
    <w:rsid w:val="00765AC4"/>
    <w:rsid w:val="0076683F"/>
    <w:rsid w:val="00766952"/>
    <w:rsid w:val="00770617"/>
    <w:rsid w:val="00770704"/>
    <w:rsid w:val="00770D6D"/>
    <w:rsid w:val="00772254"/>
    <w:rsid w:val="007757FB"/>
    <w:rsid w:val="007764AA"/>
    <w:rsid w:val="007811DA"/>
    <w:rsid w:val="0078214E"/>
    <w:rsid w:val="0078220B"/>
    <w:rsid w:val="007824CD"/>
    <w:rsid w:val="0078253F"/>
    <w:rsid w:val="00782C45"/>
    <w:rsid w:val="007830CE"/>
    <w:rsid w:val="0078344B"/>
    <w:rsid w:val="00784898"/>
    <w:rsid w:val="007854EB"/>
    <w:rsid w:val="00785D38"/>
    <w:rsid w:val="007860B8"/>
    <w:rsid w:val="00786BDA"/>
    <w:rsid w:val="00790A15"/>
    <w:rsid w:val="00790A84"/>
    <w:rsid w:val="00791070"/>
    <w:rsid w:val="00791653"/>
    <w:rsid w:val="0079253F"/>
    <w:rsid w:val="00792B8B"/>
    <w:rsid w:val="00792E07"/>
    <w:rsid w:val="0079328C"/>
    <w:rsid w:val="00793757"/>
    <w:rsid w:val="00793DB3"/>
    <w:rsid w:val="00794FC1"/>
    <w:rsid w:val="0079551B"/>
    <w:rsid w:val="00795ED0"/>
    <w:rsid w:val="007965C1"/>
    <w:rsid w:val="007A0246"/>
    <w:rsid w:val="007A3582"/>
    <w:rsid w:val="007A57DB"/>
    <w:rsid w:val="007A6C25"/>
    <w:rsid w:val="007B0FEE"/>
    <w:rsid w:val="007B1877"/>
    <w:rsid w:val="007B1DB8"/>
    <w:rsid w:val="007B36E5"/>
    <w:rsid w:val="007B3AEC"/>
    <w:rsid w:val="007B3F7B"/>
    <w:rsid w:val="007B5B29"/>
    <w:rsid w:val="007B6531"/>
    <w:rsid w:val="007B6946"/>
    <w:rsid w:val="007C0283"/>
    <w:rsid w:val="007C1391"/>
    <w:rsid w:val="007C2258"/>
    <w:rsid w:val="007C37B6"/>
    <w:rsid w:val="007C4164"/>
    <w:rsid w:val="007C4F0C"/>
    <w:rsid w:val="007C6921"/>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592A"/>
    <w:rsid w:val="007E687B"/>
    <w:rsid w:val="007E71E9"/>
    <w:rsid w:val="007F00E3"/>
    <w:rsid w:val="007F06EA"/>
    <w:rsid w:val="007F1306"/>
    <w:rsid w:val="007F13E0"/>
    <w:rsid w:val="007F1C13"/>
    <w:rsid w:val="007F250A"/>
    <w:rsid w:val="007F3032"/>
    <w:rsid w:val="007F3BC5"/>
    <w:rsid w:val="007F4F89"/>
    <w:rsid w:val="007F52FB"/>
    <w:rsid w:val="007F5E40"/>
    <w:rsid w:val="00800EC5"/>
    <w:rsid w:val="00801D1D"/>
    <w:rsid w:val="00802E30"/>
    <w:rsid w:val="008046E1"/>
    <w:rsid w:val="00804D5B"/>
    <w:rsid w:val="00806954"/>
    <w:rsid w:val="00806C7A"/>
    <w:rsid w:val="00807FA6"/>
    <w:rsid w:val="008109DF"/>
    <w:rsid w:val="00811ED4"/>
    <w:rsid w:val="008141CF"/>
    <w:rsid w:val="008142BD"/>
    <w:rsid w:val="00820B5B"/>
    <w:rsid w:val="00822040"/>
    <w:rsid w:val="0082344B"/>
    <w:rsid w:val="008251DC"/>
    <w:rsid w:val="00825361"/>
    <w:rsid w:val="008264FA"/>
    <w:rsid w:val="00827C8E"/>
    <w:rsid w:val="0083105D"/>
    <w:rsid w:val="00831241"/>
    <w:rsid w:val="00831E70"/>
    <w:rsid w:val="00831EC0"/>
    <w:rsid w:val="008326D3"/>
    <w:rsid w:val="0083309A"/>
    <w:rsid w:val="00834D48"/>
    <w:rsid w:val="00835346"/>
    <w:rsid w:val="00835F6D"/>
    <w:rsid w:val="008376DD"/>
    <w:rsid w:val="008410E6"/>
    <w:rsid w:val="00841138"/>
    <w:rsid w:val="00841489"/>
    <w:rsid w:val="00841F48"/>
    <w:rsid w:val="008429CE"/>
    <w:rsid w:val="00844286"/>
    <w:rsid w:val="00844668"/>
    <w:rsid w:val="00847003"/>
    <w:rsid w:val="00847AEC"/>
    <w:rsid w:val="00847C9B"/>
    <w:rsid w:val="00850974"/>
    <w:rsid w:val="00851DCB"/>
    <w:rsid w:val="00851E37"/>
    <w:rsid w:val="00852F00"/>
    <w:rsid w:val="00854702"/>
    <w:rsid w:val="00854C25"/>
    <w:rsid w:val="00854C4C"/>
    <w:rsid w:val="00856386"/>
    <w:rsid w:val="00856F73"/>
    <w:rsid w:val="0085749C"/>
    <w:rsid w:val="00857876"/>
    <w:rsid w:val="0086070D"/>
    <w:rsid w:val="00860B72"/>
    <w:rsid w:val="00865767"/>
    <w:rsid w:val="008660DA"/>
    <w:rsid w:val="008705FA"/>
    <w:rsid w:val="00872BC3"/>
    <w:rsid w:val="008732E6"/>
    <w:rsid w:val="0087472B"/>
    <w:rsid w:val="00874E82"/>
    <w:rsid w:val="0087537C"/>
    <w:rsid w:val="0087568D"/>
    <w:rsid w:val="00877A26"/>
    <w:rsid w:val="00877ADC"/>
    <w:rsid w:val="00877F03"/>
    <w:rsid w:val="0088057C"/>
    <w:rsid w:val="00881815"/>
    <w:rsid w:val="00881E9C"/>
    <w:rsid w:val="008844F8"/>
    <w:rsid w:val="0088528E"/>
    <w:rsid w:val="0088583E"/>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5759"/>
    <w:rsid w:val="008B58AE"/>
    <w:rsid w:val="008B5AC8"/>
    <w:rsid w:val="008B5C7E"/>
    <w:rsid w:val="008B5F2F"/>
    <w:rsid w:val="008B6BA6"/>
    <w:rsid w:val="008B6D8A"/>
    <w:rsid w:val="008B71C9"/>
    <w:rsid w:val="008B7F92"/>
    <w:rsid w:val="008C04F7"/>
    <w:rsid w:val="008C101A"/>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F18B5"/>
    <w:rsid w:val="008F3EE3"/>
    <w:rsid w:val="008F6324"/>
    <w:rsid w:val="008F7C2D"/>
    <w:rsid w:val="00900207"/>
    <w:rsid w:val="00901114"/>
    <w:rsid w:val="009034A8"/>
    <w:rsid w:val="00904CC1"/>
    <w:rsid w:val="00904F4A"/>
    <w:rsid w:val="00906BFB"/>
    <w:rsid w:val="00906EB9"/>
    <w:rsid w:val="0091021E"/>
    <w:rsid w:val="00910617"/>
    <w:rsid w:val="00910C9C"/>
    <w:rsid w:val="00913AE0"/>
    <w:rsid w:val="0092205D"/>
    <w:rsid w:val="0092320C"/>
    <w:rsid w:val="00923FA9"/>
    <w:rsid w:val="009241EA"/>
    <w:rsid w:val="0092455E"/>
    <w:rsid w:val="009245F4"/>
    <w:rsid w:val="00927109"/>
    <w:rsid w:val="00931E43"/>
    <w:rsid w:val="00932FAE"/>
    <w:rsid w:val="0093348D"/>
    <w:rsid w:val="009356FC"/>
    <w:rsid w:val="0093599F"/>
    <w:rsid w:val="009364DF"/>
    <w:rsid w:val="00936C0C"/>
    <w:rsid w:val="00941AA8"/>
    <w:rsid w:val="00942737"/>
    <w:rsid w:val="0094288A"/>
    <w:rsid w:val="00942C6A"/>
    <w:rsid w:val="009435B0"/>
    <w:rsid w:val="009509CC"/>
    <w:rsid w:val="0095116D"/>
    <w:rsid w:val="00951A41"/>
    <w:rsid w:val="0095353F"/>
    <w:rsid w:val="00957AFD"/>
    <w:rsid w:val="009602AA"/>
    <w:rsid w:val="00961EAA"/>
    <w:rsid w:val="00962216"/>
    <w:rsid w:val="00962AAC"/>
    <w:rsid w:val="00964CDA"/>
    <w:rsid w:val="00964DF6"/>
    <w:rsid w:val="00965784"/>
    <w:rsid w:val="00965FF4"/>
    <w:rsid w:val="0096724D"/>
    <w:rsid w:val="00967976"/>
    <w:rsid w:val="0097040B"/>
    <w:rsid w:val="0097171C"/>
    <w:rsid w:val="0097529D"/>
    <w:rsid w:val="009752B6"/>
    <w:rsid w:val="0097584C"/>
    <w:rsid w:val="00976B1B"/>
    <w:rsid w:val="00977ED1"/>
    <w:rsid w:val="00982419"/>
    <w:rsid w:val="00984B70"/>
    <w:rsid w:val="00984D9F"/>
    <w:rsid w:val="00985631"/>
    <w:rsid w:val="00985897"/>
    <w:rsid w:val="009869A7"/>
    <w:rsid w:val="00986CCA"/>
    <w:rsid w:val="00992D94"/>
    <w:rsid w:val="009931B2"/>
    <w:rsid w:val="0099328C"/>
    <w:rsid w:val="0099442E"/>
    <w:rsid w:val="009949BE"/>
    <w:rsid w:val="0099794C"/>
    <w:rsid w:val="009A193E"/>
    <w:rsid w:val="009A1A0D"/>
    <w:rsid w:val="009A1C15"/>
    <w:rsid w:val="009A446A"/>
    <w:rsid w:val="009A46E0"/>
    <w:rsid w:val="009A6B42"/>
    <w:rsid w:val="009B0561"/>
    <w:rsid w:val="009B1FE6"/>
    <w:rsid w:val="009B20D2"/>
    <w:rsid w:val="009B309A"/>
    <w:rsid w:val="009B5010"/>
    <w:rsid w:val="009B5F27"/>
    <w:rsid w:val="009C3318"/>
    <w:rsid w:val="009C46D9"/>
    <w:rsid w:val="009D0880"/>
    <w:rsid w:val="009D254E"/>
    <w:rsid w:val="009D2DA8"/>
    <w:rsid w:val="009D2DF4"/>
    <w:rsid w:val="009D4FAD"/>
    <w:rsid w:val="009D6852"/>
    <w:rsid w:val="009E0972"/>
    <w:rsid w:val="009E0B64"/>
    <w:rsid w:val="009E2470"/>
    <w:rsid w:val="009E279A"/>
    <w:rsid w:val="009E28C4"/>
    <w:rsid w:val="009E480A"/>
    <w:rsid w:val="009E5833"/>
    <w:rsid w:val="009E5FE4"/>
    <w:rsid w:val="009E6C51"/>
    <w:rsid w:val="009F0839"/>
    <w:rsid w:val="009F1587"/>
    <w:rsid w:val="009F1E44"/>
    <w:rsid w:val="009F6117"/>
    <w:rsid w:val="00A02D4B"/>
    <w:rsid w:val="00A02D6F"/>
    <w:rsid w:val="00A04765"/>
    <w:rsid w:val="00A04B9A"/>
    <w:rsid w:val="00A0574C"/>
    <w:rsid w:val="00A06869"/>
    <w:rsid w:val="00A07134"/>
    <w:rsid w:val="00A07A94"/>
    <w:rsid w:val="00A126DF"/>
    <w:rsid w:val="00A12E93"/>
    <w:rsid w:val="00A14EB8"/>
    <w:rsid w:val="00A1500B"/>
    <w:rsid w:val="00A1565F"/>
    <w:rsid w:val="00A15F83"/>
    <w:rsid w:val="00A176A6"/>
    <w:rsid w:val="00A17E11"/>
    <w:rsid w:val="00A206B2"/>
    <w:rsid w:val="00A20A35"/>
    <w:rsid w:val="00A226C0"/>
    <w:rsid w:val="00A250D5"/>
    <w:rsid w:val="00A26FE8"/>
    <w:rsid w:val="00A30E24"/>
    <w:rsid w:val="00A31345"/>
    <w:rsid w:val="00A316F5"/>
    <w:rsid w:val="00A31D3C"/>
    <w:rsid w:val="00A34053"/>
    <w:rsid w:val="00A358E2"/>
    <w:rsid w:val="00A35BAA"/>
    <w:rsid w:val="00A35D50"/>
    <w:rsid w:val="00A36626"/>
    <w:rsid w:val="00A368DA"/>
    <w:rsid w:val="00A374F8"/>
    <w:rsid w:val="00A40A21"/>
    <w:rsid w:val="00A40CC6"/>
    <w:rsid w:val="00A4283C"/>
    <w:rsid w:val="00A42CF8"/>
    <w:rsid w:val="00A44D2A"/>
    <w:rsid w:val="00A44FE8"/>
    <w:rsid w:val="00A45D6B"/>
    <w:rsid w:val="00A464B5"/>
    <w:rsid w:val="00A46D6A"/>
    <w:rsid w:val="00A50334"/>
    <w:rsid w:val="00A51393"/>
    <w:rsid w:val="00A52DFB"/>
    <w:rsid w:val="00A5311E"/>
    <w:rsid w:val="00A53467"/>
    <w:rsid w:val="00A55E2D"/>
    <w:rsid w:val="00A56FBF"/>
    <w:rsid w:val="00A578EB"/>
    <w:rsid w:val="00A57B64"/>
    <w:rsid w:val="00A57DC2"/>
    <w:rsid w:val="00A57FDB"/>
    <w:rsid w:val="00A6010F"/>
    <w:rsid w:val="00A640CA"/>
    <w:rsid w:val="00A646E0"/>
    <w:rsid w:val="00A7142E"/>
    <w:rsid w:val="00A71531"/>
    <w:rsid w:val="00A71B72"/>
    <w:rsid w:val="00A73FEC"/>
    <w:rsid w:val="00A740BA"/>
    <w:rsid w:val="00A75BF9"/>
    <w:rsid w:val="00A7641E"/>
    <w:rsid w:val="00A76CF6"/>
    <w:rsid w:val="00A80282"/>
    <w:rsid w:val="00A82979"/>
    <w:rsid w:val="00A83156"/>
    <w:rsid w:val="00A84F64"/>
    <w:rsid w:val="00A85124"/>
    <w:rsid w:val="00A85477"/>
    <w:rsid w:val="00A85D7A"/>
    <w:rsid w:val="00A92DFD"/>
    <w:rsid w:val="00A93AAA"/>
    <w:rsid w:val="00A94CA4"/>
    <w:rsid w:val="00A95007"/>
    <w:rsid w:val="00A956F8"/>
    <w:rsid w:val="00A95E63"/>
    <w:rsid w:val="00AA11AA"/>
    <w:rsid w:val="00AA2838"/>
    <w:rsid w:val="00AA331F"/>
    <w:rsid w:val="00AA60D1"/>
    <w:rsid w:val="00AA7D08"/>
    <w:rsid w:val="00AA7E90"/>
    <w:rsid w:val="00AB0FEE"/>
    <w:rsid w:val="00AB274F"/>
    <w:rsid w:val="00AB3EF6"/>
    <w:rsid w:val="00AB40ED"/>
    <w:rsid w:val="00AC0EC0"/>
    <w:rsid w:val="00AC6800"/>
    <w:rsid w:val="00AC720A"/>
    <w:rsid w:val="00AD14CA"/>
    <w:rsid w:val="00AD3918"/>
    <w:rsid w:val="00AD6A21"/>
    <w:rsid w:val="00AD7502"/>
    <w:rsid w:val="00AE0C12"/>
    <w:rsid w:val="00AE0C98"/>
    <w:rsid w:val="00AE1591"/>
    <w:rsid w:val="00AE3819"/>
    <w:rsid w:val="00AE3EF1"/>
    <w:rsid w:val="00AE4BA4"/>
    <w:rsid w:val="00AE652A"/>
    <w:rsid w:val="00AF01FA"/>
    <w:rsid w:val="00AF1EF7"/>
    <w:rsid w:val="00AF3F6B"/>
    <w:rsid w:val="00AF554C"/>
    <w:rsid w:val="00AF6859"/>
    <w:rsid w:val="00AF7C9B"/>
    <w:rsid w:val="00B01F61"/>
    <w:rsid w:val="00B03CEE"/>
    <w:rsid w:val="00B043D1"/>
    <w:rsid w:val="00B07C72"/>
    <w:rsid w:val="00B100F6"/>
    <w:rsid w:val="00B12274"/>
    <w:rsid w:val="00B1243C"/>
    <w:rsid w:val="00B12D31"/>
    <w:rsid w:val="00B147C0"/>
    <w:rsid w:val="00B165FC"/>
    <w:rsid w:val="00B16848"/>
    <w:rsid w:val="00B20150"/>
    <w:rsid w:val="00B21B02"/>
    <w:rsid w:val="00B23568"/>
    <w:rsid w:val="00B23F9D"/>
    <w:rsid w:val="00B243F6"/>
    <w:rsid w:val="00B24824"/>
    <w:rsid w:val="00B25E06"/>
    <w:rsid w:val="00B26984"/>
    <w:rsid w:val="00B26BED"/>
    <w:rsid w:val="00B276B7"/>
    <w:rsid w:val="00B278FE"/>
    <w:rsid w:val="00B27C70"/>
    <w:rsid w:val="00B31CF6"/>
    <w:rsid w:val="00B32D9B"/>
    <w:rsid w:val="00B3341E"/>
    <w:rsid w:val="00B34F11"/>
    <w:rsid w:val="00B368C1"/>
    <w:rsid w:val="00B369D8"/>
    <w:rsid w:val="00B40889"/>
    <w:rsid w:val="00B41028"/>
    <w:rsid w:val="00B41789"/>
    <w:rsid w:val="00B417B5"/>
    <w:rsid w:val="00B427E0"/>
    <w:rsid w:val="00B440E2"/>
    <w:rsid w:val="00B45DB9"/>
    <w:rsid w:val="00B47EEF"/>
    <w:rsid w:val="00B52199"/>
    <w:rsid w:val="00B52818"/>
    <w:rsid w:val="00B54AFE"/>
    <w:rsid w:val="00B55A26"/>
    <w:rsid w:val="00B55F55"/>
    <w:rsid w:val="00B56C1C"/>
    <w:rsid w:val="00B56C34"/>
    <w:rsid w:val="00B6306A"/>
    <w:rsid w:val="00B6405E"/>
    <w:rsid w:val="00B6511C"/>
    <w:rsid w:val="00B65C6E"/>
    <w:rsid w:val="00B671B7"/>
    <w:rsid w:val="00B67585"/>
    <w:rsid w:val="00B74AB8"/>
    <w:rsid w:val="00B74D15"/>
    <w:rsid w:val="00B75094"/>
    <w:rsid w:val="00B75BDC"/>
    <w:rsid w:val="00B75D6C"/>
    <w:rsid w:val="00B7731A"/>
    <w:rsid w:val="00B77547"/>
    <w:rsid w:val="00B77C2E"/>
    <w:rsid w:val="00B8209D"/>
    <w:rsid w:val="00B829DE"/>
    <w:rsid w:val="00B82B64"/>
    <w:rsid w:val="00B84C30"/>
    <w:rsid w:val="00B84D37"/>
    <w:rsid w:val="00B855D2"/>
    <w:rsid w:val="00B93B95"/>
    <w:rsid w:val="00B95AE3"/>
    <w:rsid w:val="00B964AC"/>
    <w:rsid w:val="00B97CD0"/>
    <w:rsid w:val="00B97E46"/>
    <w:rsid w:val="00BA078D"/>
    <w:rsid w:val="00BA2203"/>
    <w:rsid w:val="00BA255F"/>
    <w:rsid w:val="00BA2ABE"/>
    <w:rsid w:val="00BA4316"/>
    <w:rsid w:val="00BA6081"/>
    <w:rsid w:val="00BB14F8"/>
    <w:rsid w:val="00BB1999"/>
    <w:rsid w:val="00BB201D"/>
    <w:rsid w:val="00BB48E7"/>
    <w:rsid w:val="00BB5A00"/>
    <w:rsid w:val="00BB694D"/>
    <w:rsid w:val="00BB70AA"/>
    <w:rsid w:val="00BB73F6"/>
    <w:rsid w:val="00BB7B96"/>
    <w:rsid w:val="00BC23A1"/>
    <w:rsid w:val="00BC6192"/>
    <w:rsid w:val="00BC7EF0"/>
    <w:rsid w:val="00BD0029"/>
    <w:rsid w:val="00BD3D87"/>
    <w:rsid w:val="00BD561F"/>
    <w:rsid w:val="00BE0BA1"/>
    <w:rsid w:val="00BE324C"/>
    <w:rsid w:val="00BE3881"/>
    <w:rsid w:val="00BE41CB"/>
    <w:rsid w:val="00BE53B2"/>
    <w:rsid w:val="00BE5FEA"/>
    <w:rsid w:val="00BE6B90"/>
    <w:rsid w:val="00BF33E1"/>
    <w:rsid w:val="00BF371E"/>
    <w:rsid w:val="00BF7076"/>
    <w:rsid w:val="00C00E7C"/>
    <w:rsid w:val="00C00F61"/>
    <w:rsid w:val="00C03316"/>
    <w:rsid w:val="00C03DD4"/>
    <w:rsid w:val="00C0426B"/>
    <w:rsid w:val="00C04452"/>
    <w:rsid w:val="00C04790"/>
    <w:rsid w:val="00C07EC6"/>
    <w:rsid w:val="00C07F72"/>
    <w:rsid w:val="00C11214"/>
    <w:rsid w:val="00C11466"/>
    <w:rsid w:val="00C1211C"/>
    <w:rsid w:val="00C12AB4"/>
    <w:rsid w:val="00C13634"/>
    <w:rsid w:val="00C14F61"/>
    <w:rsid w:val="00C17250"/>
    <w:rsid w:val="00C17923"/>
    <w:rsid w:val="00C21074"/>
    <w:rsid w:val="00C24B13"/>
    <w:rsid w:val="00C261D0"/>
    <w:rsid w:val="00C27721"/>
    <w:rsid w:val="00C2781A"/>
    <w:rsid w:val="00C31DC1"/>
    <w:rsid w:val="00C32C8F"/>
    <w:rsid w:val="00C32D87"/>
    <w:rsid w:val="00C3563D"/>
    <w:rsid w:val="00C35760"/>
    <w:rsid w:val="00C357C4"/>
    <w:rsid w:val="00C36DC2"/>
    <w:rsid w:val="00C3779D"/>
    <w:rsid w:val="00C37A31"/>
    <w:rsid w:val="00C42EA2"/>
    <w:rsid w:val="00C42EA4"/>
    <w:rsid w:val="00C43D45"/>
    <w:rsid w:val="00C45BBA"/>
    <w:rsid w:val="00C46018"/>
    <w:rsid w:val="00C476D3"/>
    <w:rsid w:val="00C47827"/>
    <w:rsid w:val="00C478BB"/>
    <w:rsid w:val="00C47A3B"/>
    <w:rsid w:val="00C50AAB"/>
    <w:rsid w:val="00C51451"/>
    <w:rsid w:val="00C516D4"/>
    <w:rsid w:val="00C517D1"/>
    <w:rsid w:val="00C5355E"/>
    <w:rsid w:val="00C56AAB"/>
    <w:rsid w:val="00C56B93"/>
    <w:rsid w:val="00C57228"/>
    <w:rsid w:val="00C6062B"/>
    <w:rsid w:val="00C61B04"/>
    <w:rsid w:val="00C62711"/>
    <w:rsid w:val="00C64B24"/>
    <w:rsid w:val="00C67E04"/>
    <w:rsid w:val="00C7258E"/>
    <w:rsid w:val="00C72F32"/>
    <w:rsid w:val="00C7507E"/>
    <w:rsid w:val="00C7694B"/>
    <w:rsid w:val="00C77960"/>
    <w:rsid w:val="00C8002A"/>
    <w:rsid w:val="00C83712"/>
    <w:rsid w:val="00C8382F"/>
    <w:rsid w:val="00C84A0E"/>
    <w:rsid w:val="00C87C23"/>
    <w:rsid w:val="00C92553"/>
    <w:rsid w:val="00C9264C"/>
    <w:rsid w:val="00C93829"/>
    <w:rsid w:val="00C94AE9"/>
    <w:rsid w:val="00C97966"/>
    <w:rsid w:val="00CA03F9"/>
    <w:rsid w:val="00CA0A43"/>
    <w:rsid w:val="00CA1C74"/>
    <w:rsid w:val="00CA2B76"/>
    <w:rsid w:val="00CA3196"/>
    <w:rsid w:val="00CA4457"/>
    <w:rsid w:val="00CA4588"/>
    <w:rsid w:val="00CA69E1"/>
    <w:rsid w:val="00CB03B4"/>
    <w:rsid w:val="00CB1B4F"/>
    <w:rsid w:val="00CB4FDF"/>
    <w:rsid w:val="00CB5001"/>
    <w:rsid w:val="00CB782C"/>
    <w:rsid w:val="00CC08DE"/>
    <w:rsid w:val="00CC0CD9"/>
    <w:rsid w:val="00CC22B3"/>
    <w:rsid w:val="00CC3868"/>
    <w:rsid w:val="00CC6227"/>
    <w:rsid w:val="00CC664A"/>
    <w:rsid w:val="00CC6B84"/>
    <w:rsid w:val="00CD1C15"/>
    <w:rsid w:val="00CD29FA"/>
    <w:rsid w:val="00CD4047"/>
    <w:rsid w:val="00CD4FF5"/>
    <w:rsid w:val="00CD6D68"/>
    <w:rsid w:val="00CD7D72"/>
    <w:rsid w:val="00CE13C2"/>
    <w:rsid w:val="00CE242D"/>
    <w:rsid w:val="00CE28DB"/>
    <w:rsid w:val="00CE72CF"/>
    <w:rsid w:val="00CE79A1"/>
    <w:rsid w:val="00CF1FDA"/>
    <w:rsid w:val="00CF2A29"/>
    <w:rsid w:val="00CF381A"/>
    <w:rsid w:val="00CF3A77"/>
    <w:rsid w:val="00CF4444"/>
    <w:rsid w:val="00CF53F4"/>
    <w:rsid w:val="00CF7A07"/>
    <w:rsid w:val="00CF7ACC"/>
    <w:rsid w:val="00D00C17"/>
    <w:rsid w:val="00D01061"/>
    <w:rsid w:val="00D010AB"/>
    <w:rsid w:val="00D0154D"/>
    <w:rsid w:val="00D01B29"/>
    <w:rsid w:val="00D0265F"/>
    <w:rsid w:val="00D032E4"/>
    <w:rsid w:val="00D034CC"/>
    <w:rsid w:val="00D058C8"/>
    <w:rsid w:val="00D05B6E"/>
    <w:rsid w:val="00D07C3E"/>
    <w:rsid w:val="00D11632"/>
    <w:rsid w:val="00D12A46"/>
    <w:rsid w:val="00D136D5"/>
    <w:rsid w:val="00D13C58"/>
    <w:rsid w:val="00D14A9F"/>
    <w:rsid w:val="00D14D54"/>
    <w:rsid w:val="00D150BD"/>
    <w:rsid w:val="00D166BA"/>
    <w:rsid w:val="00D16C95"/>
    <w:rsid w:val="00D17295"/>
    <w:rsid w:val="00D2075B"/>
    <w:rsid w:val="00D22430"/>
    <w:rsid w:val="00D3037A"/>
    <w:rsid w:val="00D32DB4"/>
    <w:rsid w:val="00D377AD"/>
    <w:rsid w:val="00D41C78"/>
    <w:rsid w:val="00D449BA"/>
    <w:rsid w:val="00D45FF9"/>
    <w:rsid w:val="00D47524"/>
    <w:rsid w:val="00D47AE7"/>
    <w:rsid w:val="00D55B71"/>
    <w:rsid w:val="00D56072"/>
    <w:rsid w:val="00D56E20"/>
    <w:rsid w:val="00D57587"/>
    <w:rsid w:val="00D60A84"/>
    <w:rsid w:val="00D613A0"/>
    <w:rsid w:val="00D62A7A"/>
    <w:rsid w:val="00D62D99"/>
    <w:rsid w:val="00D64E14"/>
    <w:rsid w:val="00D6507A"/>
    <w:rsid w:val="00D666C7"/>
    <w:rsid w:val="00D66D7C"/>
    <w:rsid w:val="00D672E2"/>
    <w:rsid w:val="00D67E85"/>
    <w:rsid w:val="00D71100"/>
    <w:rsid w:val="00D72C51"/>
    <w:rsid w:val="00D76C28"/>
    <w:rsid w:val="00D76FE9"/>
    <w:rsid w:val="00D77EFB"/>
    <w:rsid w:val="00D813B1"/>
    <w:rsid w:val="00D8176C"/>
    <w:rsid w:val="00D82784"/>
    <w:rsid w:val="00D83C6E"/>
    <w:rsid w:val="00D84B29"/>
    <w:rsid w:val="00D85413"/>
    <w:rsid w:val="00D859FE"/>
    <w:rsid w:val="00D876E3"/>
    <w:rsid w:val="00D918E8"/>
    <w:rsid w:val="00D965FD"/>
    <w:rsid w:val="00D96911"/>
    <w:rsid w:val="00DA0FDA"/>
    <w:rsid w:val="00DA153F"/>
    <w:rsid w:val="00DA2679"/>
    <w:rsid w:val="00DA3133"/>
    <w:rsid w:val="00DA6D4B"/>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4BFB"/>
    <w:rsid w:val="00DC5308"/>
    <w:rsid w:val="00DD165B"/>
    <w:rsid w:val="00DD1BD3"/>
    <w:rsid w:val="00DD26F8"/>
    <w:rsid w:val="00DD28D0"/>
    <w:rsid w:val="00DD3090"/>
    <w:rsid w:val="00DD3572"/>
    <w:rsid w:val="00DD5348"/>
    <w:rsid w:val="00DD68FB"/>
    <w:rsid w:val="00DD6B94"/>
    <w:rsid w:val="00DD70AC"/>
    <w:rsid w:val="00DE2B0C"/>
    <w:rsid w:val="00DE3673"/>
    <w:rsid w:val="00DE4F08"/>
    <w:rsid w:val="00DE5485"/>
    <w:rsid w:val="00DF02B8"/>
    <w:rsid w:val="00DF06AF"/>
    <w:rsid w:val="00DF0DCD"/>
    <w:rsid w:val="00DF4943"/>
    <w:rsid w:val="00DF5377"/>
    <w:rsid w:val="00DF5740"/>
    <w:rsid w:val="00E01B85"/>
    <w:rsid w:val="00E04330"/>
    <w:rsid w:val="00E04B95"/>
    <w:rsid w:val="00E07188"/>
    <w:rsid w:val="00E073FF"/>
    <w:rsid w:val="00E076C8"/>
    <w:rsid w:val="00E1072B"/>
    <w:rsid w:val="00E12628"/>
    <w:rsid w:val="00E1305F"/>
    <w:rsid w:val="00E13578"/>
    <w:rsid w:val="00E144D3"/>
    <w:rsid w:val="00E14DCF"/>
    <w:rsid w:val="00E1745F"/>
    <w:rsid w:val="00E262BD"/>
    <w:rsid w:val="00E306CD"/>
    <w:rsid w:val="00E30822"/>
    <w:rsid w:val="00E343EB"/>
    <w:rsid w:val="00E35194"/>
    <w:rsid w:val="00E36E36"/>
    <w:rsid w:val="00E37A7B"/>
    <w:rsid w:val="00E37C95"/>
    <w:rsid w:val="00E41BFD"/>
    <w:rsid w:val="00E43430"/>
    <w:rsid w:val="00E456FC"/>
    <w:rsid w:val="00E45861"/>
    <w:rsid w:val="00E459E2"/>
    <w:rsid w:val="00E45E45"/>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599A"/>
    <w:rsid w:val="00E659BC"/>
    <w:rsid w:val="00E660DF"/>
    <w:rsid w:val="00E66245"/>
    <w:rsid w:val="00E700F9"/>
    <w:rsid w:val="00E71098"/>
    <w:rsid w:val="00E71BE0"/>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648C"/>
    <w:rsid w:val="00E96646"/>
    <w:rsid w:val="00E96E1B"/>
    <w:rsid w:val="00E97411"/>
    <w:rsid w:val="00E97D96"/>
    <w:rsid w:val="00EA006F"/>
    <w:rsid w:val="00EA05E3"/>
    <w:rsid w:val="00EA1222"/>
    <w:rsid w:val="00EA1940"/>
    <w:rsid w:val="00EA322A"/>
    <w:rsid w:val="00EA39B5"/>
    <w:rsid w:val="00EA47B4"/>
    <w:rsid w:val="00EA5640"/>
    <w:rsid w:val="00EA5A7F"/>
    <w:rsid w:val="00EB0314"/>
    <w:rsid w:val="00EB0501"/>
    <w:rsid w:val="00EB0739"/>
    <w:rsid w:val="00EB0A71"/>
    <w:rsid w:val="00EB235C"/>
    <w:rsid w:val="00EB2C7E"/>
    <w:rsid w:val="00EB37E6"/>
    <w:rsid w:val="00EB6A8E"/>
    <w:rsid w:val="00EC1E33"/>
    <w:rsid w:val="00EC24BC"/>
    <w:rsid w:val="00EC3812"/>
    <w:rsid w:val="00EC3BF9"/>
    <w:rsid w:val="00EC4A43"/>
    <w:rsid w:val="00EC619C"/>
    <w:rsid w:val="00EC64CC"/>
    <w:rsid w:val="00EC66EF"/>
    <w:rsid w:val="00EC69AC"/>
    <w:rsid w:val="00EC6C57"/>
    <w:rsid w:val="00EC6E9F"/>
    <w:rsid w:val="00EC7080"/>
    <w:rsid w:val="00ED3088"/>
    <w:rsid w:val="00ED45F8"/>
    <w:rsid w:val="00ED49DD"/>
    <w:rsid w:val="00ED5A35"/>
    <w:rsid w:val="00ED7594"/>
    <w:rsid w:val="00ED79AD"/>
    <w:rsid w:val="00EE279D"/>
    <w:rsid w:val="00EE31D3"/>
    <w:rsid w:val="00EE3284"/>
    <w:rsid w:val="00EE40F6"/>
    <w:rsid w:val="00EE4F97"/>
    <w:rsid w:val="00EE5E03"/>
    <w:rsid w:val="00EE670D"/>
    <w:rsid w:val="00EE69AB"/>
    <w:rsid w:val="00EE7C24"/>
    <w:rsid w:val="00EF09C3"/>
    <w:rsid w:val="00EF1CB7"/>
    <w:rsid w:val="00EF5A12"/>
    <w:rsid w:val="00EF655E"/>
    <w:rsid w:val="00EF7D65"/>
    <w:rsid w:val="00F00B96"/>
    <w:rsid w:val="00F04E63"/>
    <w:rsid w:val="00F050FE"/>
    <w:rsid w:val="00F058EA"/>
    <w:rsid w:val="00F06C9C"/>
    <w:rsid w:val="00F0737C"/>
    <w:rsid w:val="00F07A45"/>
    <w:rsid w:val="00F07B4D"/>
    <w:rsid w:val="00F110CA"/>
    <w:rsid w:val="00F11F12"/>
    <w:rsid w:val="00F13FD8"/>
    <w:rsid w:val="00F140B9"/>
    <w:rsid w:val="00F146B1"/>
    <w:rsid w:val="00F15A84"/>
    <w:rsid w:val="00F15E0C"/>
    <w:rsid w:val="00F237CF"/>
    <w:rsid w:val="00F241AA"/>
    <w:rsid w:val="00F249C3"/>
    <w:rsid w:val="00F24C66"/>
    <w:rsid w:val="00F2665E"/>
    <w:rsid w:val="00F272A3"/>
    <w:rsid w:val="00F3069D"/>
    <w:rsid w:val="00F30FA1"/>
    <w:rsid w:val="00F325FD"/>
    <w:rsid w:val="00F32A8A"/>
    <w:rsid w:val="00F330AF"/>
    <w:rsid w:val="00F33212"/>
    <w:rsid w:val="00F337E7"/>
    <w:rsid w:val="00F35531"/>
    <w:rsid w:val="00F366D1"/>
    <w:rsid w:val="00F4035C"/>
    <w:rsid w:val="00F40C88"/>
    <w:rsid w:val="00F41A6F"/>
    <w:rsid w:val="00F43D06"/>
    <w:rsid w:val="00F43E88"/>
    <w:rsid w:val="00F445B8"/>
    <w:rsid w:val="00F47D59"/>
    <w:rsid w:val="00F47FF2"/>
    <w:rsid w:val="00F504DA"/>
    <w:rsid w:val="00F50853"/>
    <w:rsid w:val="00F5478E"/>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F93"/>
    <w:rsid w:val="00F7532F"/>
    <w:rsid w:val="00F75AF0"/>
    <w:rsid w:val="00F7721F"/>
    <w:rsid w:val="00F7773B"/>
    <w:rsid w:val="00F838E9"/>
    <w:rsid w:val="00F841C3"/>
    <w:rsid w:val="00F842A7"/>
    <w:rsid w:val="00F8476D"/>
    <w:rsid w:val="00F853F4"/>
    <w:rsid w:val="00F86A73"/>
    <w:rsid w:val="00F87599"/>
    <w:rsid w:val="00F90996"/>
    <w:rsid w:val="00F924BE"/>
    <w:rsid w:val="00F9304B"/>
    <w:rsid w:val="00F93086"/>
    <w:rsid w:val="00F93ADF"/>
    <w:rsid w:val="00F94324"/>
    <w:rsid w:val="00F95299"/>
    <w:rsid w:val="00F95B15"/>
    <w:rsid w:val="00F96BDE"/>
    <w:rsid w:val="00F975CE"/>
    <w:rsid w:val="00F97FED"/>
    <w:rsid w:val="00FA0812"/>
    <w:rsid w:val="00FA0D59"/>
    <w:rsid w:val="00FA1FA5"/>
    <w:rsid w:val="00FA30F7"/>
    <w:rsid w:val="00FA3453"/>
    <w:rsid w:val="00FA3479"/>
    <w:rsid w:val="00FA491B"/>
    <w:rsid w:val="00FB1FA0"/>
    <w:rsid w:val="00FB23FD"/>
    <w:rsid w:val="00FB256B"/>
    <w:rsid w:val="00FB3FF4"/>
    <w:rsid w:val="00FB48E7"/>
    <w:rsid w:val="00FB5D5F"/>
    <w:rsid w:val="00FB7E30"/>
    <w:rsid w:val="00FC0D96"/>
    <w:rsid w:val="00FC17F3"/>
    <w:rsid w:val="00FC3731"/>
    <w:rsid w:val="00FC3C1E"/>
    <w:rsid w:val="00FC4A7D"/>
    <w:rsid w:val="00FC618A"/>
    <w:rsid w:val="00FC745D"/>
    <w:rsid w:val="00FD181E"/>
    <w:rsid w:val="00FD3EEF"/>
    <w:rsid w:val="00FD65B5"/>
    <w:rsid w:val="00FE0F08"/>
    <w:rsid w:val="00FE1468"/>
    <w:rsid w:val="00FE1B4B"/>
    <w:rsid w:val="00FE29B5"/>
    <w:rsid w:val="00FE2E5C"/>
    <w:rsid w:val="00FE43F7"/>
    <w:rsid w:val="00FE46BF"/>
    <w:rsid w:val="00FE6FBA"/>
    <w:rsid w:val="00FE73F0"/>
    <w:rsid w:val="00FE777D"/>
    <w:rsid w:val="00FE7DB0"/>
    <w:rsid w:val="00FF1FA3"/>
    <w:rsid w:val="00FF252E"/>
    <w:rsid w:val="00FF4D04"/>
    <w:rsid w:val="00FF56EE"/>
    <w:rsid w:val="00FF59F5"/>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6ED67"/>
  <w15:chartTrackingRefBased/>
  <w15:docId w15:val="{C5F4260F-3FAD-4DD9-AE72-948FC279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6F"/>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列出段落,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목록 단락 Char,リスト段落 Char,?? ?? Char,????? Char,???? Char,列出段落 Char,Lista1 Char,列出段落1 Char,中等深浅网格 1 - 着色 21 Char,列表段落 Char,¥¡¡¡¡ì¬º¥¹¥È¶ÎÂä Char,ÁÐ³ö¶ÎÂä Char,列表段落1 Char,—ño’i—Ž Char,¥ê¥¹¥È¶ÎÂä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9480D-5B96-4811-BBB9-6AD2E93F3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65B4C845-8C8B-476D-BB1A-C878B9C4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14</Pages>
  <Words>6482</Words>
  <Characters>36951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Hamidi-sepehr, Fatemeh</dc:creator>
  <cp:keywords>CTPClassification=CTP_NT</cp:keywords>
  <dc:description/>
  <cp:lastModifiedBy>Chatterjee, Debdeep</cp:lastModifiedBy>
  <cp:revision>191</cp:revision>
  <dcterms:created xsi:type="dcterms:W3CDTF">2020-10-26T08:20:00Z</dcterms:created>
  <dcterms:modified xsi:type="dcterms:W3CDTF">2020-10-27T03:55:00Z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0x0101001A0A1F471712B746BF10BD51BE7B75C6</vt:lpwstr>
  </property>
  <property fmtid="{D5CDD505-2E9C-101B-9397-08002B2CF9AE}" pid="8" name="CTPClassification">
    <vt:lpwstr>CTP_NT</vt:lpwstr>
  </property>
</Properties>
</file>