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06963BBC"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4C0B6B">
        <w:rPr>
          <w:rFonts w:ascii="Arial" w:hAnsi="Arial" w:cs="Arial"/>
          <w:b/>
          <w:bCs/>
          <w:lang w:val="en-GB"/>
        </w:rPr>
        <w:t>3</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770AD5">
        <w:rPr>
          <w:rFonts w:ascii="Arial" w:hAnsi="Arial" w:cs="Arial"/>
          <w:b/>
          <w:bCs/>
          <w:lang w:val="en-GB" w:eastAsia="zh-CN"/>
        </w:rPr>
        <w:t xml:space="preserve"> </w:t>
      </w:r>
      <w:r w:rsidRPr="00C439FA">
        <w:rPr>
          <w:rFonts w:ascii="Arial" w:hAnsi="Arial" w:cs="Arial"/>
          <w:b/>
          <w:bCs/>
          <w:lang w:val="en-GB"/>
        </w:rPr>
        <w:t>R1-20</w:t>
      </w:r>
      <w:r w:rsidR="00770AD5">
        <w:rPr>
          <w:rFonts w:ascii="Arial" w:hAnsi="Arial" w:cs="Arial"/>
          <w:b/>
          <w:bCs/>
          <w:lang w:val="en-GB" w:eastAsia="zh-CN"/>
        </w:rPr>
        <w:t>08927</w:t>
      </w:r>
    </w:p>
    <w:p w14:paraId="2501BD26" w14:textId="399817CD"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4C0B6B" w:rsidRPr="004C0B6B">
        <w:rPr>
          <w:rFonts w:ascii="Arial" w:eastAsia="MS Mincho" w:hAnsi="Arial" w:cs="Arial"/>
          <w:b/>
          <w:bCs/>
          <w:lang w:eastAsia="ja-JP"/>
        </w:rPr>
        <w:t>October 26</w:t>
      </w:r>
      <w:r w:rsidR="004C0B6B" w:rsidRPr="004C0B6B">
        <w:rPr>
          <w:rFonts w:ascii="Arial" w:eastAsia="MS Mincho" w:hAnsi="Arial" w:cs="Arial"/>
          <w:b/>
          <w:bCs/>
          <w:vertAlign w:val="superscript"/>
          <w:lang w:eastAsia="ja-JP"/>
        </w:rPr>
        <w:t>th</w:t>
      </w:r>
      <w:r w:rsidR="004C0B6B" w:rsidRPr="004C0B6B">
        <w:rPr>
          <w:rFonts w:ascii="Arial" w:eastAsia="MS Mincho" w:hAnsi="Arial" w:cs="Arial"/>
          <w:b/>
          <w:bCs/>
          <w:lang w:eastAsia="ja-JP"/>
        </w:rPr>
        <w:t xml:space="preserve"> – November 13</w:t>
      </w:r>
      <w:r w:rsidR="004C0B6B" w:rsidRPr="004C0B6B">
        <w:rPr>
          <w:rFonts w:ascii="Arial" w:eastAsia="MS Mincho" w:hAnsi="Arial" w:cs="Arial"/>
          <w:b/>
          <w:bCs/>
          <w:vertAlign w:val="superscript"/>
          <w:lang w:eastAsia="ja-JP"/>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D14588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385274">
        <w:rPr>
          <w:rFonts w:ascii="Arial" w:hAnsi="Arial" w:cs="Arial"/>
          <w:b/>
          <w:bCs/>
          <w:szCs w:val="20"/>
          <w:lang w:val="en-GB"/>
        </w:rPr>
        <w:t>Discussion on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w:t>
      </w:r>
      <w:bookmarkStart w:id="0" w:name="_GoBack"/>
      <w:bookmarkEnd w:id="0"/>
      <w:r w:rsidR="00AE3A52" w:rsidRPr="00AE3A52">
        <w:rPr>
          <w:rFonts w:ascii="Arial" w:hAnsi="Arial" w:cs="Arial"/>
          <w:b/>
          <w:bCs/>
          <w:szCs w:val="20"/>
          <w:lang w:val="en-GB"/>
        </w:rPr>
        <w:t xml:space="preserve">for RRC-CONNECTED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69062D" w:rsidRDefault="00FE7EC6" w:rsidP="00FE7EC6">
      <w:pPr>
        <w:pStyle w:val="BodyText"/>
      </w:pPr>
      <w:r w:rsidRPr="0069062D">
        <w:t xml:space="preserve">The contribution is </w:t>
      </w:r>
      <w:r w:rsidRPr="0069062D">
        <w:rPr>
          <w:lang w:val="en-US"/>
        </w:rPr>
        <w:t xml:space="preserve">focused on </w:t>
      </w:r>
      <w:r w:rsidR="00385274">
        <w:rPr>
          <w:lang w:val="en-US"/>
        </w:rPr>
        <w:t>reliability improvement</w:t>
      </w:r>
      <w:r w:rsidR="00AE3A52">
        <w:rPr>
          <w:lang w:val="en-US"/>
        </w:rPr>
        <w:t xml:space="preserve"> </w:t>
      </w:r>
      <w:r w:rsidR="004C0B6B">
        <w:rPr>
          <w:lang w:val="en-US"/>
        </w:rPr>
        <w:t xml:space="preserve">issues for </w:t>
      </w:r>
      <w:r w:rsidR="00AE3A52">
        <w:rPr>
          <w:lang w:val="en-US"/>
        </w:rPr>
        <w:t xml:space="preserve">RRC-CONNECTED UEs in </w:t>
      </w:r>
      <w:r w:rsidR="004C0B6B">
        <w:rPr>
          <w:lang w:val="en-US"/>
        </w:rPr>
        <w:t>Rel-17 NR MBS</w:t>
      </w:r>
      <w:r w:rsidRPr="0069062D">
        <w:t>.</w:t>
      </w:r>
    </w:p>
    <w:p w14:paraId="4C243438" w14:textId="60C66D3E" w:rsidR="0069062D" w:rsidRPr="00593E99" w:rsidRDefault="0069062D" w:rsidP="00FE7EC6">
      <w:pPr>
        <w:pStyle w:val="BodyText"/>
      </w:pPr>
      <w:r w:rsidRPr="00593E99">
        <w:t>In RAN1#10</w:t>
      </w:r>
      <w:r w:rsidR="00C0128E">
        <w:t>2</w:t>
      </w:r>
      <w:r w:rsidRPr="00593E99">
        <w:t xml:space="preserve">-e meeting, regarding </w:t>
      </w:r>
      <w:r w:rsidR="00C0128E">
        <w:t>HARQ-ACK feedback and CSI feedback as well as scheduling mechanism</w:t>
      </w:r>
      <w:r w:rsidRPr="00593E99">
        <w:t>, the corresponding agreement</w:t>
      </w:r>
      <w:r w:rsidR="00C0128E">
        <w:t>s</w:t>
      </w:r>
      <w:r w:rsidRPr="00593E99">
        <w:t xml:space="preserve"> </w:t>
      </w:r>
      <w:r w:rsidR="00C0128E">
        <w:t>are made as</w:t>
      </w:r>
      <w:r w:rsidRPr="00593E99">
        <w:t xml:space="preserve"> below</w:t>
      </w:r>
      <w:r w:rsidR="00C0128E">
        <w:t xml:space="preserve"> </w:t>
      </w:r>
      <w:r w:rsidR="0093620D">
        <w:t xml:space="preserve">only </w:t>
      </w:r>
      <w:r w:rsidR="00C0128E">
        <w:t>from a high level concept point of view</w:t>
      </w:r>
      <w:r w:rsidRPr="00593E99">
        <w:t>:</w:t>
      </w:r>
    </w:p>
    <w:p w14:paraId="23389057" w14:textId="77777777"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bookmarkStart w:id="3" w:name="_Hlk39170201"/>
      <w:r w:rsidRPr="00E0028E">
        <w:rPr>
          <w:rFonts w:ascii="Times New Roman" w:eastAsia="Batang" w:hAnsi="Times New Roman" w:cs="Times New Roman"/>
          <w:sz w:val="20"/>
          <w:szCs w:val="24"/>
          <w:highlight w:val="green"/>
          <w:lang w:val="en-GB" w:eastAsia="en-US"/>
        </w:rPr>
        <w:t>Agreements:</w:t>
      </w:r>
    </w:p>
    <w:p w14:paraId="4C062090" w14:textId="77777777" w:rsidR="00ED6644" w:rsidRPr="00ED6644" w:rsidRDefault="00ED6644" w:rsidP="00ED664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HARQ-ACK feedback is supported for multicast and no additional evaluation is needed to justify this.</w:t>
      </w:r>
    </w:p>
    <w:p w14:paraId="221C0EAE"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The detailed HARQ-ACK feedback solutions, e.g., ACK/NACK based, NACK-only based.</w:t>
      </w:r>
    </w:p>
    <w:p w14:paraId="296BDEF0"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HARQ-ACK feedback can be optionally disabled and/or enabled.</w:t>
      </w:r>
    </w:p>
    <w:p w14:paraId="6A1F49D7" w14:textId="77777777" w:rsidR="00E0028E" w:rsidRPr="00E0028E" w:rsidRDefault="00E0028E" w:rsidP="00E0028E">
      <w:pPr>
        <w:spacing w:after="0" w:line="240" w:lineRule="auto"/>
        <w:rPr>
          <w:rFonts w:ascii="Times New Roman" w:eastAsia="Batang" w:hAnsi="Times New Roman" w:cs="Times New Roman"/>
          <w:sz w:val="20"/>
          <w:szCs w:val="24"/>
          <w:highlight w:val="green"/>
          <w:lang w:val="en-GB" w:eastAsia="en-US"/>
        </w:rPr>
      </w:pPr>
    </w:p>
    <w:p w14:paraId="71B3711E" w14:textId="249E5B3F"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0C078776" w14:textId="77777777" w:rsidR="00ED6644" w:rsidRPr="00ED6644" w:rsidRDefault="00ED6644" w:rsidP="00ED664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at least support group-common PDCCH with CRC scrambled by a common RNTI to schedule a group-common PDSCH, where the scrambling of the group-common PDSCH is based on the same common RNTI.</w:t>
      </w:r>
    </w:p>
    <w:p w14:paraId="17E466C1" w14:textId="77777777" w:rsidR="00ED6644" w:rsidRPr="00ED6644" w:rsidRDefault="00ED6644" w:rsidP="00ED6644">
      <w:pPr>
        <w:pStyle w:val="ListParagraph"/>
        <w:ind w:left="1240" w:hanging="360"/>
        <w:jc w:val="both"/>
        <w:rPr>
          <w:rFonts w:ascii="Times New Roman" w:hAnsi="Times New Roman" w:cs="Times New Roman"/>
        </w:rPr>
      </w:pPr>
      <w:r w:rsidRPr="00ED6644">
        <w:rPr>
          <w:rFonts w:ascii="Times New Roman" w:hAnsi="Times New Roman" w:cs="Times New Roman"/>
          <w:sz w:val="20"/>
          <w:szCs w:val="20"/>
        </w:rPr>
        <w:t>o</w:t>
      </w:r>
      <w:r w:rsidRPr="00ED6644">
        <w:rPr>
          <w:rFonts w:ascii="Times New Roman" w:hAnsi="Times New Roman" w:cs="Times New Roman"/>
          <w:sz w:val="12"/>
          <w:szCs w:val="12"/>
        </w:rPr>
        <w:t xml:space="preserve">   </w:t>
      </w:r>
      <w:r w:rsidRPr="00ED6644">
        <w:rPr>
          <w:rFonts w:ascii="Times New Roman" w:eastAsia="Batang" w:hAnsi="Times New Roman" w:cs="Times New Roman"/>
          <w:sz w:val="20"/>
          <w:szCs w:val="20"/>
          <w:lang w:val="de-DE"/>
        </w:rPr>
        <w:t>FFS: whether to support UE-specific PDCCH to schedule a PDSCH for MBS.</w:t>
      </w:r>
    </w:p>
    <w:p w14:paraId="3046A606" w14:textId="77777777"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p>
    <w:p w14:paraId="215BF897" w14:textId="77777777"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605C8C79" w14:textId="77777777" w:rsidR="00ED6644" w:rsidRPr="00ED6644" w:rsidRDefault="00ED6644" w:rsidP="00ED664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define/configure common frequency resource for group-common PDSCH.</w:t>
      </w:r>
    </w:p>
    <w:p w14:paraId="5985F312"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FFS: whether to reuse the BWP framework or not </w:t>
      </w:r>
    </w:p>
    <w:p w14:paraId="02CACFB6"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FFS: the relation between the common frequency resource and UE dedicated BWP, e.g., the common frequency resource is a MBS specific BWP, or the common frequency resource is confined within UE’s dedicated BWP, etc. </w:t>
      </w:r>
    </w:p>
    <w:p w14:paraId="398F283F"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whether more than one common frequency resource can be configured per UE</w:t>
      </w:r>
    </w:p>
    <w:p w14:paraId="7055BF72" w14:textId="77777777" w:rsidR="00E0028E" w:rsidRPr="00E0028E" w:rsidRDefault="00E0028E" w:rsidP="00E0028E">
      <w:pPr>
        <w:spacing w:after="0" w:line="240" w:lineRule="auto"/>
        <w:rPr>
          <w:rFonts w:ascii="Times New Roman" w:eastAsia="Batang" w:hAnsi="Times New Roman" w:cs="Times New Roman"/>
          <w:sz w:val="20"/>
          <w:szCs w:val="24"/>
          <w:highlight w:val="green"/>
          <w:lang w:val="en-GB" w:eastAsia="en-US"/>
        </w:rPr>
      </w:pPr>
    </w:p>
    <w:p w14:paraId="4407DC65" w14:textId="6C90212D"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7C9EE18F" w14:textId="77777777" w:rsidR="00ED6644" w:rsidRPr="00ED6644" w:rsidRDefault="00ED6644" w:rsidP="00ED664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at least support FDM between unicast PDSCH and group-common PDSCH in a slot based on UE capability.</w:t>
      </w:r>
    </w:p>
    <w:p w14:paraId="7640271A"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TDM or SDM in a slot.</w:t>
      </w:r>
    </w:p>
    <w:p w14:paraId="5D10E78E" w14:textId="77777777" w:rsidR="00E0028E" w:rsidRPr="00E0028E" w:rsidRDefault="00E0028E" w:rsidP="00E0028E">
      <w:pPr>
        <w:spacing w:after="0" w:line="240" w:lineRule="auto"/>
        <w:rPr>
          <w:rFonts w:ascii="Times New Roman" w:eastAsia="Batang" w:hAnsi="Times New Roman" w:cs="Times New Roman"/>
          <w:sz w:val="20"/>
          <w:szCs w:val="24"/>
          <w:highlight w:val="green"/>
          <w:lang w:val="en-GB" w:eastAsia="en-US"/>
        </w:rPr>
      </w:pPr>
    </w:p>
    <w:p w14:paraId="16290FE7" w14:textId="15CC6379"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4053C358" w14:textId="77777777" w:rsidR="00ED6644" w:rsidRPr="00ED6644" w:rsidRDefault="00ED6644" w:rsidP="00ED664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For RRC_CONNECTED UEs, at least support slot-level repetition for group-common PDSCH. </w:t>
      </w:r>
    </w:p>
    <w:p w14:paraId="6879EA2C"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FFS: whether enhancement is needed</w:t>
      </w:r>
    </w:p>
    <w:p w14:paraId="2EC9FBC4" w14:textId="77777777" w:rsidR="00E0028E" w:rsidRPr="00E0028E" w:rsidRDefault="00E0028E" w:rsidP="00E0028E">
      <w:pPr>
        <w:spacing w:after="0" w:line="240" w:lineRule="auto"/>
        <w:rPr>
          <w:rFonts w:ascii="Times New Roman" w:eastAsia="Batang" w:hAnsi="Times New Roman" w:cs="Times New Roman"/>
          <w:sz w:val="20"/>
          <w:szCs w:val="24"/>
          <w:highlight w:val="green"/>
          <w:lang w:val="en-GB" w:eastAsia="en-US"/>
        </w:rPr>
      </w:pPr>
    </w:p>
    <w:p w14:paraId="281986B5" w14:textId="3F294F0A" w:rsidR="00ED6644" w:rsidRPr="00E0028E" w:rsidRDefault="00ED6644" w:rsidP="00E0028E">
      <w:pPr>
        <w:spacing w:after="0" w:line="240" w:lineRule="auto"/>
        <w:rPr>
          <w:rFonts w:ascii="Times New Roman" w:eastAsia="Batang" w:hAnsi="Times New Roman" w:cs="Times New Roman"/>
          <w:sz w:val="20"/>
          <w:szCs w:val="24"/>
          <w:highlight w:val="green"/>
          <w:lang w:val="en-GB" w:eastAsia="en-US"/>
        </w:rPr>
      </w:pPr>
      <w:r w:rsidRPr="00E0028E">
        <w:rPr>
          <w:rFonts w:ascii="Times New Roman" w:eastAsia="Batang" w:hAnsi="Times New Roman" w:cs="Times New Roman"/>
          <w:sz w:val="20"/>
          <w:szCs w:val="24"/>
          <w:highlight w:val="green"/>
          <w:lang w:val="en-GB" w:eastAsia="en-US"/>
        </w:rPr>
        <w:t>Agreements:</w:t>
      </w:r>
    </w:p>
    <w:p w14:paraId="765196BB" w14:textId="77777777" w:rsidR="00ED6644" w:rsidRPr="00ED6644" w:rsidRDefault="00ED6644" w:rsidP="00ED6644">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For RRC_CONNECTED UEs, existing CSI feedback can be used for multicast transmission.</w:t>
      </w:r>
    </w:p>
    <w:p w14:paraId="331080FD" w14:textId="77777777" w:rsidR="00ED6644" w:rsidRPr="00ED6644" w:rsidRDefault="00ED6644" w:rsidP="00ED6644">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ED6644">
        <w:rPr>
          <w:rFonts w:ascii="Times New Roman" w:eastAsia="Batang" w:hAnsi="Times New Roman" w:cs="Times New Roman"/>
          <w:sz w:val="20"/>
          <w:szCs w:val="20"/>
          <w:lang w:val="de-DE" w:eastAsia="x-none"/>
        </w:rPr>
        <w:t xml:space="preserve">FFS: whether enhancement is needed </w:t>
      </w:r>
    </w:p>
    <w:p w14:paraId="0E4D365D" w14:textId="77777777" w:rsidR="0069062D" w:rsidRPr="00593E99"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531C5F40" w:rsidR="00FE7EC6" w:rsidRPr="00593E99" w:rsidRDefault="00C0128E" w:rsidP="0069062D">
      <w:pPr>
        <w:pStyle w:val="BodyText"/>
      </w:pPr>
      <w:r>
        <w:t>Hence</w:t>
      </w:r>
      <w:r w:rsidR="0089630A">
        <w:t xml:space="preserve">, </w:t>
      </w:r>
      <w:r>
        <w:t>i</w:t>
      </w:r>
      <w:r w:rsidR="0069062D" w:rsidRPr="00593E99">
        <w:t xml:space="preserve">n this contribution, </w:t>
      </w:r>
      <w:r>
        <w:t>more detailed</w:t>
      </w:r>
      <w:r w:rsidR="0069062D" w:rsidRPr="00593E99">
        <w:t xml:space="preserve"> views are present</w:t>
      </w:r>
      <w:r>
        <w:t xml:space="preserve"> from our side</w:t>
      </w:r>
      <w:r w:rsidR="0069062D" w:rsidRPr="00593E99">
        <w:t>.</w:t>
      </w: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0539B5BD" w:rsidR="009C7187" w:rsidRDefault="00C0128E" w:rsidP="009C7187">
      <w:pPr>
        <w:pStyle w:val="Heading2"/>
        <w:rPr>
          <w:lang w:eastAsia="zh-CN"/>
        </w:rPr>
      </w:pPr>
      <w:r>
        <w:rPr>
          <w:lang w:eastAsia="zh-CN"/>
        </w:rPr>
        <w:t>HARQ-ACK feedback</w:t>
      </w:r>
      <w:r w:rsidR="009C7187">
        <w:rPr>
          <w:lang w:eastAsia="zh-CN"/>
        </w:rPr>
        <w:t xml:space="preserve"> </w:t>
      </w:r>
    </w:p>
    <w:p w14:paraId="606815AC" w14:textId="316500D5"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w:t>
      </w:r>
      <w:r>
        <w:lastRenderedPageBreak/>
        <w:t xml:space="preserve">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tbl>
      <w:tblPr>
        <w:tblStyle w:val="TableGrid"/>
        <w:tblW w:w="0" w:type="auto"/>
        <w:tblLook w:val="04A0" w:firstRow="1" w:lastRow="0" w:firstColumn="1" w:lastColumn="0" w:noHBand="0" w:noVBand="1"/>
      </w:tblPr>
      <w:tblGrid>
        <w:gridCol w:w="9307"/>
      </w:tblGrid>
      <w:tr w:rsidR="00E320C9" w14:paraId="7192438D" w14:textId="77777777" w:rsidTr="00E320C9">
        <w:tc>
          <w:tcPr>
            <w:tcW w:w="9307" w:type="dxa"/>
          </w:tcPr>
          <w:p w14:paraId="13367F8C" w14:textId="77777777" w:rsidR="00E320C9" w:rsidRDefault="00E320C9" w:rsidP="00E320C9">
            <w:pPr>
              <w:rPr>
                <w:color w:val="000000"/>
              </w:rPr>
            </w:pPr>
            <w:r>
              <w:t>The set of objectives includes:</w:t>
            </w:r>
          </w:p>
          <w:p w14:paraId="2CC7D323" w14:textId="77777777" w:rsidR="00E320C9" w:rsidRDefault="00E320C9" w:rsidP="00E320C9">
            <w:pPr>
              <w:numPr>
                <w:ilvl w:val="0"/>
                <w:numId w:val="31"/>
              </w:numPr>
              <w:overflowPunct w:val="0"/>
              <w:spacing w:after="180"/>
              <w:ind w:right="-99"/>
              <w:textAlignment w:val="baseline"/>
              <w:rPr>
                <w:color w:val="000000"/>
              </w:rPr>
            </w:pPr>
            <w:r>
              <w:rPr>
                <w:color w:val="000000"/>
              </w:rPr>
              <w:t>Specify RAN basic functions for broadcast/multicast for UEs in RRC_CONNECTED state [RAN1, RAN2, RAN3]:</w:t>
            </w:r>
          </w:p>
          <w:p w14:paraId="08FB9ED0" w14:textId="77777777" w:rsidR="00E320C9" w:rsidRDefault="00E320C9" w:rsidP="00E320C9">
            <w:pPr>
              <w:numPr>
                <w:ilvl w:val="1"/>
                <w:numId w:val="31"/>
              </w:numPr>
              <w:overflowPunct w:val="0"/>
              <w:spacing w:after="180"/>
              <w:ind w:right="-99"/>
              <w:textAlignment w:val="baseline"/>
              <w:rPr>
                <w:color w:val="000000"/>
              </w:rPr>
            </w:pPr>
            <w:r>
              <w:rPr>
                <w:color w:val="000000"/>
              </w:rPr>
              <w:t>Specify a group scheduling mechanism to allow UEs to receive Broadcast/Multicast service [RAN1, RAN2]</w:t>
            </w:r>
          </w:p>
          <w:p w14:paraId="380854C6" w14:textId="77777777" w:rsidR="00E320C9" w:rsidRDefault="00E320C9" w:rsidP="00E320C9">
            <w:pPr>
              <w:numPr>
                <w:ilvl w:val="2"/>
                <w:numId w:val="31"/>
              </w:numPr>
              <w:overflowPunct w:val="0"/>
              <w:spacing w:after="180"/>
              <w:ind w:right="-99"/>
              <w:textAlignment w:val="baseline"/>
              <w:rPr>
                <w:color w:val="000000"/>
              </w:rPr>
            </w:pPr>
            <w:r>
              <w:rPr>
                <w:color w:val="000000"/>
              </w:rPr>
              <w:t>This objective includes specifying necessary enhancements that are required to enable simultaneous operation with unicast reception.</w:t>
            </w:r>
          </w:p>
          <w:p w14:paraId="32A90726" w14:textId="77777777" w:rsidR="00E320C9" w:rsidRDefault="00E320C9" w:rsidP="00E320C9">
            <w:pPr>
              <w:numPr>
                <w:ilvl w:val="1"/>
                <w:numId w:val="31"/>
              </w:numPr>
              <w:overflowPunct w:val="0"/>
              <w:adjustRightInd/>
              <w:rPr>
                <w:color w:val="000000"/>
              </w:rPr>
            </w:pPr>
            <w:r>
              <w:rPr>
                <w:color w:val="000000"/>
              </w:rPr>
              <w:t>Specify support for dynamic change of Broadcast/Multicast service delivery between multicast (PTM) and unicast (PTP) with service continuity for a given UE [RAN2, RAN3]</w:t>
            </w:r>
          </w:p>
          <w:p w14:paraId="198400C4" w14:textId="77777777" w:rsidR="00E320C9" w:rsidRDefault="00E320C9" w:rsidP="00E320C9">
            <w:pPr>
              <w:numPr>
                <w:ilvl w:val="1"/>
                <w:numId w:val="31"/>
              </w:numPr>
              <w:overflowPunct w:val="0"/>
              <w:adjustRightInd/>
              <w:rPr>
                <w:color w:val="000000"/>
              </w:rPr>
            </w:pPr>
            <w:r>
              <w:rPr>
                <w:color w:val="000000"/>
              </w:rPr>
              <w:t>Specify support for basic mobility with service continuity [RAN2, RAN3]</w:t>
            </w:r>
          </w:p>
          <w:p w14:paraId="781E2F60" w14:textId="77777777" w:rsidR="00E320C9" w:rsidRDefault="00E320C9" w:rsidP="00E320C9">
            <w:pPr>
              <w:numPr>
                <w:ilvl w:val="1"/>
                <w:numId w:val="31"/>
              </w:numPr>
              <w:overflowPunct w:val="0"/>
              <w:spacing w:after="180"/>
              <w:textAlignment w:val="baseline"/>
              <w:rPr>
                <w:color w:val="000000"/>
              </w:rPr>
            </w:pPr>
            <w:proofErr w:type="gramStart"/>
            <w:r>
              <w:rPr>
                <w:color w:val="000000"/>
              </w:rPr>
              <w:t>Assuming that</w:t>
            </w:r>
            <w:proofErr w:type="gramEnd"/>
            <w:r>
              <w:rPr>
                <w:color w:val="000000"/>
              </w:rPr>
              <w:t xml:space="preserve"> the necessary coordination function (like functions hosted by MCE, if any) resides in the gNB-CU, specify required changes on the RAN architecture and interfaces, considering the results of the SA2 SI on Broadcast/Multicast (</w:t>
            </w:r>
            <w:r>
              <w:t>SP-190625</w:t>
            </w:r>
            <w:r>
              <w:rPr>
                <w:color w:val="000000"/>
              </w:rPr>
              <w:t>) [RAN3]</w:t>
            </w:r>
          </w:p>
          <w:p w14:paraId="390C5D5A" w14:textId="23B7FE14" w:rsidR="00E320C9" w:rsidRPr="00770AD5" w:rsidRDefault="00E320C9" w:rsidP="00E320C9">
            <w:pPr>
              <w:numPr>
                <w:ilvl w:val="1"/>
                <w:numId w:val="31"/>
              </w:numPr>
              <w:overflowPunct w:val="0"/>
              <w:spacing w:after="180"/>
              <w:textAlignment w:val="baseline"/>
              <w:rPr>
                <w:color w:val="000000"/>
                <w:highlight w:val="yellow"/>
              </w:rPr>
            </w:pPr>
            <w:r w:rsidRPr="00770AD5">
              <w:rPr>
                <w:color w:val="000000"/>
                <w:highlight w:val="yellow"/>
              </w:rPr>
              <w:t>Specify required changes to improve reliability of Broadcast/Multicast service, e.g. by UL feedback. The level of reliability should be based on the requirements of the application/service provided.</w:t>
            </w:r>
            <w:r w:rsidR="00770AD5">
              <w:rPr>
                <w:color w:val="000000"/>
                <w:highlight w:val="yellow"/>
              </w:rPr>
              <w:t xml:space="preserve"> </w:t>
            </w:r>
            <w:proofErr w:type="gramStart"/>
            <w:r w:rsidRPr="00770AD5">
              <w:rPr>
                <w:color w:val="000000"/>
                <w:highlight w:val="yellow"/>
              </w:rPr>
              <w:t>[</w:t>
            </w:r>
            <w:proofErr w:type="gramEnd"/>
            <w:r w:rsidRPr="00770AD5">
              <w:rPr>
                <w:color w:val="000000"/>
                <w:highlight w:val="yellow"/>
              </w:rPr>
              <w:t>RAN1, RAN2]</w:t>
            </w:r>
          </w:p>
          <w:p w14:paraId="2A6619B1" w14:textId="77777777" w:rsidR="00E320C9" w:rsidRDefault="00E320C9" w:rsidP="00E320C9">
            <w:pPr>
              <w:numPr>
                <w:ilvl w:val="1"/>
                <w:numId w:val="31"/>
              </w:numPr>
              <w:overflowPunct w:val="0"/>
              <w:spacing w:after="180"/>
              <w:textAlignment w:val="baseline"/>
              <w:rPr>
                <w:color w:val="000000"/>
              </w:rPr>
            </w:pPr>
            <w:r>
              <w:rPr>
                <w:color w:val="000000"/>
              </w:rPr>
              <w:t>Study the support for d</w:t>
            </w:r>
            <w:r>
              <w:rPr>
                <w:rFonts w:hint="eastAsia"/>
                <w:color w:val="000000"/>
              </w:rPr>
              <w:t xml:space="preserve">ynamic </w:t>
            </w:r>
            <w:r>
              <w:rPr>
                <w:color w:val="000000"/>
              </w:rPr>
              <w:t>control of the Broadcast/Multicast transmission area within one gNB-DU and specify what is needed to enable it, if anything [RAN2, RAN3]</w:t>
            </w:r>
          </w:p>
          <w:p w14:paraId="3E342593" w14:textId="77777777" w:rsidR="00E320C9" w:rsidRPr="00770AD5" w:rsidRDefault="00E320C9" w:rsidP="00C0128E">
            <w:pPr>
              <w:pStyle w:val="BodyText"/>
              <w:rPr>
                <w:lang w:val="en-US"/>
              </w:rPr>
            </w:pPr>
          </w:p>
        </w:tc>
      </w:tr>
    </w:tbl>
    <w:p w14:paraId="0ADDC84B" w14:textId="77777777" w:rsidR="00E320C9" w:rsidRDefault="00E320C9" w:rsidP="00C0128E">
      <w:pPr>
        <w:pStyle w:val="BodyText"/>
      </w:pPr>
    </w:p>
    <w:p w14:paraId="5643970B" w14:textId="62A40432" w:rsidR="00C0128E" w:rsidRDefault="00CB0B1A" w:rsidP="00C0128E">
      <w:pPr>
        <w:pStyle w:val="BodyText"/>
      </w:pPr>
      <w:r>
        <w:t>Generally</w:t>
      </w:r>
      <w:r w:rsidR="00C0128E">
        <w:t>, for a PDSCH carrying multicast service, there are two options</w:t>
      </w:r>
      <w:r w:rsidRPr="00CB0B1A">
        <w:t xml:space="preserve"> </w:t>
      </w:r>
      <w:r>
        <w:t>for HARQ-ACK feedback transmission from UE to gNB</w:t>
      </w:r>
      <w:r w:rsidR="00C0128E">
        <w:t>:</w:t>
      </w:r>
    </w:p>
    <w:p w14:paraId="7A0662ED" w14:textId="27A43B86"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Option 1: Group NACK transmission</w:t>
      </w:r>
    </w:p>
    <w:p w14:paraId="620E0772" w14:textId="3863A882"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does not transmit HARQ-ACK feedback to gNB;</w:t>
      </w:r>
    </w:p>
    <w:p w14:paraId="4F40893D" w14:textId="624449F5"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79DDC76B" w14:textId="70D627D3"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A group of UEs share the same resource to transmit NACK.</w:t>
      </w:r>
    </w:p>
    <w:p w14:paraId="5366AC76" w14:textId="77777777" w:rsidR="00CB0B1A"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4C38410B" w14:textId="7A4F6871"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Option 2: UE-specific ACK/NACK transmission</w:t>
      </w:r>
    </w:p>
    <w:p w14:paraId="25240F80" w14:textId="62C2B21A"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transmits ACK feedback to gNB;</w:t>
      </w:r>
    </w:p>
    <w:p w14:paraId="7373666E" w14:textId="62377160"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2D2D8E5C" w14:textId="0405593A"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Each UE is provided with a specific PUCCH resource for the UE to transmit ACK/NACK to gNB.</w:t>
      </w:r>
    </w:p>
    <w:p w14:paraId="4D698D97" w14:textId="3498FFCE" w:rsidR="00EA5DFF" w:rsidRDefault="00EA5DFF" w:rsidP="00C0128E">
      <w:pPr>
        <w:pStyle w:val="BodyText"/>
      </w:pPr>
    </w:p>
    <w:p w14:paraId="7C729857" w14:textId="23DAAF5C" w:rsidR="00EA5DFF" w:rsidRDefault="00C0128E" w:rsidP="00C0128E">
      <w:pPr>
        <w:pStyle w:val="BodyText"/>
      </w:pPr>
      <w:r>
        <w:t xml:space="preserve">It is obvious that Option 1 can minimize the HARQ-ACK feedback overhead </w:t>
      </w:r>
      <w:r w:rsidR="00EA5DFF">
        <w:t xml:space="preserve">because only a sequence indicating NACK is enough as the HARQ-ACK feedback overhead. </w:t>
      </w:r>
      <w:r w:rsidR="00886E93">
        <w:t>At gNB side</w:t>
      </w:r>
      <w:r w:rsidR="00EA5DFF">
        <w:t xml:space="preserve">, </w:t>
      </w:r>
      <w:r w:rsidR="00886E93">
        <w:t xml:space="preserve">only a single common PUCCH resource for transmitting a NACK sequence needs to be configured to the group of UEs so as to enable this group-NACK mechanism. Furthermore, </w:t>
      </w:r>
      <w:r w:rsidR="00C5502B">
        <w:t>when gNB detects the sequence on the PUCCH resource for a given MBS PDSCH</w:t>
      </w:r>
      <w:r w:rsidR="00886E93">
        <w:t>, the gNB has to retransmit the MBS PDSCH</w:t>
      </w:r>
      <w:r w:rsidR="00C5502B">
        <w:t xml:space="preserve"> in subsequent transmission in a group-manner since the gNB can’t differentiate which UE transmits the NACK feedback on the common PUCCH resource</w:t>
      </w:r>
      <w:r w:rsidR="00C5502B" w:rsidRPr="00886E93">
        <w:t xml:space="preserve"> </w:t>
      </w:r>
      <w:r w:rsidR="00C5502B">
        <w:t>shared by the group of UEs. Hence, as long as only one UE does not correctly received the MBS PDSCH</w:t>
      </w:r>
      <w:r w:rsidR="00886E93">
        <w:t xml:space="preserve">, the gNB </w:t>
      </w:r>
      <w:r w:rsidR="00C5502B">
        <w:t>ha</w:t>
      </w:r>
      <w:r w:rsidR="00886E93">
        <w:t>s to retransmit the MBS PDSCH</w:t>
      </w:r>
      <w:r w:rsidR="00C5502B">
        <w:t xml:space="preserve"> to the all the UEs in same group</w:t>
      </w:r>
      <w:r w:rsidR="00886E93">
        <w:t>.</w:t>
      </w:r>
      <w:r w:rsidR="00C5502B">
        <w:t xml:space="preserve"> In addition, the standardization effort for group-NACK feedback mechanism is high compared </w:t>
      </w:r>
      <w:r w:rsidR="00D42EFD">
        <w:t>to legacy HARQ-ACK feedback for unicast PDSCH reception.</w:t>
      </w:r>
    </w:p>
    <w:p w14:paraId="0FA65F01" w14:textId="363C79FD" w:rsidR="00B059F2" w:rsidRDefault="00B059F2" w:rsidP="00B059F2">
      <w:pPr>
        <w:pStyle w:val="BodyText"/>
        <w:rPr>
          <w:b/>
          <w:i/>
        </w:rPr>
      </w:pPr>
      <w:r w:rsidRPr="00B059F2">
        <w:rPr>
          <w:b/>
          <w:i/>
        </w:rPr>
        <w:t xml:space="preserve">Observation </w:t>
      </w:r>
      <w:r>
        <w:rPr>
          <w:b/>
          <w:i/>
        </w:rPr>
        <w:t>1</w:t>
      </w:r>
      <w:r w:rsidRPr="00C336B4">
        <w:rPr>
          <w:b/>
          <w:i/>
        </w:rPr>
        <w:t>:</w:t>
      </w:r>
      <w:r w:rsidRPr="00B059F2">
        <w:rPr>
          <w:rFonts w:hint="eastAsia"/>
          <w:b/>
          <w:i/>
        </w:rPr>
        <w:t xml:space="preserve"> </w:t>
      </w:r>
      <w:r>
        <w:rPr>
          <w:b/>
          <w:i/>
        </w:rPr>
        <w:t xml:space="preserve">Group NACK-only </w:t>
      </w:r>
      <w:r w:rsidRPr="00FF0056">
        <w:rPr>
          <w:b/>
          <w:i/>
        </w:rPr>
        <w:t>feedback</w:t>
      </w:r>
      <w:r>
        <w:rPr>
          <w:b/>
          <w:i/>
        </w:rPr>
        <w:t xml:space="preserve"> can minimize HARQ-ACK feedback overhead while gNB can’t differentiate which UE transmits the NACK.</w:t>
      </w:r>
    </w:p>
    <w:p w14:paraId="178620D6" w14:textId="77777777" w:rsidR="00B059F2" w:rsidRPr="00B059F2" w:rsidRDefault="00B059F2" w:rsidP="00C0128E">
      <w:pPr>
        <w:pStyle w:val="BodyText"/>
        <w:rPr>
          <w:lang w:val="en-US"/>
        </w:rPr>
      </w:pPr>
    </w:p>
    <w:p w14:paraId="47BB37C3" w14:textId="05E6C03D" w:rsidR="00C0128E" w:rsidRDefault="00C0128E" w:rsidP="00C0128E">
      <w:pPr>
        <w:pStyle w:val="BodyText"/>
      </w:pPr>
      <w:r>
        <w:t xml:space="preserve">On the contrast, Option 2 has minor standardization effort and gNB can differentiate each UE’s ACK or NACK at the cost of UE-specific PUCCH resource reservation. However, when a large number of UEs are receiving the </w:t>
      </w:r>
      <w:r>
        <w:lastRenderedPageBreak/>
        <w:t xml:space="preserve">multicast transmission, it will consume too much PUCCH resources if a specific PUCCH resource is configured for each UE for HARQ-ACK feedback corresponding to the multicast transmission. In that sense, it does make sense to adopt a group-based NACK transmission as Option 1. </w:t>
      </w:r>
    </w:p>
    <w:p w14:paraId="6DA61CFD" w14:textId="71026BA8" w:rsidR="00B059F2" w:rsidRDefault="00B059F2" w:rsidP="00B059F2">
      <w:pPr>
        <w:pStyle w:val="BodyText"/>
        <w:rPr>
          <w:b/>
          <w:i/>
        </w:rPr>
      </w:pPr>
      <w:r w:rsidRPr="00B059F2">
        <w:rPr>
          <w:b/>
          <w:i/>
        </w:rPr>
        <w:t xml:space="preserve">Observation </w:t>
      </w:r>
      <w:r>
        <w:rPr>
          <w:b/>
          <w:i/>
        </w:rPr>
        <w:t>2</w:t>
      </w:r>
      <w:r w:rsidRPr="00C336B4">
        <w:rPr>
          <w:b/>
          <w:i/>
        </w:rPr>
        <w:t>:</w:t>
      </w:r>
      <w:r w:rsidRPr="00B059F2">
        <w:rPr>
          <w:rFonts w:hint="eastAsia"/>
          <w:b/>
          <w:i/>
        </w:rPr>
        <w:t xml:space="preserve"> </w:t>
      </w:r>
      <w:r>
        <w:rPr>
          <w:b/>
          <w:i/>
        </w:rPr>
        <w:t xml:space="preserve">UE-specific ACK/NACK </w:t>
      </w:r>
      <w:r w:rsidRPr="00FF0056">
        <w:rPr>
          <w:b/>
          <w:i/>
        </w:rPr>
        <w:t>feedback</w:t>
      </w:r>
      <w:r>
        <w:rPr>
          <w:b/>
          <w:i/>
        </w:rPr>
        <w:t xml:space="preserve"> requires minor standardization effort while may consume large PUCCH resources due to per UE HARQ-ACK feedback.</w:t>
      </w:r>
    </w:p>
    <w:p w14:paraId="4F2A0CAC" w14:textId="5A84A9F1" w:rsidR="00C10BBD" w:rsidRDefault="00C10BBD" w:rsidP="00C0128E">
      <w:pPr>
        <w:pStyle w:val="BodyText"/>
      </w:pPr>
      <w:r>
        <w:t>Generally speaking, either Option 1 or Option 2 has its own pros and cons.</w:t>
      </w:r>
      <w:r w:rsidRPr="00C10BBD">
        <w:t xml:space="preserve"> </w:t>
      </w:r>
      <w:r>
        <w:t>In order to fully exploit the benefit of each option, it is better to allow the gNB switch between Option 1 and Option 2 in case gNB decides to enable HARQ-ACK feedback for a given MBS transmission. E.g., gNB can flexibly adjust the feedback options based on the number of interested UEs, when the number of UEs is relatively small</w:t>
      </w:r>
      <w:r w:rsidR="00397A88">
        <w:t>, Option 2 is better than Option 1; otherwise, Option 1 is better than Option 2;</w:t>
      </w:r>
      <w:r>
        <w:t xml:space="preserve"> </w:t>
      </w:r>
      <w:r w:rsidR="00397A88">
        <w:t>when</w:t>
      </w:r>
      <w:r>
        <w:t xml:space="preserve"> the UE-specific PUCCH resource overhead is acceptable to gNB, then it is better for the gNB to adopt Option 2; otherwise, it is better to adopt Option 1. </w:t>
      </w:r>
    </w:p>
    <w:p w14:paraId="45BA2949" w14:textId="77777777" w:rsidR="00C10BBD" w:rsidRPr="00D67877" w:rsidRDefault="00C10BBD" w:rsidP="00C10BBD">
      <w:pPr>
        <w:pStyle w:val="BodyText"/>
      </w:pPr>
      <w:r>
        <w:t>Based on above discussion, we have below proposals:</w:t>
      </w:r>
    </w:p>
    <w:p w14:paraId="11CEAB04" w14:textId="71B3C1B4" w:rsidR="00C10BBD" w:rsidRDefault="00C10BBD" w:rsidP="00C10BBD">
      <w:pPr>
        <w:pStyle w:val="BodyText"/>
        <w:rPr>
          <w:b/>
          <w:i/>
        </w:rPr>
      </w:pPr>
      <w:r w:rsidRPr="009C7176">
        <w:rPr>
          <w:b/>
          <w:i/>
        </w:rPr>
        <w:t xml:space="preserve">Proposal </w:t>
      </w:r>
      <w:r>
        <w:rPr>
          <w:b/>
          <w:i/>
        </w:rPr>
        <w:t>1</w:t>
      </w:r>
      <w:r w:rsidRPr="009C7176">
        <w:rPr>
          <w:b/>
          <w:i/>
        </w:rPr>
        <w:t xml:space="preserve">: </w:t>
      </w:r>
      <w:bookmarkStart w:id="4" w:name="_Hlk47536424"/>
      <w:r>
        <w:rPr>
          <w:b/>
          <w:i/>
          <w:lang w:val="en-GB"/>
        </w:rPr>
        <w:t>Both Option 1 (group-NACK transmission) and Option 2 (UE-specific ACK/NACK transmission) are supported for NR MBS</w:t>
      </w:r>
      <w:r w:rsidRPr="009C7176">
        <w:rPr>
          <w:b/>
          <w:i/>
        </w:rPr>
        <w:t xml:space="preserve">. </w:t>
      </w:r>
      <w:bookmarkEnd w:id="4"/>
    </w:p>
    <w:p w14:paraId="05196B67" w14:textId="77777777" w:rsidR="00C10BBD" w:rsidRDefault="00C10BBD" w:rsidP="00C0128E">
      <w:pPr>
        <w:pStyle w:val="BodyText"/>
      </w:pPr>
    </w:p>
    <w:p w14:paraId="1A86D9D3" w14:textId="41A3C15B" w:rsidR="00C10BBD" w:rsidRDefault="00397A88" w:rsidP="00C0128E">
      <w:pPr>
        <w:pStyle w:val="BodyText"/>
      </w:pPr>
      <w:r>
        <w:t>On the other hand</w:t>
      </w:r>
      <w:r w:rsidR="00C0128E">
        <w:t xml:space="preserve">, </w:t>
      </w:r>
      <w:r>
        <w:t xml:space="preserve">as mentioned in the agreement, there is one FFS issue whether to enable or disable the HARQ-ACK feedback for MBS PDSCH. Considering the reason why HARQ-ACK feedback is introduced for MBS is for the purpose of satisfying MBS service reliability requirements, from the standard point of view, </w:t>
      </w:r>
      <w:r w:rsidR="00C0128E">
        <w:t xml:space="preserve">it </w:t>
      </w:r>
      <w:r>
        <w:t>does make sense</w:t>
      </w:r>
      <w:r w:rsidR="00C0128E">
        <w:t xml:space="preserve"> to introduce a mechanism which allows gNB to </w:t>
      </w:r>
      <w:r w:rsidR="00D42EFD">
        <w:t>enable or disable the HARQ-ACK feedback</w:t>
      </w:r>
      <w:r>
        <w:t xml:space="preserve"> based on </w:t>
      </w:r>
      <w:proofErr w:type="spellStart"/>
      <w:r>
        <w:t>gNB’s</w:t>
      </w:r>
      <w:proofErr w:type="spellEnd"/>
      <w:r>
        <w:t xml:space="preserve"> scheduling policy and service QoS</w:t>
      </w:r>
      <w:r w:rsidR="00C10BBD">
        <w:t xml:space="preserve">. In case </w:t>
      </w:r>
      <w:r>
        <w:t xml:space="preserve">of </w:t>
      </w:r>
      <w:r w:rsidR="00C10BBD">
        <w:t xml:space="preserve">high reliability requirements, gNB can enable the HARQ-ACK feedback; otherwise, gNB can disable the HARQ-ACK feedback. </w:t>
      </w:r>
    </w:p>
    <w:p w14:paraId="685A9FE8" w14:textId="20536397" w:rsidR="00C10BBD" w:rsidRDefault="00397A88" w:rsidP="00C0128E">
      <w:pPr>
        <w:pStyle w:val="BodyText"/>
      </w:pPr>
      <w:r>
        <w:t>Additionally, i</w:t>
      </w:r>
      <w:r w:rsidR="00C10BBD">
        <w:t xml:space="preserve">n order to fully exploit the benefit of </w:t>
      </w:r>
      <w:r>
        <w:t>O</w:t>
      </w:r>
      <w:r w:rsidR="00C10BBD">
        <w:t>ption</w:t>
      </w:r>
      <w:r>
        <w:t xml:space="preserve"> 1 or Option 2</w:t>
      </w:r>
      <w:r w:rsidR="00C10BBD">
        <w:t xml:space="preserve">, it is </w:t>
      </w:r>
      <w:r>
        <w:t>necessary</w:t>
      </w:r>
      <w:r w:rsidR="00C10BBD">
        <w:t xml:space="preserve"> to </w:t>
      </w:r>
      <w:r>
        <w:t xml:space="preserve">further </w:t>
      </w:r>
      <w:r w:rsidR="00C10BBD">
        <w:t xml:space="preserve">allow the gNB </w:t>
      </w:r>
      <w:r>
        <w:t xml:space="preserve">to </w:t>
      </w:r>
      <w:r w:rsidR="00C10BBD">
        <w:t xml:space="preserve">dynamically </w:t>
      </w:r>
      <w:r w:rsidR="00D42EFD">
        <w:t xml:space="preserve">switch </w:t>
      </w:r>
      <w:r w:rsidR="00C0128E">
        <w:t xml:space="preserve">between Option 1 and Option 2 </w:t>
      </w:r>
      <w:r w:rsidR="00D42EFD">
        <w:t xml:space="preserve">in case </w:t>
      </w:r>
      <w:r w:rsidR="00C10BBD">
        <w:t xml:space="preserve">gNB decides to enable </w:t>
      </w:r>
      <w:r w:rsidR="00D42EFD">
        <w:t xml:space="preserve">HARQ-ACK feedback </w:t>
      </w:r>
      <w:r w:rsidR="00C10BBD">
        <w:t>for a given MBS transmission</w:t>
      </w:r>
      <w:r w:rsidR="00C0128E">
        <w:t xml:space="preserve">. </w:t>
      </w:r>
      <w:r>
        <w:t>As mentioned above,</w:t>
      </w:r>
      <w:r w:rsidR="00C0128E">
        <w:t xml:space="preserve"> gNB can flexibly adjust the feedback options based on the number of </w:t>
      </w:r>
      <w:r w:rsidR="00D42EFD">
        <w:t xml:space="preserve">interested </w:t>
      </w:r>
      <w:r w:rsidR="00C0128E">
        <w:t xml:space="preserve">UEs in connected mode so as to reach a tradeoff between transmission reliability and resource overhead. </w:t>
      </w:r>
    </w:p>
    <w:p w14:paraId="1DCA3009" w14:textId="77777777" w:rsidR="00397A88" w:rsidRPr="00D67877" w:rsidRDefault="00397A88" w:rsidP="00397A88">
      <w:pPr>
        <w:pStyle w:val="BodyText"/>
      </w:pPr>
      <w:r>
        <w:t>Based on above discussion, we have below proposals:</w:t>
      </w:r>
    </w:p>
    <w:p w14:paraId="3DAD9B99" w14:textId="77777777" w:rsidR="00B059F2" w:rsidRDefault="00397A88" w:rsidP="00397A88">
      <w:pPr>
        <w:pStyle w:val="BodyText"/>
        <w:rPr>
          <w:b/>
          <w:i/>
        </w:rPr>
      </w:pPr>
      <w:r w:rsidRPr="009C7176">
        <w:rPr>
          <w:b/>
          <w:i/>
        </w:rPr>
        <w:t xml:space="preserve">Proposal </w:t>
      </w:r>
      <w:r>
        <w:rPr>
          <w:b/>
          <w:i/>
        </w:rPr>
        <w:t>2</w:t>
      </w:r>
      <w:r w:rsidRPr="009C7176">
        <w:rPr>
          <w:b/>
          <w:i/>
        </w:rPr>
        <w:t xml:space="preserve">: </w:t>
      </w:r>
      <w:r w:rsidR="00B059F2">
        <w:rPr>
          <w:b/>
          <w:i/>
          <w:lang w:val="en-GB"/>
        </w:rPr>
        <w:t>HARQ-ACK feedback for MBS can be enabled or disabled</w:t>
      </w:r>
      <w:r w:rsidRPr="009C7176">
        <w:rPr>
          <w:b/>
          <w:i/>
        </w:rPr>
        <w:t>.</w:t>
      </w:r>
    </w:p>
    <w:p w14:paraId="70A185A9" w14:textId="5DFB148C" w:rsidR="00397A88" w:rsidRDefault="00B059F2" w:rsidP="00397A88">
      <w:pPr>
        <w:pStyle w:val="BodyText"/>
        <w:rPr>
          <w:b/>
          <w:i/>
        </w:rPr>
      </w:pPr>
      <w:r>
        <w:rPr>
          <w:b/>
          <w:i/>
        </w:rPr>
        <w:t>Proposal 3: Switching between Option 1</w:t>
      </w:r>
      <w:r w:rsidR="00397A88" w:rsidRPr="009C7176">
        <w:rPr>
          <w:b/>
          <w:i/>
        </w:rPr>
        <w:t xml:space="preserve"> </w:t>
      </w:r>
      <w:r>
        <w:rPr>
          <w:b/>
          <w:i/>
          <w:lang w:val="en-GB"/>
        </w:rPr>
        <w:t xml:space="preserve">(group-NACK transmission) and Option 2 (UE-specific ACK/NACK transmission) are supported for NR MBS. </w:t>
      </w:r>
    </w:p>
    <w:p w14:paraId="521961C1" w14:textId="77777777" w:rsidR="004B776B" w:rsidRDefault="004B776B" w:rsidP="00D67877">
      <w:pPr>
        <w:pStyle w:val="BodyText"/>
        <w:rPr>
          <w:b/>
          <w:i/>
        </w:rPr>
      </w:pPr>
    </w:p>
    <w:p w14:paraId="7F5A34AD" w14:textId="6AAC06B2" w:rsidR="00280006" w:rsidRDefault="00280006" w:rsidP="00280006">
      <w:pPr>
        <w:pStyle w:val="Heading2"/>
        <w:rPr>
          <w:lang w:eastAsia="zh-CN"/>
        </w:rPr>
      </w:pPr>
      <w:r>
        <w:rPr>
          <w:lang w:eastAsia="zh-CN"/>
        </w:rPr>
        <w:t xml:space="preserve">MBS PDSCH repetition </w:t>
      </w:r>
    </w:p>
    <w:p w14:paraId="4958A015" w14:textId="6DA6FA24" w:rsidR="00280006" w:rsidRPr="00280006" w:rsidRDefault="00280006" w:rsidP="00280006">
      <w:pPr>
        <w:pStyle w:val="BodyText"/>
        <w:rPr>
          <w:rFonts w:eastAsia="MS Mincho"/>
          <w:lang w:eastAsia="ja-JP"/>
        </w:rPr>
      </w:pPr>
      <w:r>
        <w:rPr>
          <w:rFonts w:eastAsia="MS Mincho"/>
          <w:lang w:eastAsia="ja-JP"/>
        </w:rPr>
        <w:t xml:space="preserve">Another method for improving transmission reliability is to use transmission repetition. In NR Rel-15, for cell edge UE, 2, 4 or 8 repetitions of one TB can be transmitted for reliability purpose. In detail, the concrete </w:t>
      </w:r>
      <w:r w:rsidRPr="00280006">
        <w:rPr>
          <w:rFonts w:eastAsia="MS Mincho" w:hint="eastAsia"/>
          <w:lang w:eastAsia="ja-JP"/>
        </w:rPr>
        <w:t>number</w:t>
      </w:r>
      <w:r w:rsidRPr="00280006">
        <w:rPr>
          <w:rFonts w:eastAsia="MS Mincho"/>
          <w:lang w:eastAsia="ja-JP"/>
        </w:rPr>
        <w:t xml:space="preserve"> of </w:t>
      </w:r>
      <w:r>
        <w:rPr>
          <w:rFonts w:eastAsia="MS Mincho"/>
          <w:lang w:eastAsia="ja-JP"/>
        </w:rPr>
        <w:t xml:space="preserve">transmission </w:t>
      </w:r>
      <w:r w:rsidRPr="00280006">
        <w:rPr>
          <w:rFonts w:eastAsia="MS Mincho"/>
          <w:lang w:eastAsia="ja-JP"/>
        </w:rPr>
        <w:t xml:space="preserve">repetitions </w:t>
      </w:r>
      <w:r>
        <w:rPr>
          <w:rFonts w:eastAsia="MS Mincho"/>
          <w:lang w:eastAsia="ja-JP"/>
        </w:rPr>
        <w:t>is</w:t>
      </w:r>
      <w:r w:rsidRPr="00280006">
        <w:rPr>
          <w:rFonts w:eastAsia="MS Mincho"/>
          <w:lang w:eastAsia="ja-JP"/>
        </w:rPr>
        <w:t xml:space="preserve"> configured by </w:t>
      </w:r>
      <w:r>
        <w:rPr>
          <w:rFonts w:eastAsia="MS Mincho"/>
          <w:lang w:eastAsia="ja-JP"/>
        </w:rPr>
        <w:t xml:space="preserve">gNB via </w:t>
      </w:r>
      <w:r w:rsidRPr="00280006">
        <w:rPr>
          <w:rFonts w:eastAsia="MS Mincho"/>
          <w:lang w:eastAsia="ja-JP"/>
        </w:rPr>
        <w:t>RRC signaling</w:t>
      </w:r>
      <w:r>
        <w:rPr>
          <w:rFonts w:eastAsia="MS Mincho"/>
          <w:lang w:eastAsia="ja-JP"/>
        </w:rPr>
        <w:t xml:space="preserve"> in a semi-static manner</w:t>
      </w:r>
      <w:r w:rsidRPr="00280006">
        <w:rPr>
          <w:rFonts w:eastAsia="MS Mincho"/>
          <w:lang w:eastAsia="ja-JP"/>
        </w:rPr>
        <w:t xml:space="preserve">. </w:t>
      </w:r>
      <w:r>
        <w:rPr>
          <w:rFonts w:eastAsia="MS Mincho"/>
          <w:lang w:eastAsia="ja-JP"/>
        </w:rPr>
        <w:t>Therefore, it is straightforward to introduce transmission repetition for MBS PDSCH</w:t>
      </w:r>
      <w:r w:rsidR="005C31E2">
        <w:rPr>
          <w:rFonts w:eastAsia="MS Mincho"/>
          <w:lang w:eastAsia="ja-JP"/>
        </w:rPr>
        <w:t xml:space="preserve"> based on reliability requirements</w:t>
      </w:r>
      <w:r>
        <w:rPr>
          <w:rFonts w:eastAsia="MS Mincho"/>
          <w:lang w:eastAsia="ja-JP"/>
        </w:rPr>
        <w:t>. The number of transmission repetitions can be configured by RRC signaling as Rel-15.</w:t>
      </w:r>
    </w:p>
    <w:p w14:paraId="10538B8E" w14:textId="0FCF9E26" w:rsidR="00280006" w:rsidRPr="00280006" w:rsidRDefault="00280006" w:rsidP="00280006">
      <w:pPr>
        <w:pStyle w:val="BodyText"/>
        <w:rPr>
          <w:b/>
          <w:i/>
        </w:rPr>
      </w:pPr>
      <w:r w:rsidRPr="00280006">
        <w:rPr>
          <w:b/>
          <w:i/>
        </w:rPr>
        <w:t xml:space="preserve">Proposal </w:t>
      </w:r>
      <w:r w:rsidR="005C31E2">
        <w:rPr>
          <w:b/>
          <w:i/>
        </w:rPr>
        <w:t>4</w:t>
      </w:r>
      <w:r w:rsidRPr="00280006">
        <w:rPr>
          <w:b/>
          <w:i/>
        </w:rPr>
        <w:t xml:space="preserve">: </w:t>
      </w:r>
      <w:r>
        <w:rPr>
          <w:b/>
          <w:i/>
        </w:rPr>
        <w:t>The number of transmission repetitions for MBS PDSCH is configured by RRC signaling</w:t>
      </w:r>
      <w:r w:rsidRPr="00280006">
        <w:rPr>
          <w:b/>
          <w:i/>
        </w:rPr>
        <w:t>.</w:t>
      </w:r>
    </w:p>
    <w:p w14:paraId="50CABB76" w14:textId="0C35921E" w:rsidR="00967EF3" w:rsidRPr="005C31E2" w:rsidRDefault="00967EF3" w:rsidP="00FE7EC6">
      <w:pPr>
        <w:rPr>
          <w:rFonts w:ascii="Times New Roman" w:hAnsi="Times New Roman" w:cs="Times New Roman"/>
          <w:sz w:val="20"/>
          <w:szCs w:val="20"/>
          <w:lang w:val="x-none"/>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59F9B1C8" w14:textId="77777777" w:rsidR="005C31E2" w:rsidRDefault="005C31E2" w:rsidP="005C31E2">
      <w:pPr>
        <w:pStyle w:val="BodyText"/>
        <w:rPr>
          <w:b/>
          <w:i/>
        </w:rPr>
      </w:pPr>
      <w:r w:rsidRPr="009C7176">
        <w:rPr>
          <w:b/>
          <w:i/>
        </w:rPr>
        <w:t xml:space="preserve">Proposal </w:t>
      </w:r>
      <w:r>
        <w:rPr>
          <w:b/>
          <w:i/>
        </w:rPr>
        <w:t>1</w:t>
      </w:r>
      <w:r w:rsidRPr="009C7176">
        <w:rPr>
          <w:b/>
          <w:i/>
        </w:rPr>
        <w:t xml:space="preserve">: </w:t>
      </w:r>
      <w:r>
        <w:rPr>
          <w:b/>
          <w:i/>
          <w:lang w:val="en-GB"/>
        </w:rPr>
        <w:t>Both Option 1 (group-NACK transmission) and Option 2 (UE-specific ACK/NACK transmission) are supported for NR MBS</w:t>
      </w:r>
      <w:r w:rsidRPr="009C7176">
        <w:rPr>
          <w:b/>
          <w:i/>
        </w:rPr>
        <w:t xml:space="preserve">. </w:t>
      </w:r>
    </w:p>
    <w:p w14:paraId="3E4DDAC6" w14:textId="77777777" w:rsidR="005C31E2" w:rsidRDefault="005C31E2" w:rsidP="005C31E2">
      <w:pPr>
        <w:pStyle w:val="BodyText"/>
        <w:rPr>
          <w:b/>
          <w:i/>
        </w:rPr>
      </w:pPr>
      <w:r w:rsidRPr="009C7176">
        <w:rPr>
          <w:b/>
          <w:i/>
        </w:rPr>
        <w:t xml:space="preserve">Proposal </w:t>
      </w:r>
      <w:r>
        <w:rPr>
          <w:b/>
          <w:i/>
        </w:rPr>
        <w:t>2</w:t>
      </w:r>
      <w:r w:rsidRPr="009C7176">
        <w:rPr>
          <w:b/>
          <w:i/>
        </w:rPr>
        <w:t xml:space="preserve">: </w:t>
      </w:r>
      <w:r>
        <w:rPr>
          <w:b/>
          <w:i/>
          <w:lang w:val="en-GB"/>
        </w:rPr>
        <w:t>HARQ-ACK feedback for MBS can be enabled or disabled</w:t>
      </w:r>
      <w:r w:rsidRPr="009C7176">
        <w:rPr>
          <w:b/>
          <w:i/>
        </w:rPr>
        <w:t>.</w:t>
      </w:r>
    </w:p>
    <w:p w14:paraId="4BCEBC74" w14:textId="77777777" w:rsidR="005C31E2" w:rsidRDefault="005C31E2" w:rsidP="005C31E2">
      <w:pPr>
        <w:pStyle w:val="BodyText"/>
        <w:rPr>
          <w:b/>
          <w:i/>
        </w:rPr>
      </w:pPr>
      <w:r>
        <w:rPr>
          <w:b/>
          <w:i/>
        </w:rPr>
        <w:t>Proposal 3: Switching between Option 1</w:t>
      </w:r>
      <w:r w:rsidRPr="009C7176">
        <w:rPr>
          <w:b/>
          <w:i/>
        </w:rPr>
        <w:t xml:space="preserve"> </w:t>
      </w:r>
      <w:r>
        <w:rPr>
          <w:b/>
          <w:i/>
          <w:lang w:val="en-GB"/>
        </w:rPr>
        <w:t xml:space="preserve">(group-NACK transmission) and Option 2 (UE-specific ACK/NACK transmission) are supported for NR MBS. </w:t>
      </w:r>
    </w:p>
    <w:p w14:paraId="4D639C05" w14:textId="77777777" w:rsidR="005C31E2" w:rsidRPr="00280006" w:rsidRDefault="005C31E2" w:rsidP="005C31E2">
      <w:pPr>
        <w:pStyle w:val="BodyText"/>
        <w:rPr>
          <w:b/>
          <w:i/>
        </w:rPr>
      </w:pPr>
      <w:r w:rsidRPr="00280006">
        <w:rPr>
          <w:b/>
          <w:i/>
        </w:rPr>
        <w:t xml:space="preserve">Proposal </w:t>
      </w:r>
      <w:r>
        <w:rPr>
          <w:b/>
          <w:i/>
        </w:rPr>
        <w:t>4</w:t>
      </w:r>
      <w:r w:rsidRPr="00280006">
        <w:rPr>
          <w:b/>
          <w:i/>
        </w:rPr>
        <w:t xml:space="preserve">: </w:t>
      </w:r>
      <w:r>
        <w:rPr>
          <w:b/>
          <w:i/>
        </w:rPr>
        <w:t>The number of transmission repetitions for MBS PDSCH is configured by RRC signaling</w:t>
      </w:r>
      <w:r w:rsidRPr="00280006">
        <w:rPr>
          <w:b/>
          <w:i/>
        </w:rPr>
        <w:t>.</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3957DBCE" w14:textId="5FC705FD" w:rsidR="00F2315D" w:rsidRDefault="00F2315D" w:rsidP="00FE7EC6">
      <w:pPr>
        <w:pStyle w:val="References"/>
      </w:pPr>
      <w:r>
        <w:t>Chairman’s notes on RAN1#10</w:t>
      </w:r>
      <w:r w:rsidR="005C31E2">
        <w:t>2</w:t>
      </w:r>
      <w:r>
        <w:t>-e meeting</w:t>
      </w:r>
    </w:p>
    <w:p w14:paraId="3569D43B" w14:textId="649B1330" w:rsidR="005C31E2" w:rsidRPr="009A4912" w:rsidRDefault="005C31E2" w:rsidP="005C31E2">
      <w:pPr>
        <w:pStyle w:val="References"/>
      </w:pPr>
      <w:bookmarkStart w:id="5" w:name="_Ref473620807"/>
      <w:bookmarkStart w:id="6" w:name="_Ref16191158"/>
      <w:r w:rsidRPr="00DE59DC">
        <w:t>RP-</w:t>
      </w:r>
      <w:bookmarkEnd w:id="5"/>
      <w:bookmarkEnd w:id="6"/>
      <w:r w:rsidR="00471FB6">
        <w:t>201038</w:t>
      </w:r>
      <w:r>
        <w:t>, ‘</w:t>
      </w:r>
      <w:r w:rsidRPr="00DE59DC">
        <w:t>New Work Item on NR support of Multicast and Broadcast Services</w:t>
      </w:r>
      <w:r>
        <w:t xml:space="preserve">’, </w:t>
      </w:r>
      <w:r w:rsidRPr="00DE59DC">
        <w:t>Huawei</w:t>
      </w:r>
    </w:p>
    <w:p w14:paraId="27AC4964" w14:textId="1C95F143" w:rsidR="00FE7EC6" w:rsidRDefault="00770AD5" w:rsidP="00FE7EC6">
      <w:pPr>
        <w:pStyle w:val="References"/>
      </w:pPr>
      <w:r w:rsidRPr="00770AD5">
        <w:t>R1-2008926</w:t>
      </w:r>
      <w:r w:rsidR="005C31E2">
        <w:t>, “</w:t>
      </w:r>
      <w:r w:rsidR="00385274" w:rsidRPr="00385274">
        <w:t xml:space="preserve">Discussion on </w:t>
      </w:r>
      <w:r w:rsidR="00385274">
        <w:t>g</w:t>
      </w:r>
      <w:r w:rsidR="005C31E2">
        <w:t>roup scheduling</w:t>
      </w:r>
      <w:r w:rsidR="005C31E2" w:rsidRPr="005C31E2">
        <w:t xml:space="preserve"> for RRC-CONNECTED UEs</w:t>
      </w:r>
      <w:r w:rsidR="005C31E2">
        <w:t>”, Lenovo, Motorola Mobility</w:t>
      </w:r>
    </w:p>
    <w:p w14:paraId="3C551D5C" w14:textId="6CCB222D" w:rsidR="005C31E2" w:rsidRPr="001B20A0" w:rsidRDefault="00597F54" w:rsidP="005C31E2">
      <w:pPr>
        <w:pStyle w:val="References"/>
      </w:pPr>
      <w:hyperlink r:id="rId10" w:history="1">
        <w:r w:rsidR="005C31E2" w:rsidRPr="005C31E2">
          <w:t>R1-2006233</w:t>
        </w:r>
      </w:hyperlink>
      <w:r w:rsidR="005C31E2">
        <w:t>,</w:t>
      </w:r>
      <w:r w:rsidR="005C31E2" w:rsidRPr="005C31E2">
        <w:tab/>
      </w:r>
      <w:r w:rsidR="005C31E2">
        <w:t>“</w:t>
      </w:r>
      <w:r w:rsidR="005C31E2" w:rsidRPr="005C31E2">
        <w:t>Discussion on group scheduling mechanisms in NR MBS</w:t>
      </w:r>
      <w:r w:rsidR="005C31E2">
        <w:t xml:space="preserve">”, </w:t>
      </w:r>
      <w:r w:rsidR="005C31E2" w:rsidRPr="005C31E2">
        <w:t>CMCC</w:t>
      </w: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E6EFC" w14:textId="77777777" w:rsidR="00597F54" w:rsidRDefault="00597F54" w:rsidP="000D45AD">
      <w:pPr>
        <w:spacing w:after="0" w:line="240" w:lineRule="auto"/>
      </w:pPr>
      <w:r>
        <w:separator/>
      </w:r>
    </w:p>
  </w:endnote>
  <w:endnote w:type="continuationSeparator" w:id="0">
    <w:p w14:paraId="757C0FC8" w14:textId="77777777" w:rsidR="00597F54" w:rsidRDefault="00597F5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61FE2" w14:textId="77777777" w:rsidR="00597F54" w:rsidRDefault="00597F54" w:rsidP="000D45AD">
      <w:pPr>
        <w:spacing w:after="0" w:line="240" w:lineRule="auto"/>
      </w:pPr>
      <w:r>
        <w:separator/>
      </w:r>
    </w:p>
  </w:footnote>
  <w:footnote w:type="continuationSeparator" w:id="0">
    <w:p w14:paraId="2A9AE44A" w14:textId="77777777" w:rsidR="00597F54" w:rsidRDefault="00597F5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26"/>
  </w:num>
  <w:num w:numId="4">
    <w:abstractNumId w:val="4"/>
  </w:num>
  <w:num w:numId="5">
    <w:abstractNumId w:val="25"/>
  </w:num>
  <w:num w:numId="6">
    <w:abstractNumId w:val="23"/>
  </w:num>
  <w:num w:numId="7">
    <w:abstractNumId w:val="16"/>
  </w:num>
  <w:num w:numId="8">
    <w:abstractNumId w:val="15"/>
  </w:num>
  <w:num w:numId="9">
    <w:abstractNumId w:val="18"/>
  </w:num>
  <w:num w:numId="10">
    <w:abstractNumId w:val="8"/>
  </w:num>
  <w:num w:numId="11">
    <w:abstractNumId w:val="3"/>
  </w:num>
  <w:num w:numId="12">
    <w:abstractNumId w:val="2"/>
  </w:num>
  <w:num w:numId="13">
    <w:abstractNumId w:val="28"/>
  </w:num>
  <w:num w:numId="14">
    <w:abstractNumId w:val="29"/>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2"/>
  </w:num>
  <w:num w:numId="17">
    <w:abstractNumId w:val="24"/>
  </w:num>
  <w:num w:numId="18">
    <w:abstractNumId w:val="27"/>
  </w:num>
  <w:num w:numId="19">
    <w:abstractNumId w:val="10"/>
  </w:num>
  <w:num w:numId="20">
    <w:abstractNumId w:val="1"/>
  </w:num>
  <w:num w:numId="21">
    <w:abstractNumId w:val="12"/>
  </w:num>
  <w:num w:numId="22">
    <w:abstractNumId w:val="19"/>
  </w:num>
  <w:num w:numId="23">
    <w:abstractNumId w:val="11"/>
  </w:num>
  <w:num w:numId="24">
    <w:abstractNumId w:val="6"/>
  </w:num>
  <w:num w:numId="25">
    <w:abstractNumId w:val="21"/>
  </w:num>
  <w:num w:numId="26">
    <w:abstractNumId w:val="30"/>
  </w:num>
  <w:num w:numId="27">
    <w:abstractNumId w:val="13"/>
  </w:num>
  <w:num w:numId="28">
    <w:abstractNumId w:val="14"/>
  </w:num>
  <w:num w:numId="29">
    <w:abstractNumId w:val="17"/>
  </w:num>
  <w:num w:numId="30">
    <w:abstractNumId w:val="5"/>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555D1"/>
    <w:rsid w:val="00070BC6"/>
    <w:rsid w:val="0008638F"/>
    <w:rsid w:val="00096C8B"/>
    <w:rsid w:val="000A024E"/>
    <w:rsid w:val="000A41C4"/>
    <w:rsid w:val="000D45AD"/>
    <w:rsid w:val="001007C3"/>
    <w:rsid w:val="00151080"/>
    <w:rsid w:val="001918F4"/>
    <w:rsid w:val="00210A17"/>
    <w:rsid w:val="00237DDC"/>
    <w:rsid w:val="00247005"/>
    <w:rsid w:val="00250271"/>
    <w:rsid w:val="002661A9"/>
    <w:rsid w:val="00267F53"/>
    <w:rsid w:val="00274132"/>
    <w:rsid w:val="00280006"/>
    <w:rsid w:val="002820C6"/>
    <w:rsid w:val="002869F6"/>
    <w:rsid w:val="00301291"/>
    <w:rsid w:val="00301EDA"/>
    <w:rsid w:val="00316110"/>
    <w:rsid w:val="003506CC"/>
    <w:rsid w:val="0037578B"/>
    <w:rsid w:val="00385274"/>
    <w:rsid w:val="00387B56"/>
    <w:rsid w:val="00397A88"/>
    <w:rsid w:val="003B34E2"/>
    <w:rsid w:val="003C3815"/>
    <w:rsid w:val="003C4961"/>
    <w:rsid w:val="004618EE"/>
    <w:rsid w:val="00464095"/>
    <w:rsid w:val="00471FB6"/>
    <w:rsid w:val="004B682D"/>
    <w:rsid w:val="004B776B"/>
    <w:rsid w:val="004C0B6B"/>
    <w:rsid w:val="00524E79"/>
    <w:rsid w:val="00533D25"/>
    <w:rsid w:val="00592CA0"/>
    <w:rsid w:val="00593E99"/>
    <w:rsid w:val="00597F54"/>
    <w:rsid w:val="005A0804"/>
    <w:rsid w:val="005C31E2"/>
    <w:rsid w:val="00602684"/>
    <w:rsid w:val="00637F1A"/>
    <w:rsid w:val="0069062D"/>
    <w:rsid w:val="006B7CB1"/>
    <w:rsid w:val="006E3176"/>
    <w:rsid w:val="0071362E"/>
    <w:rsid w:val="00715E66"/>
    <w:rsid w:val="007175D8"/>
    <w:rsid w:val="00731FFD"/>
    <w:rsid w:val="007528E9"/>
    <w:rsid w:val="00755BFB"/>
    <w:rsid w:val="0076250E"/>
    <w:rsid w:val="00770AD5"/>
    <w:rsid w:val="007771DA"/>
    <w:rsid w:val="00777272"/>
    <w:rsid w:val="007806C3"/>
    <w:rsid w:val="007F5598"/>
    <w:rsid w:val="00811C71"/>
    <w:rsid w:val="0084140E"/>
    <w:rsid w:val="00874CE2"/>
    <w:rsid w:val="00886E93"/>
    <w:rsid w:val="0089630A"/>
    <w:rsid w:val="0089679E"/>
    <w:rsid w:val="008C1DE0"/>
    <w:rsid w:val="009034A1"/>
    <w:rsid w:val="009125B1"/>
    <w:rsid w:val="0093620D"/>
    <w:rsid w:val="009462BB"/>
    <w:rsid w:val="0094687B"/>
    <w:rsid w:val="00962451"/>
    <w:rsid w:val="00967EF3"/>
    <w:rsid w:val="00976B75"/>
    <w:rsid w:val="0098202C"/>
    <w:rsid w:val="009A2BB4"/>
    <w:rsid w:val="009C7176"/>
    <w:rsid w:val="009C7187"/>
    <w:rsid w:val="009F4BC0"/>
    <w:rsid w:val="00A40295"/>
    <w:rsid w:val="00A667FC"/>
    <w:rsid w:val="00A93F81"/>
    <w:rsid w:val="00AC4B97"/>
    <w:rsid w:val="00AD071C"/>
    <w:rsid w:val="00AE3A52"/>
    <w:rsid w:val="00B059F2"/>
    <w:rsid w:val="00B45092"/>
    <w:rsid w:val="00B57E45"/>
    <w:rsid w:val="00B917CD"/>
    <w:rsid w:val="00BA0676"/>
    <w:rsid w:val="00C0128E"/>
    <w:rsid w:val="00C10BBD"/>
    <w:rsid w:val="00C2217F"/>
    <w:rsid w:val="00C439FA"/>
    <w:rsid w:val="00C5502B"/>
    <w:rsid w:val="00C9707C"/>
    <w:rsid w:val="00CB0B1A"/>
    <w:rsid w:val="00CC6540"/>
    <w:rsid w:val="00D27935"/>
    <w:rsid w:val="00D42EFD"/>
    <w:rsid w:val="00D67877"/>
    <w:rsid w:val="00DC7141"/>
    <w:rsid w:val="00E0028E"/>
    <w:rsid w:val="00E0083C"/>
    <w:rsid w:val="00E320C9"/>
    <w:rsid w:val="00E64D47"/>
    <w:rsid w:val="00EA5DFF"/>
    <w:rsid w:val="00EB6F9E"/>
    <w:rsid w:val="00EC3DE9"/>
    <w:rsid w:val="00ED6644"/>
    <w:rsid w:val="00F2315D"/>
    <w:rsid w:val="00F279E4"/>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RAN1\RAN1%23102-e\tdocs\R1-200623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2B9418-7812-48D6-A20B-D392B20B8C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2020-10-23T06:19:00Z</dcterms:created>
  <dcterms:modified xsi:type="dcterms:W3CDTF">2020-10-23T06:19:00Z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