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39A27459"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4C0B6B">
        <w:rPr>
          <w:rFonts w:ascii="Arial" w:hAnsi="Arial" w:cs="Arial"/>
          <w:b/>
          <w:bCs/>
          <w:lang w:val="en-GB"/>
        </w:rPr>
        <w:t>3</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5036CD">
        <w:rPr>
          <w:rFonts w:ascii="Arial" w:hAnsi="Arial" w:cs="Arial"/>
          <w:b/>
          <w:bCs/>
          <w:lang w:val="en-GB" w:eastAsia="zh-CN"/>
        </w:rPr>
        <w:t xml:space="preserve">  </w:t>
      </w:r>
      <w:r w:rsidRPr="00C439FA">
        <w:rPr>
          <w:rFonts w:ascii="Arial" w:hAnsi="Arial" w:cs="Arial"/>
          <w:b/>
          <w:bCs/>
          <w:lang w:val="en-GB"/>
        </w:rPr>
        <w:t>R1-20</w:t>
      </w:r>
      <w:r w:rsidR="005036CD" w:rsidRPr="005036CD">
        <w:rPr>
          <w:rFonts w:ascii="Arial" w:hAnsi="Arial" w:cs="Arial"/>
          <w:b/>
          <w:bCs/>
          <w:lang w:val="en-GB" w:eastAsia="zh-CN"/>
        </w:rPr>
        <w:t>08926</w:t>
      </w:r>
    </w:p>
    <w:p w14:paraId="2501BD26" w14:textId="399817CD"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4C0B6B" w:rsidRPr="004C0B6B">
        <w:rPr>
          <w:rFonts w:ascii="Arial" w:eastAsia="MS Mincho" w:hAnsi="Arial" w:cs="Arial"/>
          <w:b/>
          <w:bCs/>
          <w:lang w:eastAsia="ja-JP"/>
        </w:rPr>
        <w:t>October 26</w:t>
      </w:r>
      <w:r w:rsidR="004C0B6B" w:rsidRPr="004C0B6B">
        <w:rPr>
          <w:rFonts w:ascii="Arial" w:eastAsia="MS Mincho" w:hAnsi="Arial" w:cs="Arial"/>
          <w:b/>
          <w:bCs/>
          <w:vertAlign w:val="superscript"/>
          <w:lang w:eastAsia="ja-JP"/>
        </w:rPr>
        <w:t>th</w:t>
      </w:r>
      <w:r w:rsidR="004C0B6B" w:rsidRPr="004C0B6B">
        <w:rPr>
          <w:rFonts w:ascii="Arial" w:eastAsia="MS Mincho" w:hAnsi="Arial" w:cs="Arial"/>
          <w:b/>
          <w:bCs/>
          <w:lang w:eastAsia="ja-JP"/>
        </w:rPr>
        <w:t xml:space="preserve"> – November 13</w:t>
      </w:r>
      <w:r w:rsidR="004C0B6B" w:rsidRPr="004C0B6B">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68BF32B"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Discussion on group scheduling mechanism for NR MBS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4A090D41"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RRC-CONNECTED UEs in Rel-17 NR MBS</w:t>
      </w:r>
      <w:r w:rsidRPr="0069062D">
        <w:t>.</w:t>
      </w:r>
    </w:p>
    <w:p w14:paraId="44CA29E1" w14:textId="4EFFF269" w:rsidR="000C654B" w:rsidRPr="00593E99" w:rsidRDefault="000C654B" w:rsidP="000C654B">
      <w:pPr>
        <w:pStyle w:val="BodyText"/>
      </w:pPr>
      <w:r w:rsidRPr="00593E99">
        <w:t>In RAN1#10</w:t>
      </w:r>
      <w:r>
        <w:t>2</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t xml:space="preserve"> </w:t>
      </w:r>
      <w:r w:rsidR="00B75AF8">
        <w:t xml:space="preserve">only </w:t>
      </w:r>
      <w:r>
        <w:t>from a high level concept point of view</w:t>
      </w:r>
      <w:r w:rsidRPr="00593E99">
        <w:t>:</w:t>
      </w:r>
    </w:p>
    <w:p w14:paraId="1AB56F16"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bookmarkStart w:id="2" w:name="_Hlk39170201"/>
      <w:r w:rsidRPr="00E0028E">
        <w:rPr>
          <w:rFonts w:ascii="Times New Roman" w:eastAsia="Batang" w:hAnsi="Times New Roman" w:cs="Times New Roman"/>
          <w:sz w:val="20"/>
          <w:szCs w:val="24"/>
          <w:highlight w:val="green"/>
          <w:lang w:val="en-GB" w:eastAsia="en-US"/>
        </w:rPr>
        <w:t>Agreements:</w:t>
      </w:r>
    </w:p>
    <w:p w14:paraId="3D736A5F"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HARQ-ACK feedback is supported for multicast and no additional evaluation is needed to justify this.</w:t>
      </w:r>
    </w:p>
    <w:p w14:paraId="0FC48E04"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The detailed HARQ-ACK feedback solutions, e.g., ACK/NACK based, NACK-only based.</w:t>
      </w:r>
    </w:p>
    <w:p w14:paraId="0288D838"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HARQ-ACK feedback can be optionally disabled and/or enabled.</w:t>
      </w:r>
    </w:p>
    <w:p w14:paraId="56DB88A0"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p>
    <w:p w14:paraId="3F154961"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2EACE442"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at least support group-common PDCCH with CRC scrambled by a common RNTI to schedule a group-common PDSCH, where the scrambling of the group-common PDSCH is based on the same common RNTI.</w:t>
      </w:r>
    </w:p>
    <w:p w14:paraId="39BD7F89" w14:textId="77777777" w:rsidR="000C654B" w:rsidRPr="00ED6644" w:rsidRDefault="000C654B" w:rsidP="000C654B">
      <w:pPr>
        <w:pStyle w:val="ListParagraph"/>
        <w:ind w:left="1240" w:hanging="360"/>
        <w:jc w:val="both"/>
        <w:rPr>
          <w:rFonts w:ascii="Times New Roman" w:hAnsi="Times New Roman" w:cs="Times New Roman"/>
        </w:rPr>
      </w:pPr>
      <w:r w:rsidRPr="00ED6644">
        <w:rPr>
          <w:rFonts w:ascii="Times New Roman" w:hAnsi="Times New Roman" w:cs="Times New Roman"/>
          <w:sz w:val="20"/>
          <w:szCs w:val="20"/>
        </w:rPr>
        <w:t>o</w:t>
      </w:r>
      <w:r w:rsidRPr="00ED6644">
        <w:rPr>
          <w:rFonts w:ascii="Times New Roman" w:hAnsi="Times New Roman" w:cs="Times New Roman"/>
          <w:sz w:val="12"/>
          <w:szCs w:val="12"/>
        </w:rPr>
        <w:t xml:space="preserve">   </w:t>
      </w:r>
      <w:r w:rsidRPr="00ED6644">
        <w:rPr>
          <w:rFonts w:ascii="Times New Roman" w:eastAsia="Batang" w:hAnsi="Times New Roman" w:cs="Times New Roman"/>
          <w:sz w:val="20"/>
          <w:szCs w:val="20"/>
          <w:lang w:val="de-DE"/>
        </w:rPr>
        <w:t>FFS: whether to support UE-specific PDCCH to schedule a PDSCH for MBS.</w:t>
      </w:r>
    </w:p>
    <w:p w14:paraId="35D27027"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p>
    <w:p w14:paraId="652569A6"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6752EB35"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define/configure common frequency resource for group-common PDSCH.</w:t>
      </w:r>
    </w:p>
    <w:p w14:paraId="73162B4A"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whether to reuse the BWP framework or not </w:t>
      </w:r>
    </w:p>
    <w:p w14:paraId="3487AA53"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the relation between the common frequency resource and UE dedicated BWP, e.g., the common frequency resource is a MBS specific BWP, or the common frequency resource is confined within UE’s dedicated BWP, etc. </w:t>
      </w:r>
    </w:p>
    <w:p w14:paraId="539DF01E"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whether more than one common frequency resource can be configured per UE</w:t>
      </w:r>
    </w:p>
    <w:p w14:paraId="6D11910D"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p>
    <w:p w14:paraId="55F69DFA"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71175C34"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at least support FDM between unicast PDSCH and group-common PDSCH in a slot based on UE capability.</w:t>
      </w:r>
    </w:p>
    <w:p w14:paraId="283935AC"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TDM or SDM in a slot.</w:t>
      </w:r>
    </w:p>
    <w:p w14:paraId="35CCC7D9"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p>
    <w:p w14:paraId="0C1BAACC"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1C741B38"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For RRC_CONNECTED UEs, at least support slot-level repetition for group-common PDSCH. </w:t>
      </w:r>
    </w:p>
    <w:p w14:paraId="2D44F548"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whether enhancement is needed</w:t>
      </w:r>
    </w:p>
    <w:p w14:paraId="49829F00"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p>
    <w:p w14:paraId="331AA6A8" w14:textId="77777777" w:rsidR="000C654B" w:rsidRPr="00E0028E" w:rsidRDefault="000C654B" w:rsidP="000C654B">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207844D6" w14:textId="77777777" w:rsidR="000C654B" w:rsidRPr="00ED6644" w:rsidRDefault="000C654B" w:rsidP="000C654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existing CSI feedback can be used for multicast transmission.</w:t>
      </w:r>
    </w:p>
    <w:p w14:paraId="40F59C5C" w14:textId="77777777" w:rsidR="000C654B" w:rsidRPr="00ED6644" w:rsidRDefault="000C654B" w:rsidP="000C654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whether enhancement is needed </w:t>
      </w:r>
    </w:p>
    <w:p w14:paraId="297C4E5D" w14:textId="77777777" w:rsidR="000C654B" w:rsidRPr="00593E99" w:rsidRDefault="000C654B" w:rsidP="000C654B">
      <w:pPr>
        <w:spacing w:after="0" w:line="240" w:lineRule="auto"/>
        <w:rPr>
          <w:rFonts w:ascii="Times New Roman" w:eastAsia="Times New Roman" w:hAnsi="Times New Roman" w:cs="Times New Roman"/>
          <w:sz w:val="20"/>
          <w:szCs w:val="24"/>
          <w:lang w:val="en-GB" w:eastAsia="x-none"/>
        </w:rPr>
      </w:pPr>
    </w:p>
    <w:bookmarkEnd w:id="2"/>
    <w:p w14:paraId="20D71091" w14:textId="77777777" w:rsidR="000C654B" w:rsidRPr="00593E99" w:rsidRDefault="000C654B" w:rsidP="000C654B">
      <w:pPr>
        <w:pStyle w:val="BodyText"/>
      </w:pPr>
      <w:r>
        <w:t>Hence, i</w:t>
      </w:r>
      <w:r w:rsidRPr="00593E99">
        <w:t xml:space="preserve">n this contribution, </w:t>
      </w:r>
      <w:r>
        <w:t>more detailed</w:t>
      </w:r>
      <w:r w:rsidRPr="00593E99">
        <w:t xml:space="preserve"> views are present</w:t>
      </w:r>
      <w:r>
        <w:t xml:space="preserve"> from our side</w:t>
      </w:r>
      <w:r w:rsidRPr="00593E99">
        <w:t>.</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142C5D7B" w14:textId="73409717" w:rsidR="000C654B" w:rsidRDefault="00B75AF8" w:rsidP="000C654B">
      <w:pPr>
        <w:pStyle w:val="Heading2"/>
        <w:rPr>
          <w:lang w:eastAsia="zh-CN"/>
        </w:rPr>
      </w:pPr>
      <w:r>
        <w:rPr>
          <w:lang w:eastAsia="zh-CN"/>
        </w:rPr>
        <w:t>MBS PDSCH scheduling</w:t>
      </w:r>
    </w:p>
    <w:p w14:paraId="06274734" w14:textId="24E3E149" w:rsidR="00B75AF8" w:rsidRDefault="00B75AF8" w:rsidP="00B75AF8">
      <w:pPr>
        <w:pStyle w:val="BodyText"/>
      </w:pPr>
      <w:r>
        <w:t>Generally, for a PDSCH carrying multicast service, there are three options</w:t>
      </w:r>
      <w:r w:rsidRPr="00CB0B1A">
        <w:t xml:space="preserve"> </w:t>
      </w:r>
      <w:r>
        <w:t>for scheduling PDSCH carrying MBS to a group of UEs:</w:t>
      </w:r>
    </w:p>
    <w:p w14:paraId="281FD214" w14:textId="2842FF86" w:rsidR="00B75AF8" w:rsidRPr="00CB0B1A" w:rsidRDefault="00B75AF8" w:rsidP="00B75AF8">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1: </w:t>
      </w:r>
      <w:r>
        <w:rPr>
          <w:rFonts w:ascii="Times New Roman" w:eastAsia="Batang" w:hAnsi="Times New Roman" w:cs="Times New Roman"/>
          <w:sz w:val="20"/>
          <w:szCs w:val="20"/>
          <w:lang w:val="de-DE" w:eastAsia="x-none"/>
        </w:rPr>
        <w:t>Using a g</w:t>
      </w:r>
      <w:r w:rsidRPr="00CB0B1A">
        <w:rPr>
          <w:rFonts w:ascii="Times New Roman" w:eastAsia="Batang" w:hAnsi="Times New Roman" w:cs="Times New Roman"/>
          <w:sz w:val="20"/>
          <w:szCs w:val="20"/>
          <w:lang w:val="de-DE" w:eastAsia="x-none"/>
        </w:rPr>
        <w:t>roup</w:t>
      </w:r>
      <w:r>
        <w:rPr>
          <w:rFonts w:ascii="Times New Roman" w:eastAsia="Batang" w:hAnsi="Times New Roman" w:cs="Times New Roman"/>
          <w:sz w:val="20"/>
          <w:szCs w:val="20"/>
          <w:lang w:val="de-DE" w:eastAsia="x-none"/>
        </w:rPr>
        <w:t xml:space="preserve">-common </w:t>
      </w:r>
      <w:r w:rsidR="00633B3D">
        <w:rPr>
          <w:rFonts w:ascii="Times New Roman" w:eastAsia="Batang" w:hAnsi="Times New Roman" w:cs="Times New Roman"/>
          <w:sz w:val="20"/>
          <w:szCs w:val="20"/>
          <w:lang w:val="de-DE" w:eastAsia="x-none"/>
        </w:rPr>
        <w:t>DCI</w:t>
      </w:r>
      <w:r>
        <w:rPr>
          <w:rFonts w:ascii="Times New Roman" w:eastAsia="Batang" w:hAnsi="Times New Roman" w:cs="Times New Roman"/>
          <w:sz w:val="20"/>
          <w:szCs w:val="20"/>
          <w:lang w:val="de-DE" w:eastAsia="x-none"/>
        </w:rPr>
        <w:t xml:space="preserve"> to schedule a group-common PDSCH</w:t>
      </w:r>
    </w:p>
    <w:p w14:paraId="4310F9BA" w14:textId="77777777" w:rsidR="001C044A" w:rsidRPr="00CB0B1A" w:rsidRDefault="001C044A" w:rsidP="001C044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group-common DCI and the scheduled group-common PDSCH are received by a group of UEs.</w:t>
      </w:r>
    </w:p>
    <w:p w14:paraId="67CB1AB6" w14:textId="486873FC" w:rsidR="00B75AF8" w:rsidRDefault="00633B3D" w:rsidP="00B75AF8">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CRC of the DCI is scrambled by a group-common RNTI, e.g., G-RNTI.</w:t>
      </w:r>
    </w:p>
    <w:p w14:paraId="417BE01A" w14:textId="3DBDEDD5" w:rsidR="00633B3D" w:rsidRDefault="00633B3D" w:rsidP="00B75AF8">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group-common PDSCH is scrambled by the same group-common RNTI</w:t>
      </w:r>
      <w:r w:rsidR="001C044A">
        <w:rPr>
          <w:rFonts w:ascii="Times New Roman" w:eastAsia="Batang" w:hAnsi="Times New Roman" w:cs="Times New Roman"/>
          <w:sz w:val="20"/>
          <w:szCs w:val="20"/>
          <w:lang w:val="de-DE" w:eastAsia="x-none"/>
        </w:rPr>
        <w:t>, i.e., G-RNTI</w:t>
      </w:r>
      <w:r>
        <w:rPr>
          <w:rFonts w:ascii="Times New Roman" w:eastAsia="Batang" w:hAnsi="Times New Roman" w:cs="Times New Roman"/>
          <w:sz w:val="20"/>
          <w:szCs w:val="20"/>
          <w:lang w:val="de-DE" w:eastAsia="x-none"/>
        </w:rPr>
        <w:t>.</w:t>
      </w:r>
    </w:p>
    <w:p w14:paraId="4B7D5D9C" w14:textId="4285A11A" w:rsidR="001C044A" w:rsidRDefault="001C044A" w:rsidP="00B75AF8">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 xml:space="preserve">The group-common DCI should be transmitted in a CORESET common to each UE in the same group. </w:t>
      </w:r>
    </w:p>
    <w:p w14:paraId="07C6F2A6" w14:textId="6E196C09" w:rsidR="001C044A" w:rsidRPr="001C044A" w:rsidRDefault="001C044A" w:rsidP="00285E56">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1C044A">
        <w:rPr>
          <w:rFonts w:ascii="Times New Roman" w:eastAsia="Batang" w:hAnsi="Times New Roman" w:cs="Times New Roman"/>
          <w:sz w:val="20"/>
          <w:szCs w:val="20"/>
          <w:lang w:val="de-DE" w:eastAsia="x-none"/>
        </w:rPr>
        <w:t xml:space="preserve">The scheduled group-common PDSCH should be transmitted within a frequency region common to each UE in the same group. </w:t>
      </w:r>
    </w:p>
    <w:p w14:paraId="526FEC7E" w14:textId="77777777" w:rsidR="00B75AF8" w:rsidRPr="00633B3D" w:rsidRDefault="00B75AF8" w:rsidP="00B75AF8">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2AD07B49" w14:textId="6AA56947" w:rsidR="00B75AF8" w:rsidRPr="00CB0B1A" w:rsidRDefault="00B75AF8" w:rsidP="00B75AF8">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2: </w:t>
      </w:r>
      <w:r>
        <w:rPr>
          <w:rFonts w:ascii="Times New Roman" w:eastAsia="Batang" w:hAnsi="Times New Roman" w:cs="Times New Roman"/>
          <w:sz w:val="20"/>
          <w:szCs w:val="20"/>
          <w:lang w:val="de-DE" w:eastAsia="x-none"/>
        </w:rPr>
        <w:t xml:space="preserve">Using a UE-specific </w:t>
      </w:r>
      <w:r w:rsidR="00633B3D">
        <w:rPr>
          <w:rFonts w:ascii="Times New Roman" w:eastAsia="Batang" w:hAnsi="Times New Roman" w:cs="Times New Roman"/>
          <w:sz w:val="20"/>
          <w:szCs w:val="20"/>
          <w:lang w:val="de-DE" w:eastAsia="x-none"/>
        </w:rPr>
        <w:t>DCI</w:t>
      </w:r>
      <w:r>
        <w:rPr>
          <w:rFonts w:ascii="Times New Roman" w:eastAsia="Batang" w:hAnsi="Times New Roman" w:cs="Times New Roman"/>
          <w:sz w:val="20"/>
          <w:szCs w:val="20"/>
          <w:lang w:val="de-DE" w:eastAsia="x-none"/>
        </w:rPr>
        <w:t xml:space="preserve"> to schedule a group-common PDSCH</w:t>
      </w:r>
    </w:p>
    <w:p w14:paraId="05941F72" w14:textId="7AF93C00" w:rsidR="001C044A" w:rsidRPr="00CB0B1A" w:rsidRDefault="001C044A" w:rsidP="001C044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DCI is received by a specific UE while the scheduled PDSCH is a group-common PDSCH which is received by a group of UEs.</w:t>
      </w:r>
    </w:p>
    <w:p w14:paraId="1E86FD0E" w14:textId="68B6653E" w:rsidR="001C044A" w:rsidRDefault="001C044A" w:rsidP="001C044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CRC of the DCI is scrambled by C-RNTI.</w:t>
      </w:r>
    </w:p>
    <w:p w14:paraId="3BA6D51B" w14:textId="4B4C6625" w:rsidR="001C044A" w:rsidRDefault="001C044A" w:rsidP="001C044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group-common PDSCH is scrambled by a common ID, e.g., cell ID.</w:t>
      </w:r>
    </w:p>
    <w:p w14:paraId="0A4A508B" w14:textId="70EE52FF" w:rsidR="001C044A" w:rsidRDefault="001C044A" w:rsidP="001C044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 xml:space="preserve">The </w:t>
      </w:r>
      <w:r w:rsidR="0006166C">
        <w:rPr>
          <w:rFonts w:ascii="Times New Roman" w:eastAsia="Batang" w:hAnsi="Times New Roman" w:cs="Times New Roman"/>
          <w:sz w:val="20"/>
          <w:szCs w:val="20"/>
          <w:lang w:val="de-DE" w:eastAsia="x-none"/>
        </w:rPr>
        <w:t>UE-specific</w:t>
      </w:r>
      <w:r>
        <w:rPr>
          <w:rFonts w:ascii="Times New Roman" w:eastAsia="Batang" w:hAnsi="Times New Roman" w:cs="Times New Roman"/>
          <w:sz w:val="20"/>
          <w:szCs w:val="20"/>
          <w:lang w:val="de-DE" w:eastAsia="x-none"/>
        </w:rPr>
        <w:t xml:space="preserve"> DCI </w:t>
      </w:r>
      <w:r w:rsidR="0006166C">
        <w:rPr>
          <w:rFonts w:ascii="Times New Roman" w:eastAsia="Batang" w:hAnsi="Times New Roman" w:cs="Times New Roman"/>
          <w:sz w:val="20"/>
          <w:szCs w:val="20"/>
          <w:lang w:val="de-DE" w:eastAsia="x-none"/>
        </w:rPr>
        <w:t>can</w:t>
      </w:r>
      <w:r>
        <w:rPr>
          <w:rFonts w:ascii="Times New Roman" w:eastAsia="Batang" w:hAnsi="Times New Roman" w:cs="Times New Roman"/>
          <w:sz w:val="20"/>
          <w:szCs w:val="20"/>
          <w:lang w:val="de-DE" w:eastAsia="x-none"/>
        </w:rPr>
        <w:t xml:space="preserve"> be transmitted in </w:t>
      </w:r>
      <w:r w:rsidR="0006166C">
        <w:rPr>
          <w:rFonts w:ascii="Times New Roman" w:eastAsia="Batang" w:hAnsi="Times New Roman" w:cs="Times New Roman"/>
          <w:sz w:val="20"/>
          <w:szCs w:val="20"/>
          <w:lang w:val="de-DE" w:eastAsia="x-none"/>
        </w:rPr>
        <w:t>the UE-specific</w:t>
      </w:r>
      <w:r>
        <w:rPr>
          <w:rFonts w:ascii="Times New Roman" w:eastAsia="Batang" w:hAnsi="Times New Roman" w:cs="Times New Roman"/>
          <w:sz w:val="20"/>
          <w:szCs w:val="20"/>
          <w:lang w:val="de-DE" w:eastAsia="x-none"/>
        </w:rPr>
        <w:t xml:space="preserve"> CORESET. </w:t>
      </w:r>
    </w:p>
    <w:p w14:paraId="36516982" w14:textId="77777777" w:rsidR="0006166C" w:rsidRDefault="001C044A"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1C044A">
        <w:rPr>
          <w:rFonts w:ascii="Times New Roman" w:eastAsia="Batang" w:hAnsi="Times New Roman" w:cs="Times New Roman"/>
          <w:sz w:val="20"/>
          <w:szCs w:val="20"/>
          <w:lang w:val="de-DE" w:eastAsia="x-none"/>
        </w:rPr>
        <w:t xml:space="preserve">The scheduled group-common PDSCH should be transmitted within a frequency region common to each UE in the same group. </w:t>
      </w:r>
    </w:p>
    <w:p w14:paraId="60008EE7" w14:textId="610E8065" w:rsidR="001C044A" w:rsidRPr="0006166C" w:rsidRDefault="0006166C" w:rsidP="007B218F">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06166C">
        <w:rPr>
          <w:rFonts w:ascii="Times New Roman" w:eastAsia="Batang" w:hAnsi="Times New Roman" w:cs="Times New Roman"/>
          <w:sz w:val="20"/>
          <w:szCs w:val="20"/>
          <w:lang w:val="de-DE" w:eastAsia="x-none"/>
        </w:rPr>
        <w:t>From a given UE’s perspective, this option is similar to unicast PDSCH transmission.</w:t>
      </w:r>
    </w:p>
    <w:p w14:paraId="6CCAAF94" w14:textId="77777777" w:rsidR="00B75AF8" w:rsidRPr="001C044A" w:rsidRDefault="00B75AF8" w:rsidP="00B75AF8">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3916926D" w14:textId="584C4362" w:rsidR="00B75AF8" w:rsidRPr="00CB0B1A" w:rsidRDefault="00B75AF8" w:rsidP="00B75AF8">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w:t>
      </w:r>
      <w:r>
        <w:rPr>
          <w:rFonts w:ascii="Times New Roman" w:eastAsia="Batang" w:hAnsi="Times New Roman" w:cs="Times New Roman"/>
          <w:sz w:val="20"/>
          <w:szCs w:val="20"/>
          <w:lang w:val="de-DE" w:eastAsia="x-none"/>
        </w:rPr>
        <w:t>3</w:t>
      </w:r>
      <w:r w:rsidRPr="00CB0B1A">
        <w:rPr>
          <w:rFonts w:ascii="Times New Roman" w:eastAsia="Batang" w:hAnsi="Times New Roman" w:cs="Times New Roman"/>
          <w:sz w:val="20"/>
          <w:szCs w:val="20"/>
          <w:lang w:val="de-DE" w:eastAsia="x-none"/>
        </w:rPr>
        <w:t xml:space="preserve">: </w:t>
      </w:r>
      <w:r>
        <w:rPr>
          <w:rFonts w:ascii="Times New Roman" w:eastAsia="Batang" w:hAnsi="Times New Roman" w:cs="Times New Roman"/>
          <w:sz w:val="20"/>
          <w:szCs w:val="20"/>
          <w:lang w:val="de-DE" w:eastAsia="x-none"/>
        </w:rPr>
        <w:t xml:space="preserve">Using a UE-specific </w:t>
      </w:r>
      <w:r w:rsidR="00633B3D">
        <w:rPr>
          <w:rFonts w:ascii="Times New Roman" w:eastAsia="Batang" w:hAnsi="Times New Roman" w:cs="Times New Roman"/>
          <w:sz w:val="20"/>
          <w:szCs w:val="20"/>
          <w:lang w:val="de-DE" w:eastAsia="x-none"/>
        </w:rPr>
        <w:t>DCI</w:t>
      </w:r>
      <w:r>
        <w:rPr>
          <w:rFonts w:ascii="Times New Roman" w:eastAsia="Batang" w:hAnsi="Times New Roman" w:cs="Times New Roman"/>
          <w:sz w:val="20"/>
          <w:szCs w:val="20"/>
          <w:lang w:val="de-DE" w:eastAsia="x-none"/>
        </w:rPr>
        <w:t xml:space="preserve"> to schedule a </w:t>
      </w:r>
      <w:r w:rsidR="00633B3D">
        <w:rPr>
          <w:rFonts w:ascii="Times New Roman" w:eastAsia="Batang" w:hAnsi="Times New Roman" w:cs="Times New Roman"/>
          <w:sz w:val="20"/>
          <w:szCs w:val="20"/>
          <w:lang w:val="de-DE" w:eastAsia="x-none"/>
        </w:rPr>
        <w:t>UE-specific</w:t>
      </w:r>
      <w:r>
        <w:rPr>
          <w:rFonts w:ascii="Times New Roman" w:eastAsia="Batang" w:hAnsi="Times New Roman" w:cs="Times New Roman"/>
          <w:sz w:val="20"/>
          <w:szCs w:val="20"/>
          <w:lang w:val="de-DE" w:eastAsia="x-none"/>
        </w:rPr>
        <w:t xml:space="preserve"> PDSCH</w:t>
      </w:r>
    </w:p>
    <w:p w14:paraId="6688B32B" w14:textId="6DF38CE6" w:rsidR="0006166C" w:rsidRPr="00CB0B1A" w:rsidRDefault="0006166C"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Both the DCI and the scheduled PDSCH are received by a specific UE.</w:t>
      </w:r>
    </w:p>
    <w:p w14:paraId="254E70E2" w14:textId="364E79FF" w:rsidR="0006166C" w:rsidRDefault="0006166C"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The CRC of the DCI and the scheduled PDSCH are scrambled by C-RNTI.</w:t>
      </w:r>
    </w:p>
    <w:p w14:paraId="2AEA5922" w14:textId="77777777" w:rsidR="0006166C" w:rsidRDefault="0006166C"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Pr>
          <w:rFonts w:ascii="Times New Roman" w:eastAsia="Batang" w:hAnsi="Times New Roman" w:cs="Times New Roman"/>
          <w:sz w:val="20"/>
          <w:szCs w:val="20"/>
          <w:lang w:val="de-DE" w:eastAsia="x-none"/>
        </w:rPr>
        <w:t xml:space="preserve">The UE-specific DCI can be transmitted in the UE-specific CORESET. </w:t>
      </w:r>
    </w:p>
    <w:p w14:paraId="7B6A3A3A" w14:textId="1CF43904" w:rsidR="0006166C" w:rsidRDefault="0006166C"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1C044A">
        <w:rPr>
          <w:rFonts w:ascii="Times New Roman" w:eastAsia="Batang" w:hAnsi="Times New Roman" w:cs="Times New Roman"/>
          <w:sz w:val="20"/>
          <w:szCs w:val="20"/>
          <w:lang w:val="de-DE" w:eastAsia="x-none"/>
        </w:rPr>
        <w:t xml:space="preserve">The scheduled PDSCH </w:t>
      </w:r>
      <w:r>
        <w:rPr>
          <w:rFonts w:ascii="Times New Roman" w:eastAsia="Batang" w:hAnsi="Times New Roman" w:cs="Times New Roman"/>
          <w:sz w:val="20"/>
          <w:szCs w:val="20"/>
          <w:lang w:val="de-DE" w:eastAsia="x-none"/>
        </w:rPr>
        <w:t>is</w:t>
      </w:r>
      <w:r w:rsidRPr="001C044A">
        <w:rPr>
          <w:rFonts w:ascii="Times New Roman" w:eastAsia="Batang" w:hAnsi="Times New Roman" w:cs="Times New Roman"/>
          <w:sz w:val="20"/>
          <w:szCs w:val="20"/>
          <w:lang w:val="de-DE" w:eastAsia="x-none"/>
        </w:rPr>
        <w:t xml:space="preserve"> transmitted within </w:t>
      </w:r>
      <w:r>
        <w:rPr>
          <w:rFonts w:ascii="Times New Roman" w:eastAsia="Batang" w:hAnsi="Times New Roman" w:cs="Times New Roman"/>
          <w:sz w:val="20"/>
          <w:szCs w:val="20"/>
          <w:lang w:val="de-DE" w:eastAsia="x-none"/>
        </w:rPr>
        <w:t>the active BWP of the UE</w:t>
      </w:r>
      <w:r w:rsidRPr="001C044A">
        <w:rPr>
          <w:rFonts w:ascii="Times New Roman" w:eastAsia="Batang" w:hAnsi="Times New Roman" w:cs="Times New Roman"/>
          <w:sz w:val="20"/>
          <w:szCs w:val="20"/>
          <w:lang w:val="de-DE" w:eastAsia="x-none"/>
        </w:rPr>
        <w:t xml:space="preserve">. </w:t>
      </w:r>
    </w:p>
    <w:p w14:paraId="3548AAD9" w14:textId="231DBA02" w:rsidR="0006166C" w:rsidRPr="0006166C" w:rsidRDefault="0006166C" w:rsidP="0006166C">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06166C">
        <w:rPr>
          <w:rFonts w:ascii="Times New Roman" w:eastAsia="Batang" w:hAnsi="Times New Roman" w:cs="Times New Roman"/>
          <w:sz w:val="20"/>
          <w:szCs w:val="20"/>
          <w:lang w:val="de-DE" w:eastAsia="x-none"/>
        </w:rPr>
        <w:t xml:space="preserve">From a given UE’s perspective, this option is </w:t>
      </w:r>
      <w:r>
        <w:rPr>
          <w:rFonts w:ascii="Times New Roman" w:eastAsia="Batang" w:hAnsi="Times New Roman" w:cs="Times New Roman"/>
          <w:sz w:val="20"/>
          <w:szCs w:val="20"/>
          <w:lang w:val="de-DE" w:eastAsia="x-none"/>
        </w:rPr>
        <w:t>exactly same</w:t>
      </w:r>
      <w:r w:rsidRPr="0006166C">
        <w:rPr>
          <w:rFonts w:ascii="Times New Roman" w:eastAsia="Batang" w:hAnsi="Times New Roman" w:cs="Times New Roman"/>
          <w:sz w:val="20"/>
          <w:szCs w:val="20"/>
          <w:lang w:val="de-DE" w:eastAsia="x-none"/>
        </w:rPr>
        <w:t xml:space="preserve"> to unicast PDSCH transmission.</w:t>
      </w:r>
    </w:p>
    <w:p w14:paraId="3BD0E6F7" w14:textId="77777777" w:rsidR="0006166C" w:rsidRDefault="0006166C" w:rsidP="0006166C">
      <w:pPr>
        <w:pStyle w:val="BodyText"/>
      </w:pPr>
    </w:p>
    <w:p w14:paraId="178A2C27" w14:textId="41D9E469" w:rsidR="00D7293C" w:rsidRDefault="0006166C" w:rsidP="0006166C">
      <w:pPr>
        <w:pStyle w:val="BodyText"/>
      </w:pPr>
      <w:r>
        <w:t xml:space="preserve">It is obvious that Option 1 can minimize the DCI signaling overhead and PDSCH transmission overhead because only a single DCI format and the single scheduled PDSCH are required for transmitting a TB of MBS. The problem of this option is it requires gNB to define a CORESET common to each of the UEs and may be difficult for the gNB to find out a common frequency region among each UE’s active BWP in the same group especially when the group includes many UEs and different UEs have different bandwidths of the active BWPs. </w:t>
      </w:r>
      <w:r w:rsidR="00D7293C">
        <w:t>If a MBS specific BWP is configured for the group of UEs, then frequently BWP switching may be performed by the UEs between the MBS specific BWP and the other BWPs for unicast transmission.</w:t>
      </w:r>
    </w:p>
    <w:p w14:paraId="77F25960" w14:textId="177CAE06" w:rsidR="0030192F" w:rsidRDefault="0030192F" w:rsidP="0030192F">
      <w:pPr>
        <w:pStyle w:val="BodyText"/>
        <w:rPr>
          <w:b/>
          <w:i/>
        </w:rPr>
      </w:pPr>
      <w:r w:rsidRPr="00B059F2">
        <w:rPr>
          <w:b/>
          <w:i/>
        </w:rPr>
        <w:t xml:space="preserve">Observation </w:t>
      </w:r>
      <w:r>
        <w:rPr>
          <w:b/>
          <w:i/>
        </w:rPr>
        <w:t>1</w:t>
      </w:r>
      <w:r w:rsidRPr="00C336B4">
        <w:rPr>
          <w:b/>
          <w:i/>
        </w:rPr>
        <w:t>:</w:t>
      </w:r>
      <w:r w:rsidRPr="00B059F2">
        <w:rPr>
          <w:rFonts w:hint="eastAsia"/>
          <w:b/>
          <w:i/>
        </w:rPr>
        <w:t xml:space="preserve"> </w:t>
      </w:r>
      <w:r>
        <w:rPr>
          <w:b/>
          <w:i/>
        </w:rPr>
        <w:t>A common frequency resource is required when</w:t>
      </w:r>
      <w:r w:rsidRPr="0030192F">
        <w:t xml:space="preserve"> </w:t>
      </w:r>
      <w:r>
        <w:rPr>
          <w:b/>
          <w:i/>
        </w:rPr>
        <w:t>u</w:t>
      </w:r>
      <w:r w:rsidRPr="0030192F">
        <w:rPr>
          <w:b/>
          <w:i/>
        </w:rPr>
        <w:t>sing a group-common DCI to schedule a group-common PDSCH</w:t>
      </w:r>
      <w:r>
        <w:rPr>
          <w:b/>
          <w:i/>
        </w:rPr>
        <w:t xml:space="preserve"> .</w:t>
      </w:r>
    </w:p>
    <w:p w14:paraId="1C7CB9D8" w14:textId="77777777" w:rsidR="0030192F" w:rsidRDefault="0030192F" w:rsidP="0006166C">
      <w:pPr>
        <w:pStyle w:val="BodyText"/>
      </w:pPr>
    </w:p>
    <w:p w14:paraId="4B148D41" w14:textId="1F1F0A90" w:rsidR="0006166C" w:rsidRDefault="00D7293C" w:rsidP="0006166C">
      <w:pPr>
        <w:pStyle w:val="BodyText"/>
      </w:pPr>
      <w:r>
        <w:t xml:space="preserve">Compared to Option 1, Option 2 increases the DCI signaling overhead since per UE DCI is required, which may cause PDCCH capacity issue when the number of UEs in the group is large. The scheduled PDSCH is received by the group of UEs so that the PDSCH transmission overhead is low. Similar to Option 1, the problem of Option 2 is how to define a common frequency region among each UE’s active BWP in the same group especially when the group includes many UEs and different UEs have different bandwidths of the active BWPs. MBS specific BWP may need frequent BWP switching for each UE. </w:t>
      </w:r>
      <w:r w:rsidR="0030192F">
        <w:t>Compared with Option 1, Option 2 has no extra benefit.</w:t>
      </w:r>
    </w:p>
    <w:p w14:paraId="3496187A" w14:textId="60C68F91" w:rsidR="0030192F" w:rsidRDefault="0030192F" w:rsidP="0030192F">
      <w:pPr>
        <w:pStyle w:val="BodyText"/>
        <w:rPr>
          <w:b/>
          <w:i/>
        </w:rPr>
      </w:pPr>
      <w:r w:rsidRPr="00B059F2">
        <w:rPr>
          <w:b/>
          <w:i/>
        </w:rPr>
        <w:t xml:space="preserve">Observation </w:t>
      </w:r>
      <w:r>
        <w:rPr>
          <w:b/>
          <w:i/>
        </w:rPr>
        <w:t>2</w:t>
      </w:r>
      <w:r w:rsidRPr="00C336B4">
        <w:rPr>
          <w:b/>
          <w:i/>
        </w:rPr>
        <w:t>:</w:t>
      </w:r>
      <w:r w:rsidRPr="00B059F2">
        <w:rPr>
          <w:rFonts w:hint="eastAsia"/>
          <w:b/>
          <w:i/>
        </w:rPr>
        <w:t xml:space="preserve"> </w:t>
      </w:r>
      <w:r>
        <w:rPr>
          <w:b/>
          <w:i/>
        </w:rPr>
        <w:t>A common frequency resource is required when</w:t>
      </w:r>
      <w:r w:rsidRPr="0030192F">
        <w:t xml:space="preserve"> </w:t>
      </w:r>
      <w:r>
        <w:rPr>
          <w:b/>
          <w:i/>
        </w:rPr>
        <w:t>u</w:t>
      </w:r>
      <w:r w:rsidRPr="0030192F">
        <w:rPr>
          <w:b/>
          <w:i/>
        </w:rPr>
        <w:t>sing a UE-specific DCI to schedule a group-common PDSCH</w:t>
      </w:r>
      <w:r>
        <w:rPr>
          <w:b/>
          <w:i/>
        </w:rPr>
        <w:t>.</w:t>
      </w:r>
    </w:p>
    <w:p w14:paraId="2CFB025B" w14:textId="77777777" w:rsidR="0030192F" w:rsidRDefault="0030192F" w:rsidP="0006166C">
      <w:pPr>
        <w:pStyle w:val="BodyText"/>
      </w:pPr>
    </w:p>
    <w:p w14:paraId="4282B4B5" w14:textId="0705A347" w:rsidR="00D7293C" w:rsidRDefault="00D7293C" w:rsidP="0006166C">
      <w:pPr>
        <w:pStyle w:val="BodyText"/>
      </w:pPr>
      <w:r>
        <w:t xml:space="preserve">Generally, Option 3 may lead to too much system resource overhead especially when the number of UEs in the group is large. The only benefit of this option is nearly no standardization effort. On the other hand, this option is quite appropriate for scheduling retransmission of a PDSCH carrying MBS to a specific UE which has reported NACK to the gNB. In that sense, </w:t>
      </w:r>
      <w:r w:rsidR="0030192F">
        <w:t xml:space="preserve">Option 3 can work with either Option 1 or Option 2 as the reliability improvement solution with the prerequisite of UE-specific ACK/NACK feedback. E.g., in either Option 1 or Option 2, when a UE reports NACK to gNB, the gNB can transmit a DCI to schedule MBS PDSCH retransmission to the UE. In this way, gNB </w:t>
      </w:r>
      <w:r w:rsidR="0030192F">
        <w:lastRenderedPageBreak/>
        <w:t>does not need to retransmit the MBS PDSCH to other UEs which have successfully received the MBS PDSCH. Hence, the retransmission efficiency is high.</w:t>
      </w:r>
    </w:p>
    <w:p w14:paraId="0884F889" w14:textId="53E05A39" w:rsidR="0006166C" w:rsidRDefault="0006166C" w:rsidP="0030192F">
      <w:pPr>
        <w:pStyle w:val="BodyText"/>
        <w:rPr>
          <w:b/>
          <w:i/>
        </w:rPr>
      </w:pPr>
      <w:r w:rsidRPr="00B059F2">
        <w:rPr>
          <w:b/>
          <w:i/>
        </w:rPr>
        <w:t xml:space="preserve">Observation </w:t>
      </w:r>
      <w:r w:rsidR="0030192F">
        <w:rPr>
          <w:b/>
          <w:i/>
        </w:rPr>
        <w:t>3</w:t>
      </w:r>
      <w:r w:rsidRPr="00C336B4">
        <w:rPr>
          <w:b/>
          <w:i/>
        </w:rPr>
        <w:t>:</w:t>
      </w:r>
      <w:r w:rsidRPr="00B059F2">
        <w:rPr>
          <w:rFonts w:hint="eastAsia"/>
          <w:b/>
          <w:i/>
        </w:rPr>
        <w:t xml:space="preserve"> </w:t>
      </w:r>
      <w:r w:rsidR="0030192F" w:rsidRPr="0030192F">
        <w:rPr>
          <w:b/>
          <w:i/>
        </w:rPr>
        <w:t>Using a UE-specific DCI to schedule a UE-specific PDSCH</w:t>
      </w:r>
      <w:r w:rsidR="0030192F">
        <w:rPr>
          <w:b/>
          <w:i/>
        </w:rPr>
        <w:t xml:space="preserve"> is appropriate for scheduling retransmission of MBS PDSCH which can work together with Option 1 and Option 2</w:t>
      </w:r>
      <w:r>
        <w:rPr>
          <w:b/>
          <w:i/>
        </w:rPr>
        <w:t>.</w:t>
      </w:r>
    </w:p>
    <w:p w14:paraId="22B8F5B3" w14:textId="77777777" w:rsidR="0030192F" w:rsidRPr="00D67877" w:rsidRDefault="0030192F" w:rsidP="0030192F">
      <w:pPr>
        <w:pStyle w:val="BodyText"/>
      </w:pPr>
      <w:r>
        <w:t>Based on above discussion, we have below proposals:</w:t>
      </w:r>
    </w:p>
    <w:p w14:paraId="2CB6AA45" w14:textId="073DE8B0" w:rsidR="0030192F" w:rsidRDefault="0030192F" w:rsidP="0030192F">
      <w:pPr>
        <w:pStyle w:val="BodyText"/>
        <w:rPr>
          <w:b/>
          <w:i/>
        </w:rPr>
      </w:pPr>
      <w:r w:rsidRPr="009C7176">
        <w:rPr>
          <w:b/>
          <w:i/>
        </w:rPr>
        <w:t xml:space="preserve">Proposal </w:t>
      </w:r>
      <w:r>
        <w:rPr>
          <w:b/>
          <w:i/>
        </w:rPr>
        <w:t>1</w:t>
      </w:r>
      <w:r w:rsidRPr="009C7176">
        <w:rPr>
          <w:b/>
          <w:i/>
        </w:rPr>
        <w:t xml:space="preserve">: </w:t>
      </w:r>
      <w:r>
        <w:rPr>
          <w:b/>
          <w:i/>
        </w:rPr>
        <w:t>U</w:t>
      </w:r>
      <w:r w:rsidRPr="0030192F">
        <w:rPr>
          <w:b/>
          <w:i/>
        </w:rPr>
        <w:t>sing a UE-specific DCI to schedule a group-common PDSCH</w:t>
      </w:r>
      <w:r>
        <w:rPr>
          <w:b/>
          <w:i/>
        </w:rPr>
        <w:t xml:space="preserve"> for MBS is not supported</w:t>
      </w:r>
      <w:r w:rsidRPr="009C7176">
        <w:rPr>
          <w:b/>
          <w:i/>
        </w:rPr>
        <w:t xml:space="preserve">. </w:t>
      </w:r>
    </w:p>
    <w:p w14:paraId="36E83948" w14:textId="732C5E91" w:rsidR="0030192F" w:rsidRDefault="0030192F" w:rsidP="0030192F">
      <w:pPr>
        <w:pStyle w:val="BodyText"/>
        <w:rPr>
          <w:b/>
          <w:i/>
        </w:rPr>
      </w:pPr>
      <w:r w:rsidRPr="009C7176">
        <w:rPr>
          <w:b/>
          <w:i/>
        </w:rPr>
        <w:t xml:space="preserve">Proposal </w:t>
      </w:r>
      <w:r>
        <w:rPr>
          <w:b/>
          <w:i/>
        </w:rPr>
        <w:t>2</w:t>
      </w:r>
      <w:r w:rsidRPr="009C7176">
        <w:rPr>
          <w:b/>
          <w:i/>
        </w:rPr>
        <w:t xml:space="preserve">: </w:t>
      </w:r>
      <w:r>
        <w:rPr>
          <w:b/>
          <w:i/>
        </w:rPr>
        <w:t>U</w:t>
      </w:r>
      <w:r w:rsidRPr="0030192F">
        <w:rPr>
          <w:b/>
          <w:i/>
        </w:rPr>
        <w:t xml:space="preserve">sing a UE-specific DCI to schedule a </w:t>
      </w:r>
      <w:r>
        <w:rPr>
          <w:b/>
          <w:i/>
        </w:rPr>
        <w:t>UE-specific</w:t>
      </w:r>
      <w:r w:rsidRPr="0030192F">
        <w:rPr>
          <w:b/>
          <w:i/>
        </w:rPr>
        <w:t xml:space="preserve"> PDSCH</w:t>
      </w:r>
      <w:r>
        <w:rPr>
          <w:b/>
          <w:i/>
        </w:rPr>
        <w:t xml:space="preserve"> for MBS is supported</w:t>
      </w:r>
      <w:r w:rsidR="0032538A">
        <w:rPr>
          <w:b/>
          <w:i/>
        </w:rPr>
        <w:t xml:space="preserve"> for MBS retransmission</w:t>
      </w:r>
      <w:r w:rsidRPr="009C7176">
        <w:rPr>
          <w:b/>
          <w:i/>
        </w:rPr>
        <w:t xml:space="preserve">. </w:t>
      </w:r>
    </w:p>
    <w:p w14:paraId="0C83B9D5" w14:textId="77777777" w:rsidR="000C654B" w:rsidRDefault="000C654B" w:rsidP="000C654B">
      <w:pPr>
        <w:pStyle w:val="BodyText"/>
        <w:rPr>
          <w:b/>
          <w:i/>
        </w:rPr>
      </w:pPr>
    </w:p>
    <w:p w14:paraId="347CC6AB" w14:textId="70BC38C0" w:rsidR="000C654B" w:rsidRDefault="000C654B" w:rsidP="000C654B">
      <w:pPr>
        <w:pStyle w:val="Heading2"/>
        <w:rPr>
          <w:lang w:eastAsia="zh-CN"/>
        </w:rPr>
      </w:pPr>
      <w:r>
        <w:rPr>
          <w:lang w:eastAsia="zh-CN"/>
        </w:rPr>
        <w:t xml:space="preserve">MBS </w:t>
      </w:r>
      <w:r w:rsidR="0032538A">
        <w:rPr>
          <w:lang w:eastAsia="zh-CN"/>
        </w:rPr>
        <w:t>frequency resource</w:t>
      </w:r>
      <w:r>
        <w:rPr>
          <w:lang w:eastAsia="zh-CN"/>
        </w:rPr>
        <w:t xml:space="preserve"> </w:t>
      </w:r>
    </w:p>
    <w:p w14:paraId="06756850" w14:textId="77777777" w:rsidR="0032538A" w:rsidRDefault="0032538A" w:rsidP="000C654B">
      <w:pPr>
        <w:pStyle w:val="BodyText"/>
        <w:rPr>
          <w:rFonts w:eastAsia="MS Mincho"/>
          <w:lang w:eastAsia="ja-JP"/>
        </w:rPr>
      </w:pPr>
      <w:r>
        <w:rPr>
          <w:rFonts w:eastAsia="MS Mincho"/>
          <w:lang w:eastAsia="ja-JP"/>
        </w:rPr>
        <w:t xml:space="preserve">As mentioned in section 2.1, defining a MBS specific BWP may require UE to frequently perform BWP switching between the MBS specific BWP and other BWPs for unicast transmission. Due to UE processing delay, UE may waste some resources during the BWP switching which may lead to system efficiency degradation. </w:t>
      </w:r>
    </w:p>
    <w:p w14:paraId="49DA6D19" w14:textId="141D17BA" w:rsidR="0032538A" w:rsidRPr="0032538A" w:rsidRDefault="0032538A" w:rsidP="00755C3F">
      <w:pPr>
        <w:pStyle w:val="BodyText"/>
        <w:rPr>
          <w:rFonts w:eastAsia="MS Mincho"/>
          <w:lang w:val="en-US" w:eastAsia="ja-JP"/>
        </w:rPr>
      </w:pPr>
      <w:r>
        <w:rPr>
          <w:rFonts w:eastAsia="MS Mincho"/>
          <w:lang w:eastAsia="ja-JP"/>
        </w:rPr>
        <w:t xml:space="preserve">As mentioned in previous RAN1 agreement, </w:t>
      </w:r>
      <w:r w:rsidR="00755C3F" w:rsidRPr="0032538A">
        <w:rPr>
          <w:rFonts w:eastAsia="MS Mincho"/>
          <w:lang w:val="en-US" w:eastAsia="ja-JP"/>
        </w:rPr>
        <w:t xml:space="preserve">an important issue </w:t>
      </w:r>
      <w:r w:rsidR="00755C3F">
        <w:rPr>
          <w:rFonts w:eastAsia="MS Mincho"/>
          <w:lang w:eastAsia="ja-JP"/>
        </w:rPr>
        <w:t>is</w:t>
      </w:r>
      <w:r>
        <w:rPr>
          <w:rFonts w:eastAsia="MS Mincho"/>
          <w:lang w:eastAsia="ja-JP"/>
        </w:rPr>
        <w:t xml:space="preserve"> how to define or configure common frequency resource for a group of UEs to receive the group-common DCI and the scheduled group-common PDSCH carrying MBS. </w:t>
      </w:r>
      <w:r w:rsidR="00755C3F">
        <w:rPr>
          <w:rFonts w:eastAsia="MS Mincho"/>
          <w:lang w:eastAsia="ja-JP"/>
        </w:rPr>
        <w:t>Basically, t</w:t>
      </w:r>
      <w:r w:rsidRPr="0032538A">
        <w:rPr>
          <w:rFonts w:eastAsia="MS Mincho"/>
          <w:lang w:val="en-US" w:eastAsia="ja-JP"/>
        </w:rPr>
        <w:t>here are two options to define the common frequency resource:</w:t>
      </w:r>
    </w:p>
    <w:p w14:paraId="5B982615" w14:textId="20FDB8B3" w:rsidR="0032538A" w:rsidRPr="0032538A" w:rsidRDefault="0032538A" w:rsidP="0032538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32538A">
        <w:rPr>
          <w:rFonts w:ascii="Times New Roman" w:eastAsia="Batang" w:hAnsi="Times New Roman" w:cs="Times New Roman"/>
          <w:sz w:val="20"/>
          <w:szCs w:val="20"/>
          <w:lang w:val="de-DE" w:eastAsia="x-none"/>
        </w:rPr>
        <w:t>Option 1: An MBS specific BWP is configured by gNB as a group-common BWP, e.g., same frequency domain resource and subcarrier spacing as well as cyclic prefix to the group of UEs. For a given UE, if another BWP configured for unicast transmission does not overlap with the MBS specific BWP, the UE has to perform BWP switching back and forth between the MBS specific BWP and the unicast BWP because only a single active BWP is allowed in NR. Supporting two active BWPs seems not promising for MBS transmission.</w:t>
      </w:r>
    </w:p>
    <w:p w14:paraId="76F9D0D6" w14:textId="375BDF32" w:rsidR="0032538A" w:rsidRPr="0032538A" w:rsidRDefault="0032538A" w:rsidP="0032538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32538A">
        <w:rPr>
          <w:rFonts w:ascii="Times New Roman" w:eastAsia="Batang" w:hAnsi="Times New Roman" w:cs="Times New Roman"/>
          <w:sz w:val="20"/>
          <w:szCs w:val="20"/>
          <w:lang w:val="de-DE" w:eastAsia="x-none"/>
        </w:rPr>
        <w:t xml:space="preserve">Option 2: A common frequency </w:t>
      </w:r>
      <w:r w:rsidR="00755C3F">
        <w:rPr>
          <w:rFonts w:ascii="Times New Roman" w:eastAsia="Batang" w:hAnsi="Times New Roman" w:cs="Times New Roman"/>
          <w:sz w:val="20"/>
          <w:szCs w:val="20"/>
          <w:lang w:val="de-DE" w:eastAsia="x-none"/>
        </w:rPr>
        <w:t>region</w:t>
      </w:r>
      <w:r w:rsidRPr="0032538A">
        <w:rPr>
          <w:rFonts w:ascii="Times New Roman" w:eastAsia="Batang" w:hAnsi="Times New Roman" w:cs="Times New Roman"/>
          <w:sz w:val="20"/>
          <w:szCs w:val="20"/>
          <w:lang w:val="de-DE" w:eastAsia="x-none"/>
        </w:rPr>
        <w:t xml:space="preserve"> which </w:t>
      </w:r>
      <w:r w:rsidR="00755C3F">
        <w:rPr>
          <w:rFonts w:ascii="Times New Roman" w:eastAsia="Batang" w:hAnsi="Times New Roman" w:cs="Times New Roman"/>
          <w:sz w:val="20"/>
          <w:szCs w:val="20"/>
          <w:lang w:val="de-DE" w:eastAsia="x-none"/>
        </w:rPr>
        <w:t>can be</w:t>
      </w:r>
      <w:r w:rsidRPr="0032538A">
        <w:rPr>
          <w:rFonts w:ascii="Times New Roman" w:eastAsia="Batang" w:hAnsi="Times New Roman" w:cs="Times New Roman"/>
          <w:sz w:val="20"/>
          <w:szCs w:val="20"/>
          <w:lang w:val="de-DE" w:eastAsia="x-none"/>
        </w:rPr>
        <w:t xml:space="preserve"> the intersection of the frequency resources supported by the group of UEs is defined. That is to say, within each UE’s active BWP, a common MBS frequency re</w:t>
      </w:r>
      <w:r w:rsidR="00755C3F">
        <w:rPr>
          <w:rFonts w:ascii="Times New Roman" w:eastAsia="Batang" w:hAnsi="Times New Roman" w:cs="Times New Roman"/>
          <w:sz w:val="20"/>
          <w:szCs w:val="20"/>
          <w:lang w:val="de-DE" w:eastAsia="x-none"/>
        </w:rPr>
        <w:t>gion</w:t>
      </w:r>
      <w:r w:rsidRPr="0032538A">
        <w:rPr>
          <w:rFonts w:ascii="Times New Roman" w:eastAsia="Batang" w:hAnsi="Times New Roman" w:cs="Times New Roman"/>
          <w:sz w:val="20"/>
          <w:szCs w:val="20"/>
          <w:lang w:val="de-DE" w:eastAsia="x-none"/>
        </w:rPr>
        <w:t xml:space="preserve"> can be also defined to each UE to receive the group-common DCI and associated group-common PDSCH.</w:t>
      </w:r>
    </w:p>
    <w:p w14:paraId="6BBAFC2D" w14:textId="77777777" w:rsidR="00755C3F" w:rsidRDefault="00755C3F" w:rsidP="0032538A">
      <w:pPr>
        <w:pStyle w:val="BodyText"/>
        <w:rPr>
          <w:rFonts w:eastAsia="MS Mincho"/>
          <w:lang w:val="en-US" w:eastAsia="ja-JP"/>
        </w:rPr>
      </w:pPr>
    </w:p>
    <w:p w14:paraId="03F68537" w14:textId="435C8392" w:rsidR="00755C3F" w:rsidRDefault="0032538A" w:rsidP="0032538A">
      <w:pPr>
        <w:pStyle w:val="BodyText"/>
        <w:rPr>
          <w:rFonts w:eastAsia="MS Mincho"/>
          <w:lang w:val="en-US" w:eastAsia="ja-JP"/>
        </w:rPr>
      </w:pPr>
      <w:r w:rsidRPr="0032538A">
        <w:rPr>
          <w:rFonts w:eastAsia="MS Mincho"/>
          <w:lang w:val="en-US" w:eastAsia="ja-JP"/>
        </w:rPr>
        <w:t>Since Option 2 does not require UE to frequently perform BWP switching, it is more promising than Option 1.</w:t>
      </w:r>
    </w:p>
    <w:p w14:paraId="0D82623D" w14:textId="77777777" w:rsidR="00755C3F" w:rsidRPr="00D67877" w:rsidRDefault="00755C3F" w:rsidP="00755C3F">
      <w:pPr>
        <w:pStyle w:val="BodyText"/>
      </w:pPr>
      <w:r>
        <w:t>Based on above discussion, we have below proposals:</w:t>
      </w:r>
    </w:p>
    <w:p w14:paraId="28EE3720" w14:textId="57C94BB3" w:rsidR="00755C3F" w:rsidRDefault="00755C3F" w:rsidP="00755C3F">
      <w:pPr>
        <w:pStyle w:val="BodyText"/>
        <w:rPr>
          <w:b/>
          <w:i/>
        </w:rPr>
      </w:pPr>
      <w:r w:rsidRPr="00280006">
        <w:rPr>
          <w:b/>
          <w:i/>
        </w:rPr>
        <w:t xml:space="preserve">Proposal </w:t>
      </w:r>
      <w:r>
        <w:rPr>
          <w:b/>
          <w:i/>
        </w:rPr>
        <w:t>3</w:t>
      </w:r>
      <w:r w:rsidRPr="00280006">
        <w:rPr>
          <w:b/>
          <w:i/>
        </w:rPr>
        <w:t xml:space="preserve">: </w:t>
      </w:r>
      <w:r>
        <w:rPr>
          <w:b/>
          <w:i/>
        </w:rPr>
        <w:t>A common frequency region confined with each UE’s dedicated BWP is defined/configured for MBS</w:t>
      </w:r>
      <w:r w:rsidRPr="00280006">
        <w:rPr>
          <w:b/>
          <w:i/>
        </w:rPr>
        <w:t>.</w:t>
      </w:r>
    </w:p>
    <w:p w14:paraId="6069EDBD" w14:textId="1150FF50" w:rsidR="00755C3F" w:rsidRPr="00280006" w:rsidRDefault="00755C3F" w:rsidP="00755C3F">
      <w:pPr>
        <w:pStyle w:val="BodyText"/>
        <w:rPr>
          <w:b/>
          <w:i/>
        </w:rPr>
      </w:pPr>
      <w:r>
        <w:rPr>
          <w:b/>
          <w:i/>
        </w:rPr>
        <w:t>Proposal 4: The group-common DCI and scheduled group-common PDSCH are transmitted within the common frequency region.</w:t>
      </w:r>
    </w:p>
    <w:p w14:paraId="63FD62A9" w14:textId="77777777" w:rsidR="00755C3F" w:rsidRPr="00755C3F" w:rsidRDefault="00755C3F" w:rsidP="0032538A">
      <w:pPr>
        <w:pStyle w:val="BodyText"/>
        <w:rPr>
          <w:rFonts w:eastAsia="MS Mincho"/>
          <w:lang w:eastAsia="ja-JP"/>
        </w:rPr>
      </w:pPr>
    </w:p>
    <w:p w14:paraId="2D0A7CA1" w14:textId="6359CF63" w:rsidR="00755C3F" w:rsidRDefault="00755C3F" w:rsidP="00755C3F">
      <w:pPr>
        <w:pStyle w:val="Heading2"/>
        <w:rPr>
          <w:lang w:eastAsia="zh-CN"/>
        </w:rPr>
      </w:pPr>
      <w:r>
        <w:rPr>
          <w:lang w:eastAsia="zh-CN"/>
        </w:rPr>
        <w:t>Frequency resource allocation</w:t>
      </w:r>
      <w:r w:rsidR="006450B5">
        <w:rPr>
          <w:lang w:eastAsia="zh-CN"/>
        </w:rPr>
        <w:t xml:space="preserve"> and DCI payload size determination</w:t>
      </w:r>
    </w:p>
    <w:p w14:paraId="5C455CD1" w14:textId="1B3806EB" w:rsidR="006450B5" w:rsidRDefault="00755C3F" w:rsidP="0032538A">
      <w:pPr>
        <w:pStyle w:val="BodyText"/>
        <w:rPr>
          <w:rFonts w:eastAsia="MS Mincho"/>
          <w:lang w:val="en-US" w:eastAsia="ja-JP"/>
        </w:rPr>
      </w:pPr>
      <w:r>
        <w:rPr>
          <w:rFonts w:eastAsia="MS Mincho"/>
          <w:lang w:val="en-US" w:eastAsia="ja-JP"/>
        </w:rPr>
        <w:t>In addition</w:t>
      </w:r>
      <w:r w:rsidR="0032538A" w:rsidRPr="0032538A">
        <w:rPr>
          <w:rFonts w:eastAsia="MS Mincho"/>
          <w:lang w:val="en-US" w:eastAsia="ja-JP"/>
        </w:rPr>
        <w:t>, since different UE may have different active BWP, e.g., different central frequency point</w:t>
      </w:r>
      <w:r>
        <w:rPr>
          <w:rFonts w:eastAsia="MS Mincho"/>
          <w:lang w:val="en-US" w:eastAsia="ja-JP"/>
        </w:rPr>
        <w:t>, numerology</w:t>
      </w:r>
      <w:r w:rsidR="0032538A" w:rsidRPr="0032538A">
        <w:rPr>
          <w:rFonts w:eastAsia="MS Mincho"/>
          <w:lang w:val="en-US" w:eastAsia="ja-JP"/>
        </w:rPr>
        <w:t xml:space="preserve"> or bandwidth, there is no common reference for the group of UEs to determine the allocated frequency resource. </w:t>
      </w:r>
      <w:proofErr w:type="gramStart"/>
      <w:r w:rsidR="0032538A" w:rsidRPr="0032538A">
        <w:rPr>
          <w:rFonts w:eastAsia="MS Mincho"/>
          <w:lang w:val="en-US" w:eastAsia="ja-JP"/>
        </w:rPr>
        <w:t>So</w:t>
      </w:r>
      <w:proofErr w:type="gramEnd"/>
      <w:r w:rsidR="0032538A" w:rsidRPr="0032538A">
        <w:rPr>
          <w:rFonts w:eastAsia="MS Mincho"/>
          <w:lang w:val="en-US" w:eastAsia="ja-JP"/>
        </w:rPr>
        <w:t xml:space="preserve"> one open issue is how gNB indicates the scheduled frequency resource for transmitting the group-common PDSCH to the group of UEs. In detail, </w:t>
      </w:r>
      <w:r w:rsidR="006450B5">
        <w:rPr>
          <w:rFonts w:eastAsia="MS Mincho"/>
          <w:lang w:val="en-US" w:eastAsia="ja-JP"/>
        </w:rPr>
        <w:t xml:space="preserve">when </w:t>
      </w:r>
      <w:r w:rsidR="0032538A" w:rsidRPr="0032538A">
        <w:rPr>
          <w:rFonts w:eastAsia="MS Mincho"/>
          <w:lang w:val="en-US" w:eastAsia="ja-JP"/>
        </w:rPr>
        <w:t>either resource allocation type 0 or type 1 is used for allocating frequency resource within the target UE’s active BWP</w:t>
      </w:r>
      <w:r w:rsidR="006450B5">
        <w:rPr>
          <w:rFonts w:eastAsia="MS Mincho"/>
          <w:lang w:val="en-US" w:eastAsia="ja-JP"/>
        </w:rPr>
        <w:t>, the lowest RB of the active BWP is deemed PRB 0 and other RBs of the active BWP is numbered with reference to PRB 0</w:t>
      </w:r>
      <w:r w:rsidR="0032538A" w:rsidRPr="0032538A">
        <w:rPr>
          <w:rFonts w:eastAsia="MS Mincho"/>
          <w:lang w:val="en-US" w:eastAsia="ja-JP"/>
        </w:rPr>
        <w:t xml:space="preserve">. Due to the possible different active BWPs among the group of UEs, it is impossible to find out a common reference to define PRB </w:t>
      </w:r>
      <w:r w:rsidR="006450B5">
        <w:rPr>
          <w:rFonts w:eastAsia="MS Mincho"/>
          <w:lang w:val="en-US" w:eastAsia="ja-JP"/>
        </w:rPr>
        <w:t xml:space="preserve">0 </w:t>
      </w:r>
      <w:r w:rsidR="0032538A" w:rsidRPr="0032538A">
        <w:rPr>
          <w:rFonts w:eastAsia="MS Mincho"/>
          <w:lang w:val="en-US" w:eastAsia="ja-JP"/>
        </w:rPr>
        <w:t xml:space="preserve">of the common frequency resource. </w:t>
      </w:r>
    </w:p>
    <w:p w14:paraId="63F64999" w14:textId="6C06B5E2" w:rsidR="0032538A" w:rsidRDefault="0032538A" w:rsidP="0032538A">
      <w:pPr>
        <w:pStyle w:val="BodyText"/>
        <w:rPr>
          <w:rFonts w:eastAsia="MS Mincho"/>
          <w:lang w:val="en-US" w:eastAsia="ja-JP"/>
        </w:rPr>
      </w:pPr>
      <w:r w:rsidRPr="0032538A">
        <w:rPr>
          <w:rFonts w:eastAsia="MS Mincho"/>
          <w:lang w:val="en-US" w:eastAsia="ja-JP"/>
        </w:rPr>
        <w:t>Another issue is how to determine the payload size of frequency domain resource assignment (FDRA) indicator in the DCI from a UE’s perspective. Since the number of bits required for FDRA indicator is based on the bandwidth of the UE’s BWP and different UEs may have different BWP bandwidths, a solution is required for the group of UEs to determine a same payload size of the DCI scheduling the group-common PDSCH.</w:t>
      </w:r>
    </w:p>
    <w:p w14:paraId="587C97E3" w14:textId="5923DD63" w:rsidR="006450B5" w:rsidRPr="0032538A" w:rsidRDefault="006450B5" w:rsidP="0032538A">
      <w:pPr>
        <w:pStyle w:val="BodyText"/>
        <w:rPr>
          <w:rFonts w:eastAsia="MS Mincho"/>
          <w:lang w:val="en-US" w:eastAsia="ja-JP"/>
        </w:rPr>
      </w:pPr>
      <w:r>
        <w:rPr>
          <w:rFonts w:eastAsia="MS Mincho"/>
          <w:lang w:val="en-US" w:eastAsia="ja-JP"/>
        </w:rPr>
        <w:t>As mentioned in section 2.2, based on the common frequency region defined/configured for MBS, the bandwidth of the common frequency region is used to determine the number of bits for FDRA indicator in the DCI so as to determine the payload size of the DCI. Meanwhile, following the same logic to legacy PRB reference within a BWP, the lowest RB of the common frequency region is deemed PRB 0 for PDSCH scheduling. In this way, the RB numbering and the DCI payload size determination can be solved.</w:t>
      </w:r>
    </w:p>
    <w:p w14:paraId="6B82BD20" w14:textId="6786B02B" w:rsidR="006450B5" w:rsidRDefault="006450B5" w:rsidP="006450B5">
      <w:pPr>
        <w:pStyle w:val="BodyText"/>
        <w:rPr>
          <w:b/>
          <w:i/>
        </w:rPr>
      </w:pPr>
      <w:r>
        <w:rPr>
          <w:b/>
          <w:i/>
        </w:rPr>
        <w:t>Proposal 5: RB numbering within the common frequency region is with reference to the lowest RB of the common frequency region.</w:t>
      </w:r>
    </w:p>
    <w:p w14:paraId="593A7549" w14:textId="0269BA00" w:rsidR="006450B5" w:rsidRPr="00280006" w:rsidRDefault="006450B5" w:rsidP="006450B5">
      <w:pPr>
        <w:pStyle w:val="BodyText"/>
        <w:rPr>
          <w:b/>
          <w:i/>
        </w:rPr>
      </w:pPr>
      <w:r>
        <w:rPr>
          <w:b/>
          <w:i/>
        </w:rPr>
        <w:lastRenderedPageBreak/>
        <w:t>Proposal 6: The number of bits for frequency domain resource assignment indicator in DCI is determined based on the bandwidth of the common frequency region.</w:t>
      </w:r>
    </w:p>
    <w:p w14:paraId="7F2A5330" w14:textId="77777777" w:rsidR="000C654B" w:rsidRPr="0032538A" w:rsidRDefault="000C654B" w:rsidP="000C654B">
      <w:pPr>
        <w:rPr>
          <w:rFonts w:ascii="Times New Roman" w:hAnsi="Times New Roman" w:cs="Times New Roman"/>
          <w:sz w:val="20"/>
          <w:szCs w:val="20"/>
          <w:lang w:val="de-D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62E0A10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have below proposals:</w:t>
      </w:r>
    </w:p>
    <w:p w14:paraId="2EA1845F" w14:textId="77777777" w:rsidR="006450B5" w:rsidRDefault="006450B5" w:rsidP="006450B5">
      <w:pPr>
        <w:pStyle w:val="BodyText"/>
        <w:rPr>
          <w:b/>
          <w:i/>
        </w:rPr>
      </w:pPr>
      <w:r w:rsidRPr="009C7176">
        <w:rPr>
          <w:b/>
          <w:i/>
        </w:rPr>
        <w:t xml:space="preserve">Proposal </w:t>
      </w:r>
      <w:r>
        <w:rPr>
          <w:b/>
          <w:i/>
        </w:rPr>
        <w:t>1</w:t>
      </w:r>
      <w:r w:rsidRPr="009C7176">
        <w:rPr>
          <w:b/>
          <w:i/>
        </w:rPr>
        <w:t xml:space="preserve">: </w:t>
      </w:r>
      <w:r>
        <w:rPr>
          <w:b/>
          <w:i/>
        </w:rPr>
        <w:t>U</w:t>
      </w:r>
      <w:r w:rsidRPr="0030192F">
        <w:rPr>
          <w:b/>
          <w:i/>
        </w:rPr>
        <w:t>sing a UE-specific DCI to schedule a group-common PDSCH</w:t>
      </w:r>
      <w:r>
        <w:rPr>
          <w:b/>
          <w:i/>
        </w:rPr>
        <w:t xml:space="preserve"> for MBS is not supported</w:t>
      </w:r>
      <w:r w:rsidRPr="009C7176">
        <w:rPr>
          <w:b/>
          <w:i/>
        </w:rPr>
        <w:t xml:space="preserve">. </w:t>
      </w:r>
    </w:p>
    <w:p w14:paraId="055FF7FF" w14:textId="77777777" w:rsidR="006450B5" w:rsidRDefault="006450B5" w:rsidP="006450B5">
      <w:pPr>
        <w:pStyle w:val="BodyText"/>
        <w:rPr>
          <w:b/>
          <w:i/>
        </w:rPr>
      </w:pPr>
      <w:r w:rsidRPr="009C7176">
        <w:rPr>
          <w:b/>
          <w:i/>
        </w:rPr>
        <w:t xml:space="preserve">Proposal </w:t>
      </w:r>
      <w:r>
        <w:rPr>
          <w:b/>
          <w:i/>
        </w:rPr>
        <w:t>2</w:t>
      </w:r>
      <w:r w:rsidRPr="009C7176">
        <w:rPr>
          <w:b/>
          <w:i/>
        </w:rPr>
        <w:t xml:space="preserve">: </w:t>
      </w:r>
      <w:r>
        <w:rPr>
          <w:b/>
          <w:i/>
        </w:rPr>
        <w:t>U</w:t>
      </w:r>
      <w:r w:rsidRPr="0030192F">
        <w:rPr>
          <w:b/>
          <w:i/>
        </w:rPr>
        <w:t xml:space="preserve">sing a UE-specific DCI to schedule a </w:t>
      </w:r>
      <w:r>
        <w:rPr>
          <w:b/>
          <w:i/>
        </w:rPr>
        <w:t>UE-specific</w:t>
      </w:r>
      <w:r w:rsidRPr="0030192F">
        <w:rPr>
          <w:b/>
          <w:i/>
        </w:rPr>
        <w:t xml:space="preserve"> PDSCH</w:t>
      </w:r>
      <w:r>
        <w:rPr>
          <w:b/>
          <w:i/>
        </w:rPr>
        <w:t xml:space="preserve"> for MBS is supported for MBS retransmission</w:t>
      </w:r>
      <w:r w:rsidRPr="009C7176">
        <w:rPr>
          <w:b/>
          <w:i/>
        </w:rPr>
        <w:t xml:space="preserve">. </w:t>
      </w:r>
    </w:p>
    <w:p w14:paraId="09A84E69" w14:textId="77777777" w:rsidR="006450B5" w:rsidRDefault="006450B5" w:rsidP="006450B5">
      <w:pPr>
        <w:pStyle w:val="BodyText"/>
        <w:rPr>
          <w:b/>
          <w:i/>
        </w:rPr>
      </w:pPr>
      <w:r w:rsidRPr="00280006">
        <w:rPr>
          <w:b/>
          <w:i/>
        </w:rPr>
        <w:t xml:space="preserve">Proposal </w:t>
      </w:r>
      <w:r>
        <w:rPr>
          <w:b/>
          <w:i/>
        </w:rPr>
        <w:t>3</w:t>
      </w:r>
      <w:r w:rsidRPr="00280006">
        <w:rPr>
          <w:b/>
          <w:i/>
        </w:rPr>
        <w:t xml:space="preserve">: </w:t>
      </w:r>
      <w:r>
        <w:rPr>
          <w:b/>
          <w:i/>
        </w:rPr>
        <w:t>A common frequency region confined with each UE’s dedicated BWP is defined/configured for MBS</w:t>
      </w:r>
      <w:r w:rsidRPr="00280006">
        <w:rPr>
          <w:b/>
          <w:i/>
        </w:rPr>
        <w:t>.</w:t>
      </w:r>
    </w:p>
    <w:p w14:paraId="18D4C759" w14:textId="77777777" w:rsidR="006450B5" w:rsidRPr="00280006" w:rsidRDefault="006450B5" w:rsidP="006450B5">
      <w:pPr>
        <w:pStyle w:val="BodyText"/>
        <w:rPr>
          <w:b/>
          <w:i/>
        </w:rPr>
      </w:pPr>
      <w:r>
        <w:rPr>
          <w:b/>
          <w:i/>
        </w:rPr>
        <w:t>Proposal 4: The group-common DCI and scheduled group-common PDSCH are transmitted within the common frequency region.</w:t>
      </w:r>
    </w:p>
    <w:p w14:paraId="19848FA1" w14:textId="77777777" w:rsidR="006450B5" w:rsidRDefault="006450B5" w:rsidP="006450B5">
      <w:pPr>
        <w:pStyle w:val="BodyText"/>
        <w:rPr>
          <w:b/>
          <w:i/>
        </w:rPr>
      </w:pPr>
      <w:r>
        <w:rPr>
          <w:b/>
          <w:i/>
        </w:rPr>
        <w:t>Proposal 5: RB numbering within the common frequency region is with reference to the lowest RB of the common frequency region.</w:t>
      </w:r>
    </w:p>
    <w:p w14:paraId="0D86E191" w14:textId="77777777" w:rsidR="006450B5" w:rsidRPr="00280006" w:rsidRDefault="006450B5" w:rsidP="006450B5">
      <w:pPr>
        <w:pStyle w:val="BodyText"/>
        <w:rPr>
          <w:b/>
          <w:i/>
        </w:rPr>
      </w:pPr>
      <w:r>
        <w:rPr>
          <w:b/>
          <w:i/>
        </w:rPr>
        <w:t>Proposal 6: The number of bits for frequency domain resource assignment indicator in DCI is determined based on the bandwidth of the common frequency region.</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77777777" w:rsidR="000C654B" w:rsidRDefault="000C654B" w:rsidP="000C654B">
      <w:pPr>
        <w:pStyle w:val="References"/>
      </w:pPr>
      <w:r>
        <w:t>Chairman’s notes on RAN1#102-e meeting</w:t>
      </w:r>
    </w:p>
    <w:p w14:paraId="539001B2" w14:textId="10ABF2DC" w:rsidR="000C654B" w:rsidRPr="009A4912" w:rsidRDefault="000C654B" w:rsidP="000C654B">
      <w:pPr>
        <w:pStyle w:val="References"/>
      </w:pPr>
      <w:bookmarkStart w:id="3" w:name="_Ref473620807"/>
      <w:bookmarkStart w:id="4" w:name="_Ref16191158"/>
      <w:r w:rsidRPr="00DE59DC">
        <w:t>RP-</w:t>
      </w:r>
      <w:r w:rsidR="00E8724D">
        <w:t>201038</w:t>
      </w:r>
      <w:bookmarkEnd w:id="3"/>
      <w:bookmarkEnd w:id="4"/>
      <w:r>
        <w:t>, ‘</w:t>
      </w:r>
      <w:r w:rsidRPr="00DE59DC">
        <w:t>New Work Item on NR support of Multicast and Broadcast Services</w:t>
      </w:r>
      <w:r>
        <w:t xml:space="preserve">’, </w:t>
      </w:r>
      <w:r w:rsidRPr="00DE59DC">
        <w:t>Huawei</w:t>
      </w:r>
    </w:p>
    <w:p w14:paraId="569DE6CD" w14:textId="5CCCF29F" w:rsidR="000C654B" w:rsidRDefault="000C654B" w:rsidP="000C654B">
      <w:pPr>
        <w:pStyle w:val="References"/>
      </w:pPr>
      <w:r>
        <w:t>R1-</w:t>
      </w:r>
      <w:r w:rsidRPr="005036CD">
        <w:t>20</w:t>
      </w:r>
      <w:r w:rsidR="005036CD" w:rsidRPr="005036CD">
        <w:t>0892</w:t>
      </w:r>
      <w:r w:rsidR="005036CD">
        <w:t>7</w:t>
      </w:r>
      <w:r>
        <w:t>, “</w:t>
      </w:r>
      <w:r w:rsidR="007B27C4">
        <w:t>Discussion on reliability improvement</w:t>
      </w:r>
      <w:r w:rsidRPr="005C31E2">
        <w:t xml:space="preserve"> for RRC-CONNECTED UEs</w:t>
      </w:r>
      <w:r>
        <w:t>”, Lenovo, Motorola Mobility</w:t>
      </w:r>
      <w:bookmarkStart w:id="5" w:name="_GoBack"/>
      <w:bookmarkEnd w:id="5"/>
    </w:p>
    <w:p w14:paraId="02AC17D9" w14:textId="77777777" w:rsidR="000C654B" w:rsidRPr="001B20A0" w:rsidRDefault="00B420BF" w:rsidP="000C654B">
      <w:pPr>
        <w:pStyle w:val="References"/>
      </w:pPr>
      <w:hyperlink r:id="rId7" w:history="1">
        <w:r w:rsidR="000C654B" w:rsidRPr="005C31E2">
          <w:t>R1-2006233</w:t>
        </w:r>
      </w:hyperlink>
      <w:r w:rsidR="000C654B">
        <w:t>,</w:t>
      </w:r>
      <w:r w:rsidR="000C654B" w:rsidRPr="005C31E2">
        <w:tab/>
      </w:r>
      <w:r w:rsidR="000C654B">
        <w:t>“</w:t>
      </w:r>
      <w:r w:rsidR="000C654B" w:rsidRPr="005C31E2">
        <w:t>Discussion on group scheduling mechanisms in NR MBS</w:t>
      </w:r>
      <w:r w:rsidR="000C654B">
        <w:t xml:space="preserve">”, </w:t>
      </w:r>
      <w:r w:rsidR="000C654B" w:rsidRPr="005C31E2">
        <w:t>CMCC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DAF08" w14:textId="77777777" w:rsidR="00B420BF" w:rsidRDefault="00B420BF" w:rsidP="000D45AD">
      <w:pPr>
        <w:spacing w:after="0" w:line="240" w:lineRule="auto"/>
      </w:pPr>
      <w:r>
        <w:separator/>
      </w:r>
    </w:p>
  </w:endnote>
  <w:endnote w:type="continuationSeparator" w:id="0">
    <w:p w14:paraId="06A8100F" w14:textId="77777777" w:rsidR="00B420BF" w:rsidRDefault="00B420B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1B068" w14:textId="77777777" w:rsidR="00B420BF" w:rsidRDefault="00B420BF" w:rsidP="000D45AD">
      <w:pPr>
        <w:spacing w:after="0" w:line="240" w:lineRule="auto"/>
      </w:pPr>
      <w:r>
        <w:separator/>
      </w:r>
    </w:p>
  </w:footnote>
  <w:footnote w:type="continuationSeparator" w:id="0">
    <w:p w14:paraId="7D310006" w14:textId="77777777" w:rsidR="00B420BF" w:rsidRDefault="00B420B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1"/>
  </w:num>
  <w:num w:numId="4">
    <w:abstractNumId w:val="4"/>
  </w:num>
  <w:num w:numId="5">
    <w:abstractNumId w:val="20"/>
  </w:num>
  <w:num w:numId="6">
    <w:abstractNumId w:val="18"/>
  </w:num>
  <w:num w:numId="7">
    <w:abstractNumId w:val="13"/>
  </w:num>
  <w:num w:numId="8">
    <w:abstractNumId w:val="12"/>
  </w:num>
  <w:num w:numId="9">
    <w:abstractNumId w:val="14"/>
  </w:num>
  <w:num w:numId="10">
    <w:abstractNumId w:val="7"/>
  </w:num>
  <w:num w:numId="11">
    <w:abstractNumId w:val="3"/>
  </w:num>
  <w:num w:numId="12">
    <w:abstractNumId w:val="2"/>
  </w:num>
  <w:num w:numId="13">
    <w:abstractNumId w:val="23"/>
  </w:num>
  <w:num w:numId="14">
    <w:abstractNumId w:val="2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9"/>
  </w:num>
  <w:num w:numId="18">
    <w:abstractNumId w:val="22"/>
  </w:num>
  <w:num w:numId="19">
    <w:abstractNumId w:val="9"/>
  </w:num>
  <w:num w:numId="20">
    <w:abstractNumId w:val="1"/>
  </w:num>
  <w:num w:numId="21">
    <w:abstractNumId w:val="11"/>
  </w:num>
  <w:num w:numId="22">
    <w:abstractNumId w:val="15"/>
  </w:num>
  <w:num w:numId="23">
    <w:abstractNumId w:val="10"/>
  </w:num>
  <w:num w:numId="24">
    <w:abstractNumId w:val="5"/>
  </w:num>
  <w:num w:numId="25">
    <w:abstractNumId w:val="16"/>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2974"/>
    <w:rsid w:val="0006166C"/>
    <w:rsid w:val="00070BC6"/>
    <w:rsid w:val="0008638F"/>
    <w:rsid w:val="000A024E"/>
    <w:rsid w:val="000A41C4"/>
    <w:rsid w:val="000C654B"/>
    <w:rsid w:val="000D45AD"/>
    <w:rsid w:val="000D69E4"/>
    <w:rsid w:val="001007C3"/>
    <w:rsid w:val="00151080"/>
    <w:rsid w:val="001918F4"/>
    <w:rsid w:val="001C044A"/>
    <w:rsid w:val="00210A17"/>
    <w:rsid w:val="00247005"/>
    <w:rsid w:val="00250271"/>
    <w:rsid w:val="002661A9"/>
    <w:rsid w:val="00267F53"/>
    <w:rsid w:val="00274132"/>
    <w:rsid w:val="002869F6"/>
    <w:rsid w:val="00301291"/>
    <w:rsid w:val="0030192F"/>
    <w:rsid w:val="00301EDA"/>
    <w:rsid w:val="0032538A"/>
    <w:rsid w:val="003506CC"/>
    <w:rsid w:val="0036220F"/>
    <w:rsid w:val="0037578B"/>
    <w:rsid w:val="00387B56"/>
    <w:rsid w:val="003B34E2"/>
    <w:rsid w:val="003C3815"/>
    <w:rsid w:val="003C4961"/>
    <w:rsid w:val="0043245B"/>
    <w:rsid w:val="004618EE"/>
    <w:rsid w:val="00464095"/>
    <w:rsid w:val="004B682D"/>
    <w:rsid w:val="004B776B"/>
    <w:rsid w:val="004C0B6B"/>
    <w:rsid w:val="005036CD"/>
    <w:rsid w:val="00524E79"/>
    <w:rsid w:val="00533D25"/>
    <w:rsid w:val="00592CA0"/>
    <w:rsid w:val="00593E99"/>
    <w:rsid w:val="005A0804"/>
    <w:rsid w:val="005C2FA8"/>
    <w:rsid w:val="005F387F"/>
    <w:rsid w:val="00602684"/>
    <w:rsid w:val="00633B3D"/>
    <w:rsid w:val="00637F1A"/>
    <w:rsid w:val="006450B5"/>
    <w:rsid w:val="0069062D"/>
    <w:rsid w:val="006B7CB1"/>
    <w:rsid w:val="006E3176"/>
    <w:rsid w:val="0071362E"/>
    <w:rsid w:val="00715E66"/>
    <w:rsid w:val="007175D8"/>
    <w:rsid w:val="00731FFD"/>
    <w:rsid w:val="007528E9"/>
    <w:rsid w:val="00755BFB"/>
    <w:rsid w:val="00755C3F"/>
    <w:rsid w:val="0076250E"/>
    <w:rsid w:val="007771DA"/>
    <w:rsid w:val="007806C3"/>
    <w:rsid w:val="00781A0B"/>
    <w:rsid w:val="007B27C4"/>
    <w:rsid w:val="007F5598"/>
    <w:rsid w:val="00811C71"/>
    <w:rsid w:val="0084140E"/>
    <w:rsid w:val="00874CE2"/>
    <w:rsid w:val="0089630A"/>
    <w:rsid w:val="0089679E"/>
    <w:rsid w:val="008C1DE0"/>
    <w:rsid w:val="009034A1"/>
    <w:rsid w:val="00903DA7"/>
    <w:rsid w:val="009125B1"/>
    <w:rsid w:val="009462BB"/>
    <w:rsid w:val="0094687B"/>
    <w:rsid w:val="00962451"/>
    <w:rsid w:val="00967EF3"/>
    <w:rsid w:val="00976B75"/>
    <w:rsid w:val="0098202C"/>
    <w:rsid w:val="009A2BB4"/>
    <w:rsid w:val="009C7176"/>
    <w:rsid w:val="009C7187"/>
    <w:rsid w:val="009F4BC0"/>
    <w:rsid w:val="00A13B7A"/>
    <w:rsid w:val="00A40295"/>
    <w:rsid w:val="00A667FC"/>
    <w:rsid w:val="00A93F81"/>
    <w:rsid w:val="00AC4B97"/>
    <w:rsid w:val="00B420BF"/>
    <w:rsid w:val="00B45092"/>
    <w:rsid w:val="00B75AF8"/>
    <w:rsid w:val="00B917CD"/>
    <w:rsid w:val="00BA0676"/>
    <w:rsid w:val="00C2217F"/>
    <w:rsid w:val="00C439FA"/>
    <w:rsid w:val="00CC6540"/>
    <w:rsid w:val="00D27935"/>
    <w:rsid w:val="00D67877"/>
    <w:rsid w:val="00D7293C"/>
    <w:rsid w:val="00DC7141"/>
    <w:rsid w:val="00E0083C"/>
    <w:rsid w:val="00E8724D"/>
    <w:rsid w:val="00EB6F9E"/>
    <w:rsid w:val="00EC3DE9"/>
    <w:rsid w:val="00F2315D"/>
    <w:rsid w:val="00F279E4"/>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2-e\tdocs\R1-20062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2020-10-23T06:17:00Z</dcterms:created>
  <dcterms:modified xsi:type="dcterms:W3CDTF">2020-10-23T06:17:00Z</dcterms:modified>
</cp:coreProperties>
</file>