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31DB0BA1" w:rsidR="00695123" w:rsidRPr="00695123" w:rsidRDefault="00695123" w:rsidP="00695123">
      <w:pPr>
        <w:tabs>
          <w:tab w:val="center" w:pos="4536"/>
          <w:tab w:val="right" w:pos="8280"/>
          <w:tab w:val="right" w:pos="9639"/>
        </w:tabs>
        <w:ind w:right="2"/>
        <w:rPr>
          <w:b/>
          <w:bCs/>
          <w:sz w:val="28"/>
        </w:rPr>
      </w:pPr>
      <w:r w:rsidRPr="00695123">
        <w:rPr>
          <w:b/>
          <w:bCs/>
          <w:sz w:val="28"/>
        </w:rPr>
        <w:t>3GPP TSG RAN WG1 #103-e</w:t>
      </w:r>
      <w:r w:rsidRPr="00695123">
        <w:rPr>
          <w:b/>
          <w:bCs/>
          <w:sz w:val="28"/>
        </w:rPr>
        <w:tab/>
      </w:r>
      <w:r w:rsidRPr="00695123">
        <w:rPr>
          <w:b/>
          <w:bCs/>
          <w:sz w:val="28"/>
        </w:rPr>
        <w:tab/>
        <w:t xml:space="preserve">    </w:t>
      </w:r>
      <w:r w:rsidRPr="00695123">
        <w:rPr>
          <w:b/>
          <w:bCs/>
          <w:sz w:val="28"/>
        </w:rPr>
        <w:tab/>
        <w:t>R1-20</w:t>
      </w:r>
      <w:r w:rsidR="00894C8F">
        <w:rPr>
          <w:b/>
          <w:bCs/>
          <w:sz w:val="28"/>
        </w:rPr>
        <w:t>08501</w:t>
      </w:r>
    </w:p>
    <w:p w14:paraId="468022D7" w14:textId="285649F0" w:rsidR="005C41F1" w:rsidRPr="00695123" w:rsidRDefault="00695123" w:rsidP="00695123">
      <w:pPr>
        <w:spacing w:afterLines="50" w:after="120"/>
        <w:ind w:left="1985" w:hanging="1985"/>
        <w:rPr>
          <w:b/>
          <w:sz w:val="28"/>
          <w:szCs w:val="28"/>
        </w:rPr>
      </w:pPr>
      <w:r w:rsidRPr="00695123">
        <w:rPr>
          <w:rFonts w:eastAsia="MS Mincho"/>
          <w:b/>
          <w:bCs/>
          <w:sz w:val="28"/>
          <w:lang w:eastAsia="ja-JP"/>
        </w:rPr>
        <w:t>e-Meeting, October 26</w:t>
      </w:r>
      <w:r w:rsidRPr="00695123">
        <w:rPr>
          <w:rFonts w:eastAsia="MS Mincho"/>
          <w:b/>
          <w:bCs/>
          <w:sz w:val="28"/>
          <w:vertAlign w:val="superscript"/>
          <w:lang w:eastAsia="ja-JP"/>
        </w:rPr>
        <w:t>th</w:t>
      </w:r>
      <w:r w:rsidRPr="00695123">
        <w:rPr>
          <w:rFonts w:eastAsia="MS Mincho"/>
          <w:b/>
          <w:bCs/>
          <w:sz w:val="28"/>
          <w:lang w:eastAsia="ja-JP"/>
        </w:rPr>
        <w:t xml:space="preserve"> – November 13</w:t>
      </w:r>
      <w:r w:rsidRPr="00695123">
        <w:rPr>
          <w:rFonts w:eastAsia="MS Mincho"/>
          <w:b/>
          <w:bCs/>
          <w:sz w:val="28"/>
          <w:vertAlign w:val="superscript"/>
          <w:lang w:eastAsia="ja-JP"/>
        </w:rPr>
        <w:t>th</w:t>
      </w:r>
      <w:r w:rsidRPr="00695123">
        <w:rPr>
          <w:rFonts w:eastAsia="MS Mincho"/>
          <w:b/>
          <w:bCs/>
          <w:sz w:val="28"/>
          <w:lang w:eastAsia="ja-JP"/>
        </w:rPr>
        <w:t>, 2020</w:t>
      </w:r>
    </w:p>
    <w:p w14:paraId="301899BC" w14:textId="747C2C8A"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.1</w:t>
      </w:r>
    </w:p>
    <w:p w14:paraId="3ACE8376" w14:textId="5657FC71" w:rsidR="003C20D3" w:rsidRPr="007D4109" w:rsidRDefault="0050043D" w:rsidP="004366E0">
      <w:pPr>
        <w:spacing w:afterLines="50" w:after="120"/>
        <w:ind w:left="1985" w:hanging="1985"/>
        <w:rPr>
          <w:b/>
          <w:sz w:val="28"/>
          <w:szCs w:val="28"/>
        </w:rPr>
      </w:pPr>
      <w:r>
        <w:rPr>
          <w:b/>
          <w:sz w:val="28"/>
          <w:szCs w:val="28"/>
        </w:rPr>
        <w:t>Title:</w:t>
      </w:r>
      <w:r>
        <w:rPr>
          <w:b/>
          <w:sz w:val="28"/>
          <w:szCs w:val="28"/>
        </w:rPr>
        <w:tab/>
      </w:r>
      <w:r w:rsidR="007A41F6" w:rsidRPr="007A41F6">
        <w:rPr>
          <w:b/>
          <w:sz w:val="28"/>
          <w:szCs w:val="28"/>
        </w:rPr>
        <w:t>On required changes to NR using existing DL/UL NR waveform for operation in 60GHz ban</w:t>
      </w:r>
      <w:r w:rsidR="007A41F6">
        <w:rPr>
          <w:b/>
          <w:sz w:val="28"/>
          <w:szCs w:val="28"/>
        </w:rPr>
        <w:t>d</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A81FFD"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4C6D462" w14:textId="545EBCB6" w:rsidR="00FC61DB" w:rsidRDefault="002259D0" w:rsidP="00FC61DB">
      <w:pPr>
        <w:adjustRightInd w:val="0"/>
        <w:snapToGrid w:val="0"/>
        <w:spacing w:afterLines="50" w:after="120"/>
        <w:jc w:val="both"/>
        <w:rPr>
          <w:szCs w:val="22"/>
        </w:rPr>
      </w:pPr>
      <w:r>
        <w:rPr>
          <w:szCs w:val="22"/>
        </w:rPr>
        <w:t xml:space="preserve">In </w:t>
      </w:r>
      <w:r w:rsidR="000C39EA">
        <w:rPr>
          <w:szCs w:val="22"/>
        </w:rPr>
        <w:t>3GPP RAN meeting #86</w:t>
      </w:r>
      <w:r w:rsidR="00FC61DB" w:rsidRPr="0052558F">
        <w:rPr>
          <w:szCs w:val="22"/>
        </w:rPr>
        <w:t xml:space="preserve"> meeting</w:t>
      </w:r>
      <w:r w:rsidR="00841883">
        <w:rPr>
          <w:szCs w:val="22"/>
        </w:rPr>
        <w:t xml:space="preserve">, a new SID is agreed on the study of supporting NR from 52.6GHz to 71GHz </w:t>
      </w:r>
      <w:r w:rsidR="00841883">
        <w:rPr>
          <w:szCs w:val="22"/>
        </w:rPr>
        <w:fldChar w:fldCharType="begin"/>
      </w:r>
      <w:r w:rsidR="00841883">
        <w:rPr>
          <w:szCs w:val="22"/>
        </w:rPr>
        <w:instrText xml:space="preserve"> REF _Ref40359806 \r \h </w:instrText>
      </w:r>
      <w:r w:rsidR="00841883">
        <w:rPr>
          <w:szCs w:val="22"/>
        </w:rPr>
      </w:r>
      <w:r w:rsidR="00841883">
        <w:rPr>
          <w:szCs w:val="22"/>
        </w:rPr>
        <w:fldChar w:fldCharType="separate"/>
      </w:r>
      <w:r w:rsidR="00B60F19">
        <w:rPr>
          <w:szCs w:val="22"/>
        </w:rPr>
        <w:t>[1]</w:t>
      </w:r>
      <w:r w:rsidR="00841883">
        <w:rPr>
          <w:szCs w:val="22"/>
        </w:rPr>
        <w:fldChar w:fldCharType="end"/>
      </w:r>
      <w:r w:rsidR="00841883">
        <w:rPr>
          <w:szCs w:val="22"/>
        </w:rPr>
        <w:t xml:space="preserve">. </w:t>
      </w:r>
      <w:r w:rsidR="00F628FE">
        <w:rPr>
          <w:szCs w:val="22"/>
        </w:rPr>
        <w:t>The objective covers the study of required changes to NR using existing DL/UL NR waveform to support operation between 52.6 GHz and 71GHz. This further breaks down into two categories:</w:t>
      </w:r>
    </w:p>
    <w:p w14:paraId="151040F1" w14:textId="77777777" w:rsidR="00841883" w:rsidRPr="003A76B1" w:rsidRDefault="00841883" w:rsidP="00F628FE">
      <w:pPr>
        <w:numPr>
          <w:ilvl w:val="0"/>
          <w:numId w:val="44"/>
        </w:numPr>
        <w:overflowPunct w:val="0"/>
        <w:autoSpaceDE w:val="0"/>
        <w:autoSpaceDN w:val="0"/>
        <w:adjustRightInd w:val="0"/>
        <w:rPr>
          <w:bCs/>
        </w:rPr>
      </w:pPr>
      <w:r w:rsidRPr="003A76B1">
        <w:rPr>
          <w:bCs/>
        </w:rPr>
        <w:t>Study of applicable numerology including subcarrier spacing, channel BW (including maximum BW), and their impact to FR2 physical layer design to support system functionality considering practical RF impairments [RAN1, RAN4].</w:t>
      </w:r>
    </w:p>
    <w:p w14:paraId="2B981F0A" w14:textId="77777777" w:rsidR="00841883" w:rsidRPr="003A76B1" w:rsidRDefault="00841883" w:rsidP="00F628FE">
      <w:pPr>
        <w:numPr>
          <w:ilvl w:val="0"/>
          <w:numId w:val="44"/>
        </w:numPr>
        <w:overflowPunct w:val="0"/>
        <w:autoSpaceDE w:val="0"/>
        <w:autoSpaceDN w:val="0"/>
        <w:adjustRightInd w:val="0"/>
        <w:rPr>
          <w:bCs/>
        </w:rPr>
      </w:pPr>
      <w:r w:rsidRPr="003A76B1">
        <w:rPr>
          <w:lang w:eastAsia="ja-JP"/>
        </w:rPr>
        <w:t>Identify potential critical problems to physical signal/channels, if any [RAN1].</w:t>
      </w:r>
    </w:p>
    <w:p w14:paraId="02219E3F" w14:textId="7B3C85BC" w:rsidR="004E01EA" w:rsidRPr="0052558F" w:rsidRDefault="00304DC0" w:rsidP="009C1424">
      <w:pPr>
        <w:spacing w:beforeLines="100" w:before="240" w:afterLines="50" w:after="120"/>
        <w:jc w:val="both"/>
        <w:rPr>
          <w:szCs w:val="22"/>
        </w:rPr>
      </w:pPr>
      <w:r>
        <w:rPr>
          <w:szCs w:val="22"/>
        </w:rPr>
        <w:t>In order to study the impact of practical RF impairments, evaluation assumptions for both LLS and SLS simulations are discussed and agreed in 3GPP RAN1 e-meeting</w:t>
      </w:r>
      <w:r w:rsidR="00DF27EE">
        <w:rPr>
          <w:szCs w:val="22"/>
        </w:rPr>
        <w:t xml:space="preserve"> #101 </w:t>
      </w:r>
      <w:r w:rsidR="00DF27EE">
        <w:rPr>
          <w:szCs w:val="22"/>
        </w:rPr>
        <w:fldChar w:fldCharType="begin"/>
      </w:r>
      <w:r w:rsidR="00DF27EE">
        <w:rPr>
          <w:szCs w:val="22"/>
        </w:rPr>
        <w:instrText xml:space="preserve"> REF _Ref47698919 \n \h </w:instrText>
      </w:r>
      <w:r w:rsidR="00DF27EE">
        <w:rPr>
          <w:szCs w:val="22"/>
        </w:rPr>
      </w:r>
      <w:r w:rsidR="00DF27EE">
        <w:rPr>
          <w:szCs w:val="22"/>
        </w:rPr>
        <w:fldChar w:fldCharType="separate"/>
      </w:r>
      <w:r w:rsidR="00B60F19">
        <w:rPr>
          <w:szCs w:val="22"/>
        </w:rPr>
        <w:t>[5]</w:t>
      </w:r>
      <w:r w:rsidR="00DF27EE">
        <w:rPr>
          <w:szCs w:val="22"/>
        </w:rPr>
        <w:fldChar w:fldCharType="end"/>
      </w:r>
      <w:r>
        <w:rPr>
          <w:szCs w:val="22"/>
        </w:rPr>
        <w:t xml:space="preserve">. </w:t>
      </w:r>
      <w:r w:rsidR="00EC23C7">
        <w:rPr>
          <w:szCs w:val="22"/>
        </w:rPr>
        <w:t>Based on the agreed evaluation assumption</w:t>
      </w:r>
      <w:r w:rsidR="006A2454">
        <w:rPr>
          <w:szCs w:val="22"/>
        </w:rPr>
        <w:t>s</w:t>
      </w:r>
      <w:r w:rsidR="00EC23C7">
        <w:rPr>
          <w:szCs w:val="22"/>
        </w:rPr>
        <w:t xml:space="preserve">, </w:t>
      </w:r>
      <w:r w:rsidR="006A2454">
        <w:rPr>
          <w:szCs w:val="22"/>
        </w:rPr>
        <w:t xml:space="preserve">in the first part of this contribution, </w:t>
      </w:r>
      <w:r w:rsidR="00EC23C7">
        <w:rPr>
          <w:szCs w:val="22"/>
        </w:rPr>
        <w:t xml:space="preserve">we will evaluate whether </w:t>
      </w:r>
      <w:r w:rsidR="006A2454">
        <w:rPr>
          <w:szCs w:val="22"/>
        </w:rPr>
        <w:t xml:space="preserve">or not the </w:t>
      </w:r>
      <w:r w:rsidR="00EC23C7">
        <w:rPr>
          <w:szCs w:val="22"/>
        </w:rPr>
        <w:t>FR2 numerology and PHY design</w:t>
      </w:r>
      <w:r w:rsidR="006A2454">
        <w:rPr>
          <w:szCs w:val="22"/>
        </w:rPr>
        <w:t xml:space="preserve"> could handle the RF impairments</w:t>
      </w:r>
      <w:r w:rsidR="005E5326">
        <w:rPr>
          <w:szCs w:val="22"/>
        </w:rPr>
        <w:t xml:space="preserve"> in</w:t>
      </w:r>
      <w:r w:rsidR="006A2454">
        <w:rPr>
          <w:szCs w:val="22"/>
        </w:rPr>
        <w:t xml:space="preserve"> frequency band between 52.6GHz and 71GHz.</w:t>
      </w:r>
      <w:r w:rsidR="00FF78EA">
        <w:rPr>
          <w:szCs w:val="22"/>
        </w:rPr>
        <w:t xml:space="preserve"> In the second part of this contribution, based on the discussion in 3GPP RAN1 e-meeting #102 e, we provide our views on the required change</w:t>
      </w:r>
      <w:r w:rsidR="00B60F19">
        <w:rPr>
          <w:szCs w:val="22"/>
        </w:rPr>
        <w:t>s</w:t>
      </w:r>
      <w:r w:rsidR="00FF78EA">
        <w:rPr>
          <w:szCs w:val="22"/>
        </w:rPr>
        <w:t xml:space="preserve"> to NR signals/channels for the new SCSs.</w:t>
      </w:r>
    </w:p>
    <w:p w14:paraId="479BFEA9" w14:textId="165C02DE" w:rsidR="00494DC2" w:rsidRPr="007D4109" w:rsidRDefault="00A81FFD"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3704A069" w:rsidR="004366E0" w:rsidRPr="0014253C" w:rsidRDefault="005B187A" w:rsidP="004366E0">
      <w:pPr>
        <w:pStyle w:val="ListParagraph"/>
        <w:numPr>
          <w:ilvl w:val="0"/>
          <w:numId w:val="5"/>
        </w:numPr>
        <w:spacing w:beforeLines="50" w:before="120" w:afterLines="50" w:after="120"/>
        <w:contextualSpacing w:val="0"/>
        <w:outlineLvl w:val="0"/>
        <w:rPr>
          <w:rFonts w:eastAsia="SimSun"/>
          <w:b/>
          <w:sz w:val="28"/>
        </w:rPr>
      </w:pPr>
      <w:bookmarkStart w:id="0" w:name="_Ref494794648"/>
      <w:r>
        <w:rPr>
          <w:b/>
          <w:sz w:val="28"/>
        </w:rPr>
        <w:t>Numerology Considerations</w:t>
      </w:r>
    </w:p>
    <w:p w14:paraId="39830AF1" w14:textId="7593BE2C" w:rsidR="00EC7CAA" w:rsidRDefault="006834F7" w:rsidP="00EC7CAA">
      <w:pPr>
        <w:pStyle w:val="ListParagraph"/>
        <w:spacing w:beforeLines="50" w:before="120" w:afterLines="50" w:after="120"/>
        <w:ind w:left="0"/>
        <w:contextualSpacing w:val="0"/>
        <w:jc w:val="both"/>
      </w:pPr>
      <w:r>
        <w:t xml:space="preserve">When operating at high frequency band such as 52.6GHz to 71GHz band, it is desirable to use larger subcarrier spacing in an OFDM system to reduce the impact of RF impairments such as phase noise. In current NR framework, </w:t>
      </w:r>
      <w:r w:rsidR="006B2E86">
        <w:t>the largest subcarrier spacing</w:t>
      </w:r>
      <w:r w:rsidR="00D0637B">
        <w:t xml:space="preserve"> </w:t>
      </w:r>
      <w:r w:rsidR="006B2E86">
        <w:t>available when operating in FR2 is 120 KHz</w:t>
      </w:r>
      <w:r w:rsidR="002C64F0">
        <w:t xml:space="preserve"> </w:t>
      </w:r>
      <w:r w:rsidR="002C64F0">
        <w:fldChar w:fldCharType="begin"/>
      </w:r>
      <w:r w:rsidR="002C64F0">
        <w:instrText xml:space="preserve"> REF _Ref40449526 \n \h </w:instrText>
      </w:r>
      <w:r w:rsidR="002C64F0">
        <w:fldChar w:fldCharType="separate"/>
      </w:r>
      <w:r w:rsidR="00B60F19">
        <w:t>[2]</w:t>
      </w:r>
      <w:r w:rsidR="002C64F0">
        <w:fldChar w:fldCharType="end"/>
      </w:r>
      <w:r w:rsidR="00D0637B">
        <w:t xml:space="preserve">. </w:t>
      </w:r>
      <w:r w:rsidR="0078701F">
        <w:t>For channel bandwidth, NR currently supports up to 400MHz (SCS=120</w:t>
      </w:r>
      <w:r w:rsidR="003A76B1">
        <w:t xml:space="preserve"> </w:t>
      </w:r>
      <w:r w:rsidR="0078701F">
        <w:t xml:space="preserve">KHz,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=275</m:t>
        </m:r>
      </m:oMath>
      <w:r w:rsidR="0078701F">
        <w:t>)</w:t>
      </w:r>
      <w:r w:rsidR="00234B24">
        <w:t xml:space="preserve"> for a single carrier</w:t>
      </w:r>
      <w:r w:rsidR="00703BAC">
        <w:t>, corresponding to an OFDM FFT size of 4096. Note</w:t>
      </w:r>
      <w:r w:rsidR="005306FF">
        <w:t xml:space="preserve"> that subcarrier spacing of 240</w:t>
      </w:r>
      <w:r w:rsidR="00703BAC">
        <w:t>KHz is also defined in NR, but is only applicable to SSB/PBCH currently.</w:t>
      </w:r>
    </w:p>
    <w:p w14:paraId="414C961F" w14:textId="6972D59C" w:rsidR="00FC590E" w:rsidRDefault="00C10410" w:rsidP="00EC7CAA">
      <w:pPr>
        <w:pStyle w:val="ListParagraph"/>
        <w:spacing w:beforeLines="50" w:before="120" w:afterLines="50" w:after="120"/>
        <w:ind w:left="0"/>
        <w:contextualSpacing w:val="0"/>
        <w:jc w:val="both"/>
      </w:pPr>
      <w:r>
        <w:t xml:space="preserve">According to our pervious DL simulation results </w:t>
      </w:r>
      <w:r w:rsidR="003A76B1">
        <w:fldChar w:fldCharType="begin"/>
      </w:r>
      <w:r w:rsidR="003A76B1">
        <w:instrText xml:space="preserve"> REF _Ref47698976 \n \h </w:instrText>
      </w:r>
      <w:r w:rsidR="003A76B1">
        <w:fldChar w:fldCharType="separate"/>
      </w:r>
      <w:r w:rsidR="00B60F19">
        <w:t>[6]</w:t>
      </w:r>
      <w:r w:rsidR="003A76B1">
        <w:fldChar w:fldCharType="end"/>
      </w:r>
      <w:r>
        <w:t xml:space="preserve">, assuming 120 KHz subcarrier spacing, the EVM at the </w:t>
      </w:r>
      <w:r w:rsidR="00A6031C">
        <w:t>UE (receiver) side</w:t>
      </w:r>
      <w:r>
        <w:t xml:space="preserve"> can only support up to </w:t>
      </w:r>
      <w:r w:rsidR="00EE0981">
        <w:t>16QAM</w:t>
      </w:r>
      <w:r>
        <w:t xml:space="preserve"> operation </w:t>
      </w:r>
      <w:r w:rsidR="00EE0981">
        <w:t xml:space="preserve">(barely) </w:t>
      </w:r>
      <w:r>
        <w:t xml:space="preserve">when phase noise </w:t>
      </w:r>
      <w:r w:rsidR="00DC2D6B">
        <w:fldChar w:fldCharType="begin"/>
      </w:r>
      <w:r w:rsidR="00DC2D6B">
        <w:instrText xml:space="preserve"> REF _Ref40449707 \n \h </w:instrText>
      </w:r>
      <w:r w:rsidR="00DC2D6B">
        <w:fldChar w:fldCharType="separate"/>
      </w:r>
      <w:r w:rsidR="00B60F19">
        <w:t>[4]</w:t>
      </w:r>
      <w:r w:rsidR="00DC2D6B">
        <w:fldChar w:fldCharType="end"/>
      </w:r>
      <w:r w:rsidR="00DC2D6B">
        <w:t xml:space="preserve"> </w:t>
      </w:r>
      <w:r>
        <w:t xml:space="preserve">is applied. </w:t>
      </w:r>
      <w:r w:rsidR="00EE0981">
        <w:t xml:space="preserve">In </w:t>
      </w:r>
      <w:r w:rsidR="00EE0981">
        <w:fldChar w:fldCharType="begin"/>
      </w:r>
      <w:r w:rsidR="00EE0981">
        <w:instrText xml:space="preserve"> REF _Ref53657233 \n \h </w:instrText>
      </w:r>
      <w:r w:rsidR="00EE0981">
        <w:fldChar w:fldCharType="separate"/>
      </w:r>
      <w:r w:rsidR="00B60F19">
        <w:t>[8]</w:t>
      </w:r>
      <w:r w:rsidR="00EE0981">
        <w:fldChar w:fldCharType="end"/>
      </w:r>
      <w:r w:rsidR="00EE0981">
        <w:t>, it is further confirmed that f</w:t>
      </w:r>
      <w:r w:rsidR="00EE0981" w:rsidRPr="00EE0981">
        <w:t>or subcarrier spacing of 120 KHz, large performance degradation and error floors are observed in the case of MCS = 22 (64QAM) for both TDL-A and TDL-D channels</w:t>
      </w:r>
      <w:r w:rsidR="00DC2D6B">
        <w:t>. Under the same conditions, for subcarrier spacing of 960</w:t>
      </w:r>
      <w:r w:rsidR="00DC2D6B" w:rsidRPr="00EE0981">
        <w:t xml:space="preserve"> KHz</w:t>
      </w:r>
      <w:r w:rsidR="00DC2D6B">
        <w:t>, performance degradations are found to be negligible</w:t>
      </w:r>
      <w:r w:rsidR="00EE0981" w:rsidRPr="00EE0981">
        <w:t>.</w:t>
      </w:r>
      <w:r w:rsidR="00EE0981">
        <w:t xml:space="preserve"> Note that in both references</w:t>
      </w:r>
      <w:r w:rsidR="00DC2D6B">
        <w:t xml:space="preserve"> mentioned above</w:t>
      </w:r>
      <w:r w:rsidR="00EE0981">
        <w:t xml:space="preserve">, the receiver is assumed to perform only common phase error (CPE) compensation using R-15 NR PTRS. </w:t>
      </w:r>
      <w:r w:rsidR="006760DE">
        <w:t>This leads to two possible options moving forward:</w:t>
      </w:r>
    </w:p>
    <w:p w14:paraId="601E821B" w14:textId="385F6E5C" w:rsidR="006760DE" w:rsidRDefault="006760DE" w:rsidP="006760DE">
      <w:pPr>
        <w:pStyle w:val="ListParagraph"/>
        <w:numPr>
          <w:ilvl w:val="0"/>
          <w:numId w:val="45"/>
        </w:numPr>
        <w:spacing w:beforeLines="50" w:before="120" w:afterLines="50" w:after="120"/>
        <w:contextualSpacing w:val="0"/>
        <w:jc w:val="both"/>
      </w:pPr>
      <w:r>
        <w:t>Use R-15 NR FR2 numerology and PHY designs, together with advanced receiver processing (e.g., ICI equalization instead of CPE compensation) to enable reliable operation at all MCS levels.</w:t>
      </w:r>
    </w:p>
    <w:p w14:paraId="05A979AC" w14:textId="6657DA78" w:rsidR="006760DE" w:rsidRDefault="006760DE" w:rsidP="006760DE">
      <w:pPr>
        <w:pStyle w:val="ListParagraph"/>
        <w:numPr>
          <w:ilvl w:val="0"/>
          <w:numId w:val="45"/>
        </w:numPr>
        <w:spacing w:beforeLines="50" w:before="120" w:afterLines="50" w:after="120"/>
        <w:contextualSpacing w:val="0"/>
        <w:jc w:val="both"/>
      </w:pPr>
      <w:r>
        <w:t>Adopt new numerologies (e.g., 960KHz subcarrier spacing) and the corresponding PHY designs to enable reliable operation at all MCS levels.</w:t>
      </w:r>
    </w:p>
    <w:p w14:paraId="0A611D86" w14:textId="52564DE8" w:rsidR="00C10410" w:rsidRDefault="006760DE" w:rsidP="00EC7CAA">
      <w:pPr>
        <w:pStyle w:val="ListParagraph"/>
        <w:spacing w:beforeLines="50" w:before="120" w:afterLines="50" w:after="120"/>
        <w:ind w:left="0"/>
        <w:contextualSpacing w:val="0"/>
        <w:jc w:val="both"/>
        <w:rPr>
          <w:szCs w:val="22"/>
        </w:rPr>
      </w:pPr>
      <w:r>
        <w:lastRenderedPageBreak/>
        <w:t xml:space="preserve">It has been confirmed by contributions from multiple companies </w:t>
      </w:r>
      <w:r w:rsidR="005E5326">
        <w:t xml:space="preserve">(e.g., </w:t>
      </w:r>
      <w:r w:rsidR="005E5326">
        <w:fldChar w:fldCharType="begin"/>
      </w:r>
      <w:r w:rsidR="005E5326">
        <w:instrText xml:space="preserve"> REF _Ref53657233 \n \h </w:instrText>
      </w:r>
      <w:r w:rsidR="005E5326">
        <w:fldChar w:fldCharType="separate"/>
      </w:r>
      <w:r w:rsidR="00B60F19">
        <w:t>[8]</w:t>
      </w:r>
      <w:r w:rsidR="005E5326">
        <w:fldChar w:fldCharType="end"/>
      </w:r>
      <w:r w:rsidR="005E5326">
        <w:t xml:space="preserve">) </w:t>
      </w:r>
      <w:r>
        <w:t xml:space="preserve">that option 2 </w:t>
      </w:r>
      <w:r w:rsidR="005E5326">
        <w:t xml:space="preserve">could minimize the performance impacts caused by RF impairments </w:t>
      </w:r>
      <w:r w:rsidR="005E5326">
        <w:rPr>
          <w:szCs w:val="22"/>
        </w:rPr>
        <w:t xml:space="preserve">in frequency band between 52.6GHz and 71GHz. </w:t>
      </w:r>
      <w:r w:rsidR="00FE38DC">
        <w:rPr>
          <w:szCs w:val="22"/>
        </w:rPr>
        <w:t xml:space="preserve">However, it is also generally agreed that in order to support the new numerology, changes and enhancements to </w:t>
      </w:r>
      <w:r w:rsidR="0021718D">
        <w:rPr>
          <w:szCs w:val="22"/>
        </w:rPr>
        <w:t>current NR physical channels and signals are needed, as will be discussed in the second part of this contribution.</w:t>
      </w:r>
    </w:p>
    <w:p w14:paraId="53F7ADF9" w14:textId="33E76D74" w:rsidR="0021718D" w:rsidRDefault="0021718D" w:rsidP="00EC7CAA">
      <w:pPr>
        <w:pStyle w:val="ListParagraph"/>
        <w:spacing w:beforeLines="50" w:before="120" w:afterLines="50" w:after="120"/>
        <w:ind w:left="0"/>
        <w:contextualSpacing w:val="0"/>
        <w:jc w:val="both"/>
        <w:rPr>
          <w:szCs w:val="22"/>
        </w:rPr>
      </w:pPr>
      <w:r>
        <w:t xml:space="preserve">Option 1, on the other hand, is less considered by companies so far, since the effort relies </w:t>
      </w:r>
      <w:r w:rsidR="00DD4406">
        <w:t xml:space="preserve">mostly </w:t>
      </w:r>
      <w:r>
        <w:t>on advanced receiver techniques that is transparent to</w:t>
      </w:r>
      <w:bookmarkStart w:id="1" w:name="_GoBack"/>
      <w:bookmarkEnd w:id="1"/>
      <w:r>
        <w:t xml:space="preserve"> NR specifications.</w:t>
      </w:r>
      <w:r w:rsidR="00904ADE">
        <w:t xml:space="preserve"> However, if proved feasible, option 1 would allow minimum changes to the current NR specification while still be able to support operation in </w:t>
      </w:r>
      <w:r w:rsidR="00904ADE">
        <w:rPr>
          <w:szCs w:val="22"/>
        </w:rPr>
        <w:t>frequency band between 52.6GHz and 71GHz.</w:t>
      </w:r>
    </w:p>
    <w:p w14:paraId="478AAE31" w14:textId="3CED0A2C" w:rsidR="005B187A" w:rsidRDefault="005B187A" w:rsidP="00EC7CAA">
      <w:pPr>
        <w:pStyle w:val="ListParagraph"/>
        <w:spacing w:beforeLines="50" w:before="120" w:afterLines="50" w:after="120"/>
        <w:ind w:left="0"/>
        <w:contextualSpacing w:val="0"/>
        <w:jc w:val="both"/>
        <w:rPr>
          <w:szCs w:val="22"/>
        </w:rPr>
      </w:pPr>
      <w:r>
        <w:rPr>
          <w:szCs w:val="22"/>
        </w:rPr>
        <w:t>In the following section, we will focus on a</w:t>
      </w:r>
      <w:r w:rsidR="00A81FFD">
        <w:rPr>
          <w:szCs w:val="22"/>
        </w:rPr>
        <w:t>ss</w:t>
      </w:r>
      <w:r>
        <w:rPr>
          <w:szCs w:val="22"/>
        </w:rPr>
        <w:t>essing the feasibility of option 1.</w:t>
      </w:r>
    </w:p>
    <w:p w14:paraId="748794EB" w14:textId="5D862D61" w:rsidR="005B187A" w:rsidRPr="0014253C" w:rsidRDefault="005B187A" w:rsidP="005B187A">
      <w:pPr>
        <w:pStyle w:val="ListParagraph"/>
        <w:numPr>
          <w:ilvl w:val="0"/>
          <w:numId w:val="5"/>
        </w:numPr>
        <w:spacing w:beforeLines="50" w:before="120" w:afterLines="50" w:after="120"/>
        <w:contextualSpacing w:val="0"/>
        <w:outlineLvl w:val="0"/>
        <w:rPr>
          <w:rFonts w:eastAsia="SimSun"/>
          <w:b/>
          <w:sz w:val="28"/>
        </w:rPr>
      </w:pPr>
      <w:r>
        <w:rPr>
          <w:b/>
          <w:sz w:val="28"/>
        </w:rPr>
        <w:t>Inter-Carrier-Interference Equalization based on NR PTRS</w:t>
      </w:r>
    </w:p>
    <w:p w14:paraId="58B27CEF" w14:textId="4F2341CB" w:rsidR="005B187A" w:rsidRDefault="005B187A" w:rsidP="00EC7CAA">
      <w:pPr>
        <w:pStyle w:val="ListParagraph"/>
        <w:spacing w:beforeLines="50" w:before="120" w:afterLines="50" w:after="120"/>
        <w:ind w:left="0"/>
        <w:contextualSpacing w:val="0"/>
        <w:jc w:val="both"/>
      </w:pPr>
      <w:r>
        <w:t xml:space="preserve">The impact of phase noise on </w:t>
      </w:r>
      <w:r w:rsidR="006B39AD">
        <w:t>a modulated OFDM subcarrier can be modeled as:</w:t>
      </w:r>
    </w:p>
    <w:p w14:paraId="4AB9A607" w14:textId="1E69C54E" w:rsidR="006B39AD" w:rsidRPr="006B39AD" w:rsidRDefault="00A81FFD" w:rsidP="00EC7CAA">
      <w:pPr>
        <w:pStyle w:val="ListParagraph"/>
        <w:spacing w:beforeLines="50" w:before="120" w:afterLines="50" w:after="120"/>
        <w:ind w:left="0"/>
        <w:contextualSpacing w:val="0"/>
        <w:jc w:val="both"/>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y</m:t>
              </m:r>
            </m:e>
            <m:sub>
              <m:r>
                <w:rPr>
                  <w:rFonts w:ascii="Cambria Math" w:eastAsiaTheme="minorEastAsia" w:hAnsi="Cambria Math" w:cstheme="minorBidi"/>
                  <w:color w:val="000000" w:themeColor="text1"/>
                  <w:kern w:val="24"/>
                </w:rPr>
                <m:t>m</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α</m:t>
              </m:r>
            </m:e>
            <m:sub>
              <m:r>
                <w:rPr>
                  <w:rFonts w:ascii="Cambria Math" w:eastAsiaTheme="minorEastAsia" w:hAnsi="Cambria Math" w:cstheme="minorBidi"/>
                  <w:color w:val="000000" w:themeColor="text1"/>
                  <w:kern w:val="24"/>
                </w:rPr>
                <m:t>0</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h</m:t>
              </m:r>
            </m:e>
            <m:sub>
              <m:r>
                <w:rPr>
                  <w:rFonts w:ascii="Cambria Math" w:eastAsiaTheme="minorEastAsia" w:hAnsi="Cambria Math" w:cstheme="minorBidi"/>
                  <w:color w:val="000000" w:themeColor="text1"/>
                  <w:kern w:val="24"/>
                </w:rPr>
                <m:t>m</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x</m:t>
              </m:r>
            </m:e>
            <m:sub>
              <m:r>
                <w:rPr>
                  <w:rFonts w:ascii="Cambria Math" w:eastAsiaTheme="minorEastAsia" w:hAnsi="Cambria Math" w:cstheme="minorBidi"/>
                  <w:color w:val="000000" w:themeColor="text1"/>
                  <w:kern w:val="24"/>
                </w:rPr>
                <m:t>m</m:t>
              </m:r>
            </m:sub>
          </m:sSub>
          <m:r>
            <w:rPr>
              <w:rFonts w:ascii="Cambria Math" w:eastAsiaTheme="minorEastAsia" w:hAnsi="Cambria Math" w:cstheme="minorBidi"/>
              <w:color w:val="000000" w:themeColor="text1"/>
              <w:kern w:val="24"/>
            </w:rPr>
            <m:t>+</m:t>
          </m:r>
          <m:nary>
            <m:naryPr>
              <m:chr m:val="∑"/>
              <m:supHide m:val="1"/>
              <m:ctrlPr>
                <w:rPr>
                  <w:rFonts w:ascii="Cambria Math" w:eastAsiaTheme="minorEastAsia" w:hAnsi="Cambria Math" w:cstheme="minorBidi"/>
                  <w:i/>
                  <w:iCs/>
                  <w:color w:val="000000" w:themeColor="text1"/>
                  <w:kern w:val="24"/>
                </w:rPr>
              </m:ctrlPr>
            </m:naryPr>
            <m:sub>
              <m:r>
                <w:rPr>
                  <w:rFonts w:ascii="Cambria Math" w:eastAsiaTheme="minorEastAsia" w:hAnsi="Cambria Math" w:cstheme="minorBidi"/>
                  <w:color w:val="000000" w:themeColor="text1"/>
                  <w:kern w:val="24"/>
                </w:rPr>
                <m:t>k:k</m:t>
              </m:r>
              <m:r>
                <w:rPr>
                  <w:rFonts w:ascii="Cambria Math" w:eastAsia="Cambria Math" w:hAnsi="Cambria Math" w:cstheme="minorBidi"/>
                  <w:color w:val="000000" w:themeColor="text1"/>
                  <w:kern w:val="24"/>
                </w:rPr>
                <m:t>≠m</m:t>
              </m:r>
            </m:sub>
            <m:sup/>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α</m:t>
                  </m:r>
                </m:e>
                <m:sub>
                  <m:r>
                    <w:rPr>
                      <w:rFonts w:ascii="Cambria Math" w:eastAsiaTheme="minorEastAsia" w:hAnsi="Cambria Math" w:cstheme="minorBidi"/>
                      <w:color w:val="000000" w:themeColor="text1"/>
                      <w:kern w:val="24"/>
                    </w:rPr>
                    <m:t>k-m</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h</m:t>
                  </m:r>
                </m:e>
                <m:sub>
                  <m:r>
                    <w:rPr>
                      <w:rFonts w:ascii="Cambria Math" w:eastAsiaTheme="minorEastAsia" w:hAnsi="Cambria Math" w:cstheme="minorBidi"/>
                      <w:color w:val="000000" w:themeColor="text1"/>
                      <w:kern w:val="24"/>
                    </w:rPr>
                    <m:t>k</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x</m:t>
                  </m:r>
                </m:e>
                <m:sub>
                  <m:r>
                    <w:rPr>
                      <w:rFonts w:ascii="Cambria Math" w:eastAsiaTheme="minorEastAsia" w:hAnsi="Cambria Math" w:cstheme="minorBidi"/>
                      <w:color w:val="000000" w:themeColor="text1"/>
                      <w:kern w:val="24"/>
                    </w:rPr>
                    <m:t>k</m:t>
                  </m:r>
                </m:sub>
              </m:sSub>
            </m:e>
          </m:nary>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n</m:t>
              </m:r>
            </m:e>
            <m:sub>
              <m:r>
                <w:rPr>
                  <w:rFonts w:ascii="Cambria Math" w:eastAsiaTheme="minorEastAsia" w:hAnsi="Cambria Math" w:cstheme="minorBidi"/>
                  <w:color w:val="000000" w:themeColor="text1"/>
                  <w:kern w:val="24"/>
                </w:rPr>
                <m:t>m</m:t>
              </m:r>
            </m:sub>
          </m:sSub>
        </m:oMath>
      </m:oMathPara>
    </w:p>
    <w:p w14:paraId="545D3C5E" w14:textId="18AAF71D" w:rsidR="006B39AD" w:rsidRDefault="006B39AD" w:rsidP="00EC7CAA">
      <w:pPr>
        <w:pStyle w:val="ListParagraph"/>
        <w:spacing w:beforeLines="50" w:before="120" w:afterLines="50" w:after="120"/>
        <w:ind w:left="0"/>
        <w:contextualSpacing w:val="0"/>
        <w:jc w:val="both"/>
        <w:rPr>
          <w:iCs/>
          <w:color w:val="000000" w:themeColor="text1"/>
          <w:kern w:val="24"/>
        </w:rPr>
      </w:pPr>
      <w:r>
        <w:rPr>
          <w:iCs/>
          <w:color w:val="000000" w:themeColor="text1"/>
          <w:kern w:val="24"/>
        </w:rPr>
        <w:t>where</w:t>
      </w:r>
      <w:r w:rsidR="00B60667">
        <w:rPr>
          <w:iCs/>
          <w:color w:val="000000" w:themeColor="text1"/>
          <w:kern w:val="24"/>
        </w:rPr>
        <w:t xml:space="preserve">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x</m:t>
            </m:r>
          </m:e>
          <m:sub>
            <m:r>
              <w:rPr>
                <w:rFonts w:ascii="Cambria Math" w:eastAsiaTheme="minorEastAsia" w:hAnsi="Cambria Math" w:cstheme="minorBidi"/>
                <w:color w:val="000000" w:themeColor="text1"/>
                <w:kern w:val="24"/>
              </w:rPr>
              <m:t>m</m:t>
            </m:r>
          </m:sub>
        </m:sSub>
      </m:oMath>
      <w:r w:rsidR="00B60667">
        <w:rPr>
          <w:iCs/>
          <w:color w:val="000000" w:themeColor="text1"/>
          <w:kern w:val="24"/>
        </w:rPr>
        <w:t xml:space="preserve">,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h</m:t>
            </m:r>
          </m:e>
          <m:sub>
            <m:r>
              <w:rPr>
                <w:rFonts w:ascii="Cambria Math" w:eastAsiaTheme="minorEastAsia" w:hAnsi="Cambria Math" w:cstheme="minorBidi"/>
                <w:color w:val="000000" w:themeColor="text1"/>
                <w:kern w:val="24"/>
              </w:rPr>
              <m:t>m</m:t>
            </m:r>
          </m:sub>
        </m:sSub>
      </m:oMath>
      <w:r w:rsidR="00307E56">
        <w:rPr>
          <w:iCs/>
          <w:color w:val="000000" w:themeColor="text1"/>
          <w:kern w:val="24"/>
        </w:rPr>
        <w:t>,</w:t>
      </w:r>
      <w:r w:rsidR="00B60667">
        <w:rPr>
          <w:iCs/>
          <w:color w:val="000000" w:themeColor="text1"/>
          <w:kern w:val="24"/>
        </w:rPr>
        <w:t xml:space="preserve">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x</m:t>
            </m:r>
          </m:e>
          <m:sub>
            <m:r>
              <w:rPr>
                <w:rFonts w:ascii="Cambria Math" w:eastAsiaTheme="minorEastAsia" w:hAnsi="Cambria Math" w:cstheme="minorBidi"/>
                <w:color w:val="000000" w:themeColor="text1"/>
                <w:kern w:val="24"/>
              </w:rPr>
              <m:t>m</m:t>
            </m:r>
          </m:sub>
        </m:sSub>
      </m:oMath>
      <w:r w:rsidR="00307E56">
        <w:rPr>
          <w:iCs/>
          <w:color w:val="000000" w:themeColor="text1"/>
          <w:kern w:val="24"/>
        </w:rPr>
        <w:t xml:space="preserve">, and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n</m:t>
            </m:r>
          </m:e>
          <m:sub>
            <m:r>
              <w:rPr>
                <w:rFonts w:ascii="Cambria Math" w:eastAsiaTheme="minorEastAsia" w:hAnsi="Cambria Math" w:cstheme="minorBidi"/>
                <w:color w:val="000000" w:themeColor="text1"/>
                <w:kern w:val="24"/>
              </w:rPr>
              <m:t>m</m:t>
            </m:r>
          </m:sub>
        </m:sSub>
      </m:oMath>
      <w:r w:rsidR="00B60667">
        <w:rPr>
          <w:iCs/>
          <w:color w:val="000000" w:themeColor="text1"/>
          <w:kern w:val="24"/>
        </w:rPr>
        <w:t xml:space="preserve"> are the tr</w:t>
      </w:r>
      <w:r w:rsidR="00307E56">
        <w:rPr>
          <w:iCs/>
          <w:color w:val="000000" w:themeColor="text1"/>
          <w:kern w:val="24"/>
        </w:rPr>
        <w:t xml:space="preserve">ansmitted signal, channel, </w:t>
      </w:r>
      <w:r w:rsidR="00B60667">
        <w:rPr>
          <w:iCs/>
          <w:color w:val="000000" w:themeColor="text1"/>
          <w:kern w:val="24"/>
        </w:rPr>
        <w:t>received signal</w:t>
      </w:r>
      <w:r w:rsidR="00307E56">
        <w:rPr>
          <w:iCs/>
          <w:color w:val="000000" w:themeColor="text1"/>
          <w:kern w:val="24"/>
        </w:rPr>
        <w:t>, and noise</w:t>
      </w:r>
      <w:r w:rsidR="00B60667">
        <w:rPr>
          <w:iCs/>
          <w:color w:val="000000" w:themeColor="text1"/>
          <w:kern w:val="24"/>
        </w:rPr>
        <w:t xml:space="preserve"> at subcarrier </w:t>
      </w:r>
      <m:oMath>
        <m:r>
          <w:rPr>
            <w:rFonts w:ascii="Cambria Math" w:hAnsi="Cambria Math"/>
            <w:color w:val="000000" w:themeColor="text1"/>
            <w:kern w:val="24"/>
          </w:rPr>
          <m:t>m</m:t>
        </m:r>
      </m:oMath>
      <w:r w:rsidR="00307E56">
        <w:rPr>
          <w:iCs/>
          <w:color w:val="000000" w:themeColor="text1"/>
          <w:kern w:val="24"/>
        </w:rPr>
        <w:t>,</w:t>
      </w:r>
      <w:r w:rsidR="00B60667">
        <w:rPr>
          <w:iCs/>
          <w:color w:val="000000" w:themeColor="text1"/>
          <w:kern w:val="24"/>
        </w:rPr>
        <w:t xml:space="preserve"> correspondingly</w:t>
      </w:r>
      <w:r w:rsidR="00307E56">
        <w:rPr>
          <w:iCs/>
          <w:color w:val="000000" w:themeColor="text1"/>
          <w:kern w:val="24"/>
        </w:rPr>
        <w:t>.</w:t>
      </w:r>
      <w:r w:rsidR="00B60667">
        <w:rPr>
          <w:iCs/>
          <w:color w:val="000000" w:themeColor="text1"/>
          <w:kern w:val="24"/>
        </w:rPr>
        <w:t xml:space="preserve"> </w:t>
      </w:r>
      <w:r w:rsidR="00307E56">
        <w:rPr>
          <w:iCs/>
          <w:color w:val="000000" w:themeColor="text1"/>
          <w:kern w:val="24"/>
        </w:rPr>
        <w:t xml:space="preserve">The coefficient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α</m:t>
            </m:r>
          </m:e>
          <m:sub>
            <m:r>
              <w:rPr>
                <w:rFonts w:ascii="Cambria Math" w:eastAsiaTheme="minorEastAsia" w:hAnsi="Cambria Math" w:cstheme="minorBidi"/>
                <w:color w:val="000000" w:themeColor="text1"/>
                <w:kern w:val="24"/>
              </w:rPr>
              <m:t>0</m:t>
            </m:r>
          </m:sub>
        </m:sSub>
      </m:oMath>
      <w:r w:rsidR="00B60667">
        <w:rPr>
          <w:iCs/>
          <w:color w:val="000000" w:themeColor="text1"/>
          <w:kern w:val="24"/>
        </w:rPr>
        <w:t xml:space="preserve"> is the CPE term, and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α</m:t>
            </m:r>
          </m:e>
          <m:sub>
            <m:r>
              <w:rPr>
                <w:rFonts w:ascii="Cambria Math" w:eastAsiaTheme="minorEastAsia" w:hAnsi="Cambria Math" w:cstheme="minorBidi"/>
                <w:color w:val="000000" w:themeColor="text1"/>
                <w:kern w:val="24"/>
              </w:rPr>
              <m:t>j</m:t>
            </m:r>
          </m:sub>
        </m:sSub>
      </m:oMath>
      <w:r w:rsidR="00B60667">
        <w:rPr>
          <w:iCs/>
          <w:color w:val="000000" w:themeColor="text1"/>
          <w:kern w:val="24"/>
        </w:rPr>
        <w:t xml:space="preserve"> for </w:t>
      </w:r>
      <m:oMath>
        <m:r>
          <w:rPr>
            <w:rFonts w:ascii="Cambria Math" w:hAnsi="Cambria Math"/>
            <w:color w:val="000000" w:themeColor="text1"/>
            <w:kern w:val="24"/>
          </w:rPr>
          <m:t>j≠0</m:t>
        </m:r>
      </m:oMath>
      <w:r w:rsidR="00B60667">
        <w:rPr>
          <w:iCs/>
          <w:color w:val="000000" w:themeColor="text1"/>
          <w:kern w:val="24"/>
        </w:rPr>
        <w:t xml:space="preserve">, are the ICI terms. Note that the CPE term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α</m:t>
            </m:r>
          </m:e>
          <m:sub>
            <m:r>
              <w:rPr>
                <w:rFonts w:ascii="Cambria Math" w:eastAsiaTheme="minorEastAsia" w:hAnsi="Cambria Math" w:cstheme="minorBidi"/>
                <w:color w:val="000000" w:themeColor="text1"/>
                <w:kern w:val="24"/>
              </w:rPr>
              <m:t>0</m:t>
            </m:r>
          </m:sub>
        </m:sSub>
      </m:oMath>
      <w:r w:rsidR="00B60667">
        <w:rPr>
          <w:iCs/>
          <w:color w:val="000000" w:themeColor="text1"/>
          <w:kern w:val="24"/>
        </w:rPr>
        <w:t xml:space="preserve"> and the phase noise sequence </w:t>
      </w:r>
      <m:oMath>
        <m:d>
          <m:dPr>
            <m:begChr m:val="{"/>
            <m:endChr m:val="}"/>
            <m:ctrlPr>
              <w:rPr>
                <w:rFonts w:ascii="Cambria Math" w:hAnsi="Cambria Math"/>
                <w:i/>
                <w:iCs/>
                <w:color w:val="000000" w:themeColor="text1"/>
                <w:kern w:val="24"/>
              </w:rPr>
            </m:ctrlPr>
          </m:dPr>
          <m:e>
            <m:sSub>
              <m:sSubPr>
                <m:ctrlPr>
                  <w:rPr>
                    <w:rFonts w:ascii="Cambria Math" w:hAnsi="Cambria Math"/>
                    <w:i/>
                    <w:iCs/>
                    <w:color w:val="000000" w:themeColor="text1"/>
                    <w:kern w:val="24"/>
                  </w:rPr>
                </m:ctrlPr>
              </m:sSubPr>
              <m:e>
                <m:r>
                  <w:rPr>
                    <w:rFonts w:ascii="Cambria Math" w:hAnsi="Cambria Math"/>
                    <w:color w:val="000000" w:themeColor="text1"/>
                    <w:kern w:val="24"/>
                  </w:rPr>
                  <m:t>θ</m:t>
                </m:r>
              </m:e>
              <m:sub>
                <m:r>
                  <w:rPr>
                    <w:rFonts w:ascii="Cambria Math" w:hAnsi="Cambria Math"/>
                    <w:color w:val="000000" w:themeColor="text1"/>
                    <w:kern w:val="24"/>
                  </w:rPr>
                  <m:t>n</m:t>
                </m:r>
              </m:sub>
            </m:sSub>
          </m:e>
        </m:d>
      </m:oMath>
      <w:r w:rsidR="00B60667">
        <w:rPr>
          <w:iCs/>
          <w:color w:val="000000" w:themeColor="text1"/>
          <w:kern w:val="24"/>
        </w:rPr>
        <w:t xml:space="preserve"> have the following relationship:</w:t>
      </w:r>
    </w:p>
    <w:p w14:paraId="63078C3C" w14:textId="10D100E2" w:rsidR="00B60667" w:rsidRPr="00307E56" w:rsidRDefault="00A81FFD" w:rsidP="00EC7CAA">
      <w:pPr>
        <w:pStyle w:val="ListParagraph"/>
        <w:spacing w:beforeLines="50" w:before="120" w:afterLines="50" w:after="120"/>
        <w:ind w:left="0"/>
        <w:contextualSpacing w:val="0"/>
        <w:jc w:val="both"/>
        <w:rPr>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α</m:t>
              </m:r>
            </m:e>
            <m:sub>
              <m:r>
                <w:rPr>
                  <w:rFonts w:ascii="Cambria Math" w:eastAsiaTheme="minorEastAsia" w:hAnsi="Cambria Math" w:cstheme="minorBidi"/>
                  <w:color w:val="000000" w:themeColor="text1"/>
                  <w:kern w:val="24"/>
                </w:rPr>
                <m:t>0</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r>
                <w:rPr>
                  <w:rFonts w:ascii="Cambria Math" w:eastAsiaTheme="minorEastAsia" w:hAnsi="Cambria Math" w:cstheme="minorBidi"/>
                  <w:color w:val="000000" w:themeColor="text1"/>
                  <w:kern w:val="24"/>
                </w:rPr>
                <m:t>N</m:t>
              </m:r>
            </m:den>
          </m:f>
          <m:nary>
            <m:naryPr>
              <m:chr m:val="∑"/>
              <m:ctrlPr>
                <w:rPr>
                  <w:rFonts w:ascii="Cambria Math" w:eastAsiaTheme="minorEastAsia" w:hAnsi="Cambria Math" w:cstheme="minorBidi"/>
                  <w:i/>
                  <w:iCs/>
                  <w:color w:val="000000" w:themeColor="text1"/>
                  <w:kern w:val="24"/>
                </w:rPr>
              </m:ctrlPr>
            </m:naryPr>
            <m:sub>
              <m:r>
                <w:rPr>
                  <w:rFonts w:ascii="Cambria Math" w:eastAsiaTheme="minorEastAsia" w:hAnsi="Cambria Math" w:cstheme="minorBidi"/>
                  <w:color w:val="000000" w:themeColor="text1"/>
                  <w:kern w:val="24"/>
                </w:rPr>
                <m:t>n=0</m:t>
              </m:r>
            </m:sub>
            <m:sup>
              <m:r>
                <w:rPr>
                  <w:rFonts w:ascii="Cambria Math" w:eastAsiaTheme="minorEastAsia" w:hAnsi="Cambria Math" w:cstheme="minorBidi"/>
                  <w:color w:val="000000" w:themeColor="text1"/>
                  <w:kern w:val="24"/>
                </w:rPr>
                <m:t>N-1</m:t>
              </m:r>
            </m:sup>
            <m:e>
              <m:sSup>
                <m:sSupPr>
                  <m:ctrlPr>
                    <w:rPr>
                      <w:rFonts w:ascii="Cambria Math" w:eastAsiaTheme="minorEastAsia" w:hAnsi="Cambria Math" w:cstheme="minorBidi"/>
                      <w:i/>
                      <w:iCs/>
                      <w:color w:val="000000" w:themeColor="text1"/>
                      <w:kern w:val="24"/>
                    </w:rPr>
                  </m:ctrlPr>
                </m:sSupPr>
                <m:e>
                  <m:r>
                    <w:rPr>
                      <w:rFonts w:ascii="Cambria Math" w:eastAsiaTheme="minorEastAsia" w:hAnsi="Cambria Math" w:cstheme="minorBidi"/>
                      <w:color w:val="000000" w:themeColor="text1"/>
                      <w:kern w:val="24"/>
                    </w:rPr>
                    <m:t>e</m:t>
                  </m:r>
                </m:e>
                <m:sup>
                  <m:r>
                    <w:rPr>
                      <w:rFonts w:ascii="Cambria Math" w:eastAsiaTheme="minorEastAsia" w:hAnsi="Cambria Math" w:cstheme="minorBidi"/>
                      <w:color w:val="000000" w:themeColor="text1"/>
                      <w:kern w:val="24"/>
                    </w:rPr>
                    <m:t>j</m:t>
                  </m:r>
                  <m:sSub>
                    <m:sSubPr>
                      <m:ctrlPr>
                        <w:rPr>
                          <w:rFonts w:ascii="Cambria Math" w:eastAsiaTheme="minorEastAsia" w:hAnsi="Cambria Math" w:cstheme="minorBidi"/>
                          <w:i/>
                          <w:iCs/>
                          <w:color w:val="000000" w:themeColor="text1"/>
                          <w:kern w:val="24"/>
                        </w:rPr>
                      </m:ctrlPr>
                    </m:sSubPr>
                    <m:e>
                      <m:r>
                        <w:rPr>
                          <w:rFonts w:ascii="Cambria Math" w:eastAsia="Cambria Math" w:hAnsi="Cambria Math" w:cstheme="minorBidi"/>
                          <w:color w:val="000000" w:themeColor="text1"/>
                          <w:kern w:val="24"/>
                        </w:rPr>
                        <m:t>θ</m:t>
                      </m:r>
                    </m:e>
                    <m:sub>
                      <m:r>
                        <w:rPr>
                          <w:rFonts w:ascii="Cambria Math" w:eastAsiaTheme="minorEastAsia" w:hAnsi="Cambria Math" w:cstheme="minorBidi"/>
                          <w:color w:val="000000" w:themeColor="text1"/>
                          <w:kern w:val="24"/>
                        </w:rPr>
                        <m:t>n</m:t>
                      </m:r>
                    </m:sub>
                  </m:sSub>
                </m:sup>
              </m:sSup>
            </m:e>
          </m:nary>
        </m:oMath>
      </m:oMathPara>
    </w:p>
    <w:p w14:paraId="3D1B903B" w14:textId="62619507" w:rsidR="00307E56" w:rsidRDefault="00307E56" w:rsidP="00EC7CAA">
      <w:pPr>
        <w:pStyle w:val="ListParagraph"/>
        <w:spacing w:beforeLines="50" w:before="120" w:afterLines="50" w:after="120"/>
        <w:ind w:left="0"/>
        <w:contextualSpacing w:val="0"/>
        <w:jc w:val="both"/>
        <w:rPr>
          <w:iCs/>
          <w:color w:val="000000" w:themeColor="text1"/>
          <w:kern w:val="24"/>
        </w:rPr>
      </w:pPr>
      <w:r>
        <w:rPr>
          <w:iCs/>
          <w:color w:val="000000" w:themeColor="text1"/>
          <w:kern w:val="24"/>
        </w:rPr>
        <w:t>For the subcarriers that carry PTRS symbols, both the transmitted signal and the received signal are known. If we assume the channel response at these subcarriers are also known (e.g., estimated via DMRS), we can train a</w:t>
      </w:r>
      <w:r w:rsidR="00602BAE">
        <w:rPr>
          <w:iCs/>
          <w:color w:val="000000" w:themeColor="text1"/>
          <w:kern w:val="24"/>
        </w:rPr>
        <w:t xml:space="preserve"> simple linear equalizer using the known PTRS symbols. Specifically, we assume a simple </w:t>
      </w:r>
      <w:r w:rsidR="004F72EE">
        <w:rPr>
          <w:iCs/>
          <w:color w:val="000000" w:themeColor="text1"/>
          <w:kern w:val="24"/>
        </w:rPr>
        <w:t>3</w:t>
      </w:r>
      <w:r w:rsidR="00602BAE">
        <w:rPr>
          <w:iCs/>
          <w:color w:val="000000" w:themeColor="text1"/>
          <w:kern w:val="24"/>
        </w:rPr>
        <w:t xml:space="preserve">-tap linear equalizer that takes the sequence </w:t>
      </w:r>
      <m:oMath>
        <m:d>
          <m:dPr>
            <m:begChr m:val="{"/>
            <m:endChr m:val="}"/>
            <m:ctrlPr>
              <w:rPr>
                <w:rFonts w:ascii="Cambria Math" w:hAnsi="Cambria Math"/>
                <w:i/>
                <w:iCs/>
                <w:color w:val="000000" w:themeColor="text1"/>
                <w:kern w:val="24"/>
              </w:rPr>
            </m:ctrlPr>
          </m:dPr>
          <m:e>
            <m:sSub>
              <m:sSubPr>
                <m:ctrlPr>
                  <w:rPr>
                    <w:rFonts w:ascii="Cambria Math" w:hAnsi="Cambria Math"/>
                    <w:i/>
                    <w:iCs/>
                    <w:color w:val="000000" w:themeColor="text1"/>
                    <w:kern w:val="24"/>
                  </w:rPr>
                </m:ctrlPr>
              </m:sSubPr>
              <m:e>
                <m:r>
                  <w:rPr>
                    <w:rFonts w:ascii="Cambria Math" w:hAnsi="Cambria Math"/>
                    <w:color w:val="000000" w:themeColor="text1"/>
                    <w:kern w:val="24"/>
                  </w:rPr>
                  <m:t>y</m:t>
                </m:r>
              </m:e>
              <m:sub>
                <m:r>
                  <w:rPr>
                    <w:rFonts w:ascii="Cambria Math" w:hAnsi="Cambria Math"/>
                    <w:color w:val="000000" w:themeColor="text1"/>
                    <w:kern w:val="24"/>
                  </w:rPr>
                  <m:t>m</m:t>
                </m:r>
              </m:sub>
            </m:sSub>
          </m:e>
        </m:d>
      </m:oMath>
      <w:r w:rsidR="00602BAE">
        <w:rPr>
          <w:iCs/>
          <w:color w:val="000000" w:themeColor="text1"/>
          <w:kern w:val="24"/>
        </w:rPr>
        <w:t xml:space="preserve"> as input and estimates the transmitted signal scaled by the known channel (i.e., the sequence of </w:t>
      </w:r>
      <m:oMath>
        <m:r>
          <w:rPr>
            <w:rFonts w:ascii="Cambria Math" w:hAnsi="Cambria Math"/>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h</m:t>
            </m:r>
          </m:e>
          <m:sub>
            <m:r>
              <w:rPr>
                <w:rFonts w:ascii="Cambria Math" w:eastAsiaTheme="minorEastAsia" w:hAnsi="Cambria Math" w:cstheme="minorBidi"/>
                <w:color w:val="000000" w:themeColor="text1"/>
                <w:kern w:val="24"/>
              </w:rPr>
              <m:t>m</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x</m:t>
            </m:r>
          </m:e>
          <m:sub>
            <m:r>
              <w:rPr>
                <w:rFonts w:ascii="Cambria Math" w:eastAsiaTheme="minorEastAsia" w:hAnsi="Cambria Math" w:cstheme="minorBidi"/>
                <w:color w:val="000000" w:themeColor="text1"/>
                <w:kern w:val="24"/>
              </w:rPr>
              <m:t>m</m:t>
            </m:r>
          </m:sub>
        </m:sSub>
        <m:r>
          <w:rPr>
            <w:rFonts w:ascii="Cambria Math" w:eastAsiaTheme="minorEastAsia" w:hAnsi="Cambria Math" w:cstheme="minorBidi"/>
            <w:color w:val="000000" w:themeColor="text1"/>
            <w:kern w:val="24"/>
          </w:rPr>
          <m:t>}</m:t>
        </m:r>
      </m:oMath>
      <w:r w:rsidR="00602BAE">
        <w:rPr>
          <w:iCs/>
          <w:color w:val="000000" w:themeColor="text1"/>
          <w:kern w:val="24"/>
        </w:rPr>
        <w:t xml:space="preserve">). A batch least square estimator will </w:t>
      </w:r>
      <w:r w:rsidR="004F72EE">
        <w:rPr>
          <w:iCs/>
          <w:color w:val="000000" w:themeColor="text1"/>
          <w:kern w:val="24"/>
        </w:rPr>
        <w:t>allow us to estimate the corresponding equalizer coefficients as follow:</w:t>
      </w:r>
    </w:p>
    <w:p w14:paraId="4E21974C" w14:textId="37A73EA4" w:rsidR="004F72EE" w:rsidRDefault="00A81FFD" w:rsidP="00EC7CAA">
      <w:pPr>
        <w:pStyle w:val="ListParagraph"/>
        <w:spacing w:beforeLines="50" w:before="120" w:afterLines="50" w:after="120"/>
        <w:ind w:left="0"/>
        <w:contextualSpacing w:val="0"/>
        <w:jc w:val="both"/>
        <w:rPr>
          <w:iCs/>
          <w:color w:val="000000" w:themeColor="text1"/>
          <w:kern w:val="24"/>
        </w:rPr>
      </w:pPr>
      <m:oMathPara>
        <m:oMath>
          <m:acc>
            <m:accPr>
              <m:chr m:val="̅"/>
              <m:ctrlPr>
                <w:rPr>
                  <w:rFonts w:ascii="Cambria Math" w:hAnsi="Cambria Math"/>
                  <w:i/>
                  <w:iCs/>
                  <w:color w:val="000000" w:themeColor="text1"/>
                  <w:kern w:val="24"/>
                </w:rPr>
              </m:ctrlPr>
            </m:accPr>
            <m:e>
              <m:r>
                <w:rPr>
                  <w:rFonts w:ascii="Cambria Math" w:hAnsi="Cambria Math"/>
                  <w:color w:val="000000" w:themeColor="text1"/>
                  <w:kern w:val="24"/>
                </w:rPr>
                <m:t>β</m:t>
              </m:r>
            </m:e>
          </m:acc>
          <m:r>
            <w:rPr>
              <w:rFonts w:ascii="Cambria Math" w:hAnsi="Cambria Math"/>
              <w:color w:val="000000" w:themeColor="text1"/>
              <w:kern w:val="24"/>
            </w:rPr>
            <m:t>=</m:t>
          </m:r>
          <m:sSup>
            <m:sSupPr>
              <m:ctrlPr>
                <w:rPr>
                  <w:rFonts w:ascii="Cambria Math" w:hAnsi="Cambria Math"/>
                  <w:i/>
                  <w:iCs/>
                  <w:color w:val="000000" w:themeColor="text1"/>
                  <w:kern w:val="24"/>
                </w:rPr>
              </m:ctrlPr>
            </m:sSupPr>
            <m:e>
              <m:d>
                <m:dPr>
                  <m:begChr m:val="["/>
                  <m:endChr m:val="]"/>
                  <m:ctrlPr>
                    <w:rPr>
                      <w:rFonts w:ascii="Cambria Math" w:hAnsi="Cambria Math"/>
                      <w:i/>
                      <w:iCs/>
                      <w:color w:val="000000" w:themeColor="text1"/>
                      <w:kern w:val="24"/>
                    </w:rPr>
                  </m:ctrlPr>
                </m:dPr>
                <m:e>
                  <m:sSup>
                    <m:sSupPr>
                      <m:ctrlPr>
                        <w:rPr>
                          <w:rFonts w:ascii="Cambria Math" w:hAnsi="Cambria Math"/>
                          <w:i/>
                          <w:iCs/>
                          <w:color w:val="000000" w:themeColor="text1"/>
                          <w:kern w:val="24"/>
                        </w:rPr>
                      </m:ctrlPr>
                    </m:sSupPr>
                    <m:e>
                      <m:r>
                        <w:rPr>
                          <w:rFonts w:ascii="Cambria Math" w:hAnsi="Cambria Math"/>
                          <w:color w:val="000000" w:themeColor="text1"/>
                          <w:kern w:val="24"/>
                        </w:rPr>
                        <m:t>Z</m:t>
                      </m:r>
                    </m:e>
                    <m:sup>
                      <m:r>
                        <w:rPr>
                          <w:rFonts w:ascii="Cambria Math" w:hAnsi="Cambria Math"/>
                          <w:color w:val="000000" w:themeColor="text1"/>
                          <w:kern w:val="24"/>
                        </w:rPr>
                        <m:t>H</m:t>
                      </m:r>
                    </m:sup>
                  </m:sSup>
                  <m:r>
                    <w:rPr>
                      <w:rFonts w:ascii="Cambria Math" w:hAnsi="Cambria Math"/>
                      <w:color w:val="000000" w:themeColor="text1"/>
                      <w:kern w:val="24"/>
                    </w:rPr>
                    <m:t>Z</m:t>
                  </m:r>
                </m:e>
              </m:d>
            </m:e>
            <m:sup>
              <m:r>
                <w:rPr>
                  <w:rFonts w:ascii="Cambria Math" w:hAnsi="Cambria Math"/>
                  <w:color w:val="000000" w:themeColor="text1"/>
                  <w:kern w:val="24"/>
                </w:rPr>
                <m:t>-1</m:t>
              </m:r>
            </m:sup>
          </m:sSup>
          <m:sSup>
            <m:sSupPr>
              <m:ctrlPr>
                <w:rPr>
                  <w:rFonts w:ascii="Cambria Math" w:hAnsi="Cambria Math"/>
                  <w:i/>
                  <w:iCs/>
                  <w:color w:val="000000" w:themeColor="text1"/>
                  <w:kern w:val="24"/>
                </w:rPr>
              </m:ctrlPr>
            </m:sSupPr>
            <m:e>
              <m:r>
                <w:rPr>
                  <w:rFonts w:ascii="Cambria Math" w:hAnsi="Cambria Math"/>
                  <w:color w:val="000000" w:themeColor="text1"/>
                  <w:kern w:val="24"/>
                </w:rPr>
                <m:t>Z</m:t>
              </m:r>
            </m:e>
            <m:sup>
              <m:r>
                <w:rPr>
                  <w:rFonts w:ascii="Cambria Math" w:hAnsi="Cambria Math"/>
                  <w:color w:val="000000" w:themeColor="text1"/>
                  <w:kern w:val="24"/>
                </w:rPr>
                <m:t>H</m:t>
              </m:r>
            </m:sup>
          </m:sSup>
          <m:acc>
            <m:accPr>
              <m:chr m:val="̅"/>
              <m:ctrlPr>
                <w:rPr>
                  <w:rFonts w:ascii="Cambria Math" w:hAnsi="Cambria Math"/>
                  <w:i/>
                  <w:iCs/>
                  <w:color w:val="000000" w:themeColor="text1"/>
                  <w:kern w:val="24"/>
                </w:rPr>
              </m:ctrlPr>
            </m:accPr>
            <m:e>
              <m:r>
                <w:rPr>
                  <w:rFonts w:ascii="Cambria Math" w:hAnsi="Cambria Math"/>
                  <w:color w:val="000000" w:themeColor="text1"/>
                  <w:kern w:val="24"/>
                </w:rPr>
                <m:t>y</m:t>
              </m:r>
            </m:e>
          </m:acc>
        </m:oMath>
      </m:oMathPara>
    </w:p>
    <w:p w14:paraId="024FD112" w14:textId="7EAE6981" w:rsidR="00602BAE" w:rsidRDefault="004F72EE" w:rsidP="00EC7CAA">
      <w:pPr>
        <w:pStyle w:val="ListParagraph"/>
        <w:spacing w:beforeLines="50" w:before="120" w:afterLines="50" w:after="120"/>
        <w:ind w:left="0"/>
        <w:contextualSpacing w:val="0"/>
        <w:jc w:val="both"/>
        <w:rPr>
          <w:iCs/>
          <w:color w:val="000000" w:themeColor="text1"/>
          <w:kern w:val="24"/>
        </w:rPr>
      </w:pPr>
      <w:r>
        <w:t xml:space="preserve">where </w:t>
      </w:r>
      <m:oMath>
        <m:acc>
          <m:accPr>
            <m:chr m:val="̅"/>
            <m:ctrlPr>
              <w:rPr>
                <w:rFonts w:ascii="Cambria Math" w:hAnsi="Cambria Math"/>
                <w:i/>
                <w:iCs/>
                <w:color w:val="000000" w:themeColor="text1"/>
                <w:kern w:val="24"/>
              </w:rPr>
            </m:ctrlPr>
          </m:accPr>
          <m:e>
            <m:r>
              <w:rPr>
                <w:rFonts w:ascii="Cambria Math" w:hAnsi="Cambria Math"/>
                <w:color w:val="000000" w:themeColor="text1"/>
                <w:kern w:val="24"/>
              </w:rPr>
              <m:t>β</m:t>
            </m:r>
          </m:e>
        </m:acc>
      </m:oMath>
      <w:r>
        <w:rPr>
          <w:iCs/>
          <w:color w:val="000000" w:themeColor="text1"/>
          <w:kern w:val="24"/>
        </w:rPr>
        <w:t xml:space="preserve"> is the equalizer coefficient vector, </w:t>
      </w:r>
      <m:oMath>
        <m:acc>
          <m:accPr>
            <m:chr m:val="̅"/>
            <m:ctrlPr>
              <w:rPr>
                <w:rFonts w:ascii="Cambria Math" w:hAnsi="Cambria Math"/>
                <w:i/>
                <w:iCs/>
                <w:color w:val="000000" w:themeColor="text1"/>
                <w:kern w:val="24"/>
              </w:rPr>
            </m:ctrlPr>
          </m:accPr>
          <m:e>
            <m:r>
              <w:rPr>
                <w:rFonts w:ascii="Cambria Math" w:hAnsi="Cambria Math"/>
                <w:color w:val="000000" w:themeColor="text1"/>
                <w:kern w:val="24"/>
              </w:rPr>
              <m:t>y</m:t>
            </m:r>
          </m:e>
        </m:acc>
      </m:oMath>
      <w:r>
        <w:rPr>
          <w:iCs/>
          <w:color w:val="000000" w:themeColor="text1"/>
          <w:kern w:val="24"/>
        </w:rPr>
        <w:t xml:space="preserve"> is the received PTRS signal, and </w:t>
      </w:r>
      <m:oMath>
        <m:r>
          <w:rPr>
            <w:rFonts w:ascii="Cambria Math" w:hAnsi="Cambria Math"/>
            <w:color w:val="000000" w:themeColor="text1"/>
            <w:kern w:val="24"/>
          </w:rPr>
          <m:t>Z</m:t>
        </m:r>
      </m:oMath>
      <w:r>
        <w:rPr>
          <w:iCs/>
          <w:color w:val="000000" w:themeColor="text1"/>
          <w:kern w:val="24"/>
        </w:rPr>
        <w:t xml:space="preserve"> is a matrix of the following form:</w:t>
      </w:r>
    </w:p>
    <w:p w14:paraId="7DBAB493" w14:textId="23006AAE" w:rsidR="004F72EE" w:rsidRPr="00AC12CE" w:rsidRDefault="004F72EE" w:rsidP="00EC7CAA">
      <w:pPr>
        <w:pStyle w:val="ListParagraph"/>
        <w:spacing w:beforeLines="50" w:before="120" w:afterLines="50" w:after="120"/>
        <w:ind w:left="0"/>
        <w:contextualSpacing w:val="0"/>
        <w:jc w:val="both"/>
      </w:pPr>
      <m:oMathPara>
        <m:oMath>
          <m:r>
            <w:rPr>
              <w:rFonts w:ascii="Cambria Math" w:hAnsi="Cambria Math"/>
            </w:rPr>
            <m:t>Z=</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sub>
                          </m:sSub>
                        </m:e>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sub>
                          </m:sSub>
                        </m:e>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+1</m:t>
                              </m:r>
                            </m:sub>
                          </m:sSub>
                        </m:e>
                      </m:mr>
                      <m:mr>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sub>
                          </m:sSub>
                        </m:e>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1</m:t>
                                  </m:r>
                                </m:sub>
                              </m:sSub>
                            </m:sub>
                          </m:sSub>
                        </m:e>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sub>
                          </m:sSub>
                        </m:e>
                      </m:mr>
                      <m:mr>
                        <m:e>
                          <m:r>
                            <w:rPr>
                              <w:rFonts w:ascii="Cambria Math" w:hAnsi="Cambria Math"/>
                            </w:rPr>
                            <m:t>⋮</m:t>
                          </m:r>
                        </m:e>
                        <m:e>
                          <m:r>
                            <w:rPr>
                              <w:rFonts w:ascii="Cambria Math" w:hAnsi="Cambria Math"/>
                            </w:rPr>
                            <m:t>⋮</m:t>
                          </m:r>
                        </m:e>
                        <m:e>
                          <m:r>
                            <w:rPr>
                              <w:rFonts w:ascii="Cambria Math" w:hAnsi="Cambria Math"/>
                            </w:rPr>
                            <m:t>⋮</m:t>
                          </m:r>
                        </m:e>
                      </m:mr>
                    </m:m>
                  </m:e>
                </m:mr>
                <m:m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Q</m:t>
                                  </m:r>
                                </m:sub>
                              </m:sSub>
                              <m:r>
                                <w:rPr>
                                  <w:rFonts w:ascii="Cambria Math" w:hAnsi="Cambria Math"/>
                                </w:rPr>
                                <m:t>-1</m:t>
                              </m:r>
                            </m:sub>
                          </m:sSub>
                        </m:e>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Q</m:t>
                                  </m:r>
                                </m:sub>
                              </m:sSub>
                            </m:sub>
                          </m:sSub>
                        </m:e>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k</m:t>
                                  </m:r>
                                </m:e>
                                <m:sub>
                                  <m:r>
                                    <w:rPr>
                                      <w:rFonts w:ascii="Cambria Math" w:hAnsi="Cambria Math"/>
                                    </w:rPr>
                                    <m:t>Q</m:t>
                                  </m:r>
                                </m:sub>
                              </m:sSub>
                              <m:r>
                                <w:rPr>
                                  <w:rFonts w:ascii="Cambria Math" w:hAnsi="Cambria Math"/>
                                </w:rPr>
                                <m:t>-1</m:t>
                              </m:r>
                            </m:sub>
                          </m:sSub>
                        </m:e>
                      </m:mr>
                    </m:m>
                  </m:e>
                </m:mr>
              </m:m>
            </m:e>
          </m:d>
        </m:oMath>
      </m:oMathPara>
    </w:p>
    <w:p w14:paraId="620953ED" w14:textId="230B9171" w:rsidR="00AC12CE" w:rsidRDefault="00AC12CE" w:rsidP="00EC7CAA">
      <w:pPr>
        <w:pStyle w:val="ListParagraph"/>
        <w:spacing w:beforeLines="50" w:before="120" w:afterLines="50" w:after="120"/>
        <w:ind w:left="0"/>
        <w:contextualSpacing w:val="0"/>
        <w:jc w:val="both"/>
        <w:rPr>
          <w:iCs/>
          <w:color w:val="000000" w:themeColor="text1"/>
          <w:kern w:val="24"/>
        </w:rPr>
      </w:pPr>
      <w:r>
        <w:t xml:space="preserve">Here, </w:t>
      </w: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h</m:t>
            </m:r>
          </m:e>
          <m:sub>
            <m:r>
              <w:rPr>
                <w:rFonts w:ascii="Cambria Math" w:eastAsiaTheme="minorEastAsia" w:hAnsi="Cambria Math" w:cstheme="minorBidi"/>
                <w:color w:val="000000" w:themeColor="text1"/>
                <w:kern w:val="24"/>
              </w:rPr>
              <m:t>k</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x</m:t>
            </m:r>
          </m:e>
          <m:sub>
            <m:r>
              <w:rPr>
                <w:rFonts w:ascii="Cambria Math" w:eastAsiaTheme="minorEastAsia" w:hAnsi="Cambria Math" w:cstheme="minorBidi"/>
                <w:color w:val="000000" w:themeColor="text1"/>
                <w:kern w:val="24"/>
              </w:rPr>
              <m:t>k</m:t>
            </m:r>
          </m:sub>
        </m:sSub>
      </m:oMath>
      <w:r>
        <w:rPr>
          <w:iCs/>
          <w:color w:val="000000" w:themeColor="text1"/>
          <w:kern w:val="24"/>
        </w:rPr>
        <w:t xml:space="preserve">, and </w:t>
      </w:r>
      <m:oMath>
        <m:d>
          <m:dPr>
            <m:begChr m:val="{"/>
            <m:endChr m:val="}"/>
            <m:ctrlPr>
              <w:rPr>
                <w:rFonts w:ascii="Cambria Math" w:hAnsi="Cambria Math"/>
                <w:i/>
                <w:iCs/>
                <w:color w:val="000000" w:themeColor="text1"/>
                <w:kern w:val="24"/>
              </w:rPr>
            </m:ctrlPr>
          </m:dPr>
          <m:e>
            <m:sSub>
              <m:sSubPr>
                <m:ctrlPr>
                  <w:rPr>
                    <w:rFonts w:ascii="Cambria Math" w:hAnsi="Cambria Math"/>
                    <w:i/>
                    <w:iCs/>
                    <w:color w:val="000000" w:themeColor="text1"/>
                    <w:kern w:val="24"/>
                  </w:rPr>
                </m:ctrlPr>
              </m:sSubPr>
              <m:e>
                <m:r>
                  <w:rPr>
                    <w:rFonts w:ascii="Cambria Math" w:hAnsi="Cambria Math"/>
                    <w:color w:val="000000" w:themeColor="text1"/>
                    <w:kern w:val="24"/>
                  </w:rPr>
                  <m:t>k</m:t>
                </m:r>
              </m:e>
              <m:sub>
                <m:r>
                  <w:rPr>
                    <w:rFonts w:ascii="Cambria Math" w:hAnsi="Cambria Math"/>
                    <w:color w:val="000000" w:themeColor="text1"/>
                    <w:kern w:val="24"/>
                  </w:rPr>
                  <m:t>0</m:t>
                </m:r>
              </m:sub>
            </m:sSub>
            <m:r>
              <w:rPr>
                <w:rFonts w:ascii="Cambria Math" w:hAnsi="Cambria Math"/>
                <w:color w:val="000000" w:themeColor="text1"/>
                <w:kern w:val="24"/>
              </w:rPr>
              <m:t xml:space="preserve">, </m:t>
            </m:r>
            <m:sSub>
              <m:sSubPr>
                <m:ctrlPr>
                  <w:rPr>
                    <w:rFonts w:ascii="Cambria Math" w:hAnsi="Cambria Math"/>
                    <w:i/>
                    <w:iCs/>
                    <w:color w:val="000000" w:themeColor="text1"/>
                    <w:kern w:val="24"/>
                  </w:rPr>
                </m:ctrlPr>
              </m:sSubPr>
              <m:e>
                <m:r>
                  <w:rPr>
                    <w:rFonts w:ascii="Cambria Math" w:hAnsi="Cambria Math"/>
                    <w:color w:val="000000" w:themeColor="text1"/>
                    <w:kern w:val="24"/>
                  </w:rPr>
                  <m:t>k</m:t>
                </m:r>
              </m:e>
              <m:sub>
                <m:r>
                  <w:rPr>
                    <w:rFonts w:ascii="Cambria Math" w:hAnsi="Cambria Math"/>
                    <w:color w:val="000000" w:themeColor="text1"/>
                    <w:kern w:val="24"/>
                  </w:rPr>
                  <m:t>1</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k</m:t>
                </m:r>
              </m:e>
              <m:sub>
                <m:r>
                  <w:rPr>
                    <w:rFonts w:ascii="Cambria Math" w:hAnsi="Cambria Math"/>
                    <w:color w:val="000000" w:themeColor="text1"/>
                    <w:kern w:val="24"/>
                  </w:rPr>
                  <m:t>Q</m:t>
                </m:r>
              </m:sub>
            </m:sSub>
          </m:e>
        </m:d>
      </m:oMath>
      <w:r>
        <w:rPr>
          <w:iCs/>
          <w:color w:val="000000" w:themeColor="text1"/>
          <w:kern w:val="24"/>
        </w:rPr>
        <w:t xml:space="preserve"> are the carrier indexes corresponding to PTRS.</w:t>
      </w:r>
      <w:r w:rsidR="00333217">
        <w:rPr>
          <w:iCs/>
          <w:color w:val="000000" w:themeColor="text1"/>
          <w:kern w:val="24"/>
        </w:rPr>
        <w:t xml:space="preserve"> The same receiver architecture has been proposed in </w:t>
      </w:r>
      <w:r w:rsidR="00333217">
        <w:rPr>
          <w:iCs/>
          <w:color w:val="000000" w:themeColor="text1"/>
          <w:kern w:val="24"/>
        </w:rPr>
        <w:fldChar w:fldCharType="begin"/>
      </w:r>
      <w:r w:rsidR="00333217">
        <w:rPr>
          <w:iCs/>
          <w:color w:val="000000" w:themeColor="text1"/>
          <w:kern w:val="24"/>
        </w:rPr>
        <w:instrText xml:space="preserve"> REF _Ref53674854 \n \h </w:instrText>
      </w:r>
      <w:r w:rsidR="00333217">
        <w:rPr>
          <w:iCs/>
          <w:color w:val="000000" w:themeColor="text1"/>
          <w:kern w:val="24"/>
        </w:rPr>
      </w:r>
      <w:r w:rsidR="00333217">
        <w:rPr>
          <w:iCs/>
          <w:color w:val="000000" w:themeColor="text1"/>
          <w:kern w:val="24"/>
        </w:rPr>
        <w:fldChar w:fldCharType="separate"/>
      </w:r>
      <w:r w:rsidR="00B60F19">
        <w:rPr>
          <w:iCs/>
          <w:color w:val="000000" w:themeColor="text1"/>
          <w:kern w:val="24"/>
        </w:rPr>
        <w:t>[9]</w:t>
      </w:r>
      <w:r w:rsidR="00333217">
        <w:rPr>
          <w:iCs/>
          <w:color w:val="000000" w:themeColor="text1"/>
          <w:kern w:val="24"/>
        </w:rPr>
        <w:fldChar w:fldCharType="end"/>
      </w:r>
      <w:r w:rsidR="00333217">
        <w:rPr>
          <w:iCs/>
          <w:color w:val="000000" w:themeColor="text1"/>
          <w:kern w:val="24"/>
        </w:rPr>
        <w:t>, and promising results have been reported.</w:t>
      </w:r>
    </w:p>
    <w:p w14:paraId="0BC6BF7C" w14:textId="4D4ED296" w:rsidR="00171C1F" w:rsidRDefault="00171C1F" w:rsidP="00EC7CAA">
      <w:pPr>
        <w:pStyle w:val="ListParagraph"/>
        <w:spacing w:beforeLines="50" w:before="120" w:afterLines="50" w:after="120"/>
        <w:ind w:left="0"/>
        <w:contextualSpacing w:val="0"/>
        <w:jc w:val="both"/>
        <w:rPr>
          <w:iCs/>
          <w:color w:val="000000" w:themeColor="text1"/>
          <w:kern w:val="24"/>
        </w:rPr>
      </w:pPr>
      <w:r>
        <w:rPr>
          <w:iCs/>
          <w:color w:val="000000" w:themeColor="text1"/>
          <w:kern w:val="24"/>
        </w:rPr>
        <w:t xml:space="preserve">We will use the simple equalizer described above for ICI mitigation, and evaluate </w:t>
      </w:r>
      <w:r w:rsidR="004828F8">
        <w:rPr>
          <w:iCs/>
          <w:color w:val="000000" w:themeColor="text1"/>
          <w:kern w:val="24"/>
        </w:rPr>
        <w:t xml:space="preserve">whether </w:t>
      </w:r>
      <w:r>
        <w:rPr>
          <w:iCs/>
          <w:color w:val="000000" w:themeColor="text1"/>
          <w:kern w:val="24"/>
        </w:rPr>
        <w:t xml:space="preserve">such technique could allow reliable operation </w:t>
      </w:r>
      <w:r w:rsidR="004828F8">
        <w:rPr>
          <w:iCs/>
          <w:color w:val="000000" w:themeColor="text1"/>
          <w:kern w:val="24"/>
        </w:rPr>
        <w:t>at high MCS (e.g., MCS=22) using existing NR numerology. Our simulation results are provided in the next section.</w:t>
      </w:r>
    </w:p>
    <w:p w14:paraId="6D3EBDA7" w14:textId="77777777" w:rsidR="004828F8" w:rsidRDefault="004828F8" w:rsidP="004828F8">
      <w:pPr>
        <w:pStyle w:val="ListParagraph"/>
        <w:numPr>
          <w:ilvl w:val="0"/>
          <w:numId w:val="5"/>
        </w:numPr>
        <w:spacing w:beforeLines="50" w:before="120" w:afterLines="50" w:after="120"/>
        <w:contextualSpacing w:val="0"/>
        <w:outlineLvl w:val="0"/>
        <w:rPr>
          <w:b/>
          <w:sz w:val="28"/>
        </w:rPr>
      </w:pPr>
      <w:r>
        <w:rPr>
          <w:b/>
          <w:sz w:val="28"/>
        </w:rPr>
        <w:t>Simulation Results and Discussion</w:t>
      </w:r>
    </w:p>
    <w:p w14:paraId="3ECF509B" w14:textId="50CE628C" w:rsidR="00E748E5" w:rsidRDefault="004828F8" w:rsidP="00565540">
      <w:pPr>
        <w:pStyle w:val="ListParagraph"/>
        <w:spacing w:beforeLines="50" w:before="120" w:afterLines="50" w:after="120"/>
        <w:ind w:left="0"/>
        <w:contextualSpacing w:val="0"/>
        <w:outlineLvl w:val="0"/>
      </w:pPr>
      <w:r>
        <w:t xml:space="preserve">In this section, we evaluate the DL BLER corresponding to various numerology options in the presence of phase noise. Specifically, we configured the DL channel bandwidth to 400 MHz, and evaluate the performance impact of phase noise for subcarrier spacing of 120 KHz and 960 KHz. TDL-A </w:t>
      </w:r>
      <w:r w:rsidR="004A0FE0">
        <w:t xml:space="preserve">channel </w:t>
      </w:r>
      <w:r w:rsidR="004A0FE0">
        <w:lastRenderedPageBreak/>
        <w:t>model (2 x 2) is</w:t>
      </w:r>
      <w:r>
        <w:t xml:space="preserve"> assumed in our simulation, with the DS scaling f</w:t>
      </w:r>
      <w:r w:rsidR="004A0FE0">
        <w:t>actor set to 5ns, 10ns, and 20ns</w:t>
      </w:r>
      <w:r>
        <w:t xml:space="preserve">. MCS of 16 (16QAM) and 22 (64QAM) are used in our simulations according to </w:t>
      </w:r>
      <w:r w:rsidRPr="00CA1E59">
        <w:t>Table 5.1.3.1-1</w:t>
      </w:r>
      <w:r>
        <w:t xml:space="preserve"> in </w:t>
      </w:r>
      <w:r>
        <w:fldChar w:fldCharType="begin"/>
      </w:r>
      <w:r>
        <w:instrText xml:space="preserve"> REF _Ref47699091 \n \h </w:instrText>
      </w:r>
      <w:r>
        <w:fldChar w:fldCharType="separate"/>
      </w:r>
      <w:r w:rsidR="00B60F19">
        <w:t>[7]</w:t>
      </w:r>
      <w:r>
        <w:fldChar w:fldCharType="end"/>
      </w:r>
      <w:r>
        <w:t xml:space="preserve">. Note that in our simulation, </w:t>
      </w:r>
      <w:r w:rsidR="004A0FE0">
        <w:t>we use the ICI equalizer developed in the previous section to mitigate the ICI caused by the phase noise.</w:t>
      </w:r>
      <w:r w:rsidR="00B85BBF">
        <w:t xml:space="preserve"> A more detailed simulation settings are given in </w:t>
      </w:r>
      <w:r w:rsidR="00B85BBF">
        <w:fldChar w:fldCharType="begin"/>
      </w:r>
      <w:r w:rsidR="00B85BBF">
        <w:instrText xml:space="preserve"> REF _Ref53675333 \h </w:instrText>
      </w:r>
      <w:r w:rsidR="00B85BBF">
        <w:fldChar w:fldCharType="separate"/>
      </w:r>
      <w:r w:rsidR="00B60F19">
        <w:t xml:space="preserve">Table </w:t>
      </w:r>
      <w:r w:rsidR="00B60F19">
        <w:rPr>
          <w:noProof/>
        </w:rPr>
        <w:t>1</w:t>
      </w:r>
      <w:r w:rsidR="00B85BBF">
        <w:fldChar w:fldCharType="end"/>
      </w:r>
      <w:r w:rsidR="00B85BBF">
        <w:t>.</w:t>
      </w:r>
    </w:p>
    <w:p w14:paraId="7F95E32B" w14:textId="777324A8" w:rsidR="00E748E5" w:rsidRDefault="00663D3E" w:rsidP="00663D3E">
      <w:pPr>
        <w:pStyle w:val="Caption"/>
        <w:jc w:val="center"/>
      </w:pPr>
      <w:bookmarkStart w:id="2" w:name="_Ref53675333"/>
      <w:r>
        <w:t xml:space="preserve">Table </w:t>
      </w:r>
      <w:r w:rsidR="00173FA6">
        <w:rPr>
          <w:noProof/>
        </w:rPr>
        <w:fldChar w:fldCharType="begin"/>
      </w:r>
      <w:r w:rsidR="00173FA6">
        <w:rPr>
          <w:noProof/>
        </w:rPr>
        <w:instrText xml:space="preserve"> SEQ Table \* ARABIC </w:instrText>
      </w:r>
      <w:r w:rsidR="00173FA6">
        <w:rPr>
          <w:noProof/>
        </w:rPr>
        <w:fldChar w:fldCharType="separate"/>
      </w:r>
      <w:r w:rsidR="00B60F19">
        <w:rPr>
          <w:noProof/>
        </w:rPr>
        <w:t>1</w:t>
      </w:r>
      <w:r w:rsidR="00173FA6">
        <w:rPr>
          <w:noProof/>
        </w:rPr>
        <w:fldChar w:fldCharType="end"/>
      </w:r>
      <w:bookmarkEnd w:id="2"/>
      <w:r>
        <w:t xml:space="preserve">: Summary of </w:t>
      </w:r>
      <w:r w:rsidR="00674805">
        <w:t>the simulation parameters</w:t>
      </w:r>
      <w:r>
        <w:t xml:space="preserve"> </w:t>
      </w:r>
    </w:p>
    <w:tbl>
      <w:tblPr>
        <w:tblW w:w="8880" w:type="dxa"/>
        <w:jc w:val="center"/>
        <w:tblCellMar>
          <w:left w:w="0" w:type="dxa"/>
          <w:right w:w="0" w:type="dxa"/>
        </w:tblCellMar>
        <w:tblLook w:val="04A0" w:firstRow="1" w:lastRow="0" w:firstColumn="1" w:lastColumn="0" w:noHBand="0" w:noVBand="1"/>
      </w:tblPr>
      <w:tblGrid>
        <w:gridCol w:w="2257"/>
        <w:gridCol w:w="2115"/>
        <w:gridCol w:w="1456"/>
        <w:gridCol w:w="1217"/>
        <w:gridCol w:w="1835"/>
      </w:tblGrid>
      <w:tr w:rsidR="00E748E5" w14:paraId="127B1D6C" w14:textId="77777777" w:rsidTr="00663D3E">
        <w:trPr>
          <w:trHeight w:val="427"/>
          <w:jc w:val="center"/>
        </w:trPr>
        <w:tc>
          <w:tcPr>
            <w:tcW w:w="888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6623E0"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rPr>
              <w:t>Evaluation Assumptions for LLS</w:t>
            </w:r>
          </w:p>
        </w:tc>
      </w:tr>
      <w:tr w:rsidR="00E748E5" w14:paraId="5B0905BB" w14:textId="77777777" w:rsidTr="00EC5EF1">
        <w:trPr>
          <w:trHeight w:val="709"/>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2471EF"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Channel Bandwidth (MHz)</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338C0E"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Subcarrier Spacing (KHz)</w:t>
            </w:r>
          </w:p>
        </w:tc>
        <w:tc>
          <w:tcPr>
            <w:tcW w:w="14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90D1B2"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FFT Size</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C986FD" w14:textId="77777777" w:rsidR="00E748E5" w:rsidRDefault="00A81FFD">
            <w:pPr>
              <w:pStyle w:val="NormalWeb"/>
              <w:spacing w:before="120" w:beforeAutospacing="0" w:after="120" w:afterAutospacing="0"/>
              <w:jc w:val="center"/>
              <w:rPr>
                <w:rFonts w:ascii="Arial" w:hAnsi="Arial" w:cs="Arial"/>
                <w:sz w:val="36"/>
                <w:szCs w:val="36"/>
              </w:rPr>
            </w:pPr>
            <m:oMathPara>
              <m:oMathParaPr>
                <m:jc m:val="centerGroup"/>
              </m:oMathParaPr>
              <m:oMath>
                <m:sSub>
                  <m:sSubPr>
                    <m:ctrlPr>
                      <w:rPr>
                        <w:rFonts w:ascii="Cambria Math" w:hAnsi="Cambria Math" w:cs="Arial"/>
                        <w:b/>
                        <w:bCs/>
                        <w:i/>
                        <w:iCs/>
                        <w:color w:val="000000" w:themeColor="text1"/>
                        <w:kern w:val="24"/>
                      </w:rPr>
                    </m:ctrlPr>
                  </m:sSubPr>
                  <m:e>
                    <m:r>
                      <m:rPr>
                        <m:sty m:val="bi"/>
                      </m:rPr>
                      <w:rPr>
                        <w:rFonts w:ascii="Cambria Math" w:hAnsi="Cambria Math" w:cs="Arial"/>
                        <w:color w:val="000000" w:themeColor="text1"/>
                        <w:kern w:val="24"/>
                        <w:sz w:val="20"/>
                        <w:szCs w:val="20"/>
                      </w:rPr>
                      <m:t>N</m:t>
                    </m:r>
                  </m:e>
                  <m:sub>
                    <m:r>
                      <m:rPr>
                        <m:sty m:val="bi"/>
                      </m:rPr>
                      <w:rPr>
                        <w:rFonts w:ascii="Cambria Math" w:hAnsi="Cambria Math" w:cs="Arial"/>
                        <w:color w:val="000000" w:themeColor="text1"/>
                        <w:kern w:val="24"/>
                        <w:sz w:val="20"/>
                        <w:szCs w:val="20"/>
                      </w:rPr>
                      <m:t>RB</m:t>
                    </m:r>
                  </m:sub>
                </m:sSub>
              </m:oMath>
            </m:oMathPara>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C4BEA" w14:textId="77777777" w:rsidR="00E748E5" w:rsidRDefault="00E748E5">
            <w:pPr>
              <w:pStyle w:val="NormalWeb"/>
              <w:spacing w:before="120" w:beforeAutospacing="0" w:after="120" w:afterAutospacing="0"/>
              <w:jc w:val="center"/>
              <w:rPr>
                <w:rFonts w:ascii="Arial" w:hAnsi="Arial" w:cs="Arial"/>
                <w:sz w:val="36"/>
                <w:szCs w:val="36"/>
              </w:rPr>
            </w:pPr>
            <w:r>
              <w:rPr>
                <w:b/>
                <w:bCs/>
                <w:color w:val="000000" w:themeColor="text1"/>
                <w:kern w:val="24"/>
                <w:sz w:val="20"/>
                <w:szCs w:val="20"/>
              </w:rPr>
              <w:t>CP Length (</w:t>
            </w:r>
            <m:oMath>
              <m:r>
                <m:rPr>
                  <m:sty m:val="b"/>
                </m:rPr>
                <w:rPr>
                  <w:rFonts w:ascii="Cambria Math" w:eastAsia="Cambria Math" w:hAnsi="Cambria Math" w:cs="Arial"/>
                  <w:color w:val="000000" w:themeColor="text1"/>
                  <w:kern w:val="24"/>
                  <w:sz w:val="20"/>
                  <w:szCs w:val="20"/>
                </w:rPr>
                <m:t>n</m:t>
              </m:r>
              <m:r>
                <m:rPr>
                  <m:sty m:val="bi"/>
                </m:rPr>
                <w:rPr>
                  <w:rFonts w:ascii="Cambria Math" w:eastAsia="Cambria Math" w:hAnsi="Cambria Math" w:cs="Arial"/>
                  <w:color w:val="000000" w:themeColor="text1"/>
                  <w:kern w:val="24"/>
                  <w:sz w:val="20"/>
                  <w:szCs w:val="20"/>
                </w:rPr>
                <m:t>s</m:t>
              </m:r>
            </m:oMath>
            <w:r>
              <w:rPr>
                <w:b/>
                <w:bCs/>
                <w:color w:val="000000" w:themeColor="text1"/>
                <w:kern w:val="24"/>
                <w:sz w:val="20"/>
                <w:szCs w:val="20"/>
              </w:rPr>
              <w:t>)  (NCP)</w:t>
            </w:r>
          </w:p>
        </w:tc>
      </w:tr>
      <w:tr w:rsidR="00E748E5" w14:paraId="6E63A3FC" w14:textId="77777777" w:rsidTr="00EC5EF1">
        <w:trPr>
          <w:trHeight w:val="355"/>
          <w:jc w:val="center"/>
        </w:trPr>
        <w:tc>
          <w:tcPr>
            <w:tcW w:w="225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2DB9D8"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400</w:t>
            </w: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3F3DF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120</w:t>
            </w:r>
          </w:p>
        </w:tc>
        <w:tc>
          <w:tcPr>
            <w:tcW w:w="14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38931B"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4096</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04801"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256</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8715FF"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586</w:t>
            </w:r>
          </w:p>
        </w:tc>
      </w:tr>
      <w:tr w:rsidR="00E748E5" w14:paraId="4E543DBD" w14:textId="77777777" w:rsidTr="00EC5EF1">
        <w:trPr>
          <w:trHeight w:val="35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6B985D" w14:textId="77777777" w:rsidR="00E748E5" w:rsidRDefault="00E748E5">
            <w:pPr>
              <w:rPr>
                <w:rFonts w:ascii="Arial" w:hAnsi="Arial" w:cs="Arial"/>
                <w:sz w:val="36"/>
                <w:szCs w:val="36"/>
              </w:rPr>
            </w:pPr>
          </w:p>
        </w:tc>
        <w:tc>
          <w:tcPr>
            <w:tcW w:w="21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C0E2D4"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960</w:t>
            </w:r>
          </w:p>
        </w:tc>
        <w:tc>
          <w:tcPr>
            <w:tcW w:w="14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CABDF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512</w:t>
            </w:r>
          </w:p>
        </w:tc>
        <w:tc>
          <w:tcPr>
            <w:tcW w:w="12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5F26F"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32</w:t>
            </w:r>
          </w:p>
        </w:tc>
        <w:tc>
          <w:tcPr>
            <w:tcW w:w="1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92806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73</w:t>
            </w:r>
          </w:p>
        </w:tc>
      </w:tr>
      <w:tr w:rsidR="00E748E5" w14:paraId="4CEE1F20" w14:textId="77777777" w:rsidTr="00EC5EF1">
        <w:trPr>
          <w:trHeight w:val="355"/>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FEFE6"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Waveform</w:t>
            </w:r>
          </w:p>
        </w:tc>
        <w:tc>
          <w:tcPr>
            <w:tcW w:w="662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931735" w14:textId="2D694214" w:rsidR="00E748E5" w:rsidRPr="003A76B1" w:rsidRDefault="00EC5EF1" w:rsidP="00EC5EF1">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CP-OFDM</w:t>
            </w:r>
          </w:p>
        </w:tc>
      </w:tr>
      <w:tr w:rsidR="00E748E5" w14:paraId="37A59736" w14:textId="77777777" w:rsidTr="00EC5EF1">
        <w:trPr>
          <w:trHeight w:val="355"/>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CE46A"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 xml:space="preserve">Max </w:t>
            </w:r>
            <m:oMath>
              <m:sSub>
                <m:sSubPr>
                  <m:ctrlPr>
                    <w:rPr>
                      <w:rFonts w:ascii="Cambria Math" w:hAnsi="Cambria Math" w:cs="Arial"/>
                      <w:b/>
                      <w:bCs/>
                      <w:i/>
                      <w:iCs/>
                      <w:color w:val="767171" w:themeColor="background2" w:themeShade="80"/>
                      <w:kern w:val="24"/>
                    </w:rPr>
                  </m:ctrlPr>
                </m:sSubPr>
                <m:e>
                  <m:r>
                    <m:rPr>
                      <m:sty m:val="bi"/>
                    </m:rPr>
                    <w:rPr>
                      <w:rFonts w:ascii="Cambria Math" w:hAnsi="Cambria Math" w:cs="Arial"/>
                      <w:color w:val="767171" w:themeColor="background2" w:themeShade="80"/>
                      <w:kern w:val="24"/>
                    </w:rPr>
                    <m:t>N</m:t>
                  </m:r>
                </m:e>
                <m:sub>
                  <m:r>
                    <m:rPr>
                      <m:sty m:val="bi"/>
                    </m:rPr>
                    <w:rPr>
                      <w:rFonts w:ascii="Cambria Math" w:hAnsi="Cambria Math" w:cs="Arial"/>
                      <w:color w:val="767171" w:themeColor="background2" w:themeShade="80"/>
                      <w:kern w:val="24"/>
                    </w:rPr>
                    <m:t>RB</m:t>
                  </m:r>
                </m:sub>
              </m:sSub>
            </m:oMath>
          </w:p>
        </w:tc>
        <w:tc>
          <w:tcPr>
            <w:tcW w:w="662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43B5E2"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275 (FFT size: 4096)</w:t>
            </w:r>
          </w:p>
        </w:tc>
      </w:tr>
      <w:tr w:rsidR="00E748E5" w14:paraId="61F67239" w14:textId="77777777" w:rsidTr="00EC5EF1">
        <w:trPr>
          <w:trHeight w:val="355"/>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A6D2F9"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Channel</w:t>
            </w:r>
          </w:p>
        </w:tc>
        <w:tc>
          <w:tcPr>
            <w:tcW w:w="662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F88AED" w14:textId="30B1CBA8" w:rsidR="00E748E5" w:rsidRPr="00EC5EF1" w:rsidRDefault="00E748E5" w:rsidP="00EC5EF1">
            <w:pPr>
              <w:pStyle w:val="NormalWeb"/>
              <w:spacing w:before="120" w:beforeAutospacing="0" w:after="120" w:afterAutospacing="0"/>
              <w:jc w:val="center"/>
              <w:rPr>
                <w:rFonts w:ascii="Arial" w:hAnsi="Arial" w:cs="Arial"/>
              </w:rPr>
            </w:pPr>
            <w:r w:rsidRPr="00EC5EF1">
              <w:rPr>
                <w:b/>
                <w:bCs/>
                <w:color w:val="767171" w:themeColor="background2" w:themeShade="80"/>
                <w:kern w:val="24"/>
              </w:rPr>
              <w:t>Model: TDL</w:t>
            </w:r>
            <w:r w:rsidR="00EC5EF1" w:rsidRPr="00EC5EF1">
              <w:rPr>
                <w:b/>
                <w:bCs/>
                <w:color w:val="767171" w:themeColor="background2" w:themeShade="80"/>
                <w:kern w:val="24"/>
              </w:rPr>
              <w:t>-A</w:t>
            </w:r>
            <w:r w:rsidRPr="00EC5EF1">
              <w:rPr>
                <w:b/>
                <w:bCs/>
                <w:color w:val="767171" w:themeColor="background2" w:themeShade="80"/>
                <w:kern w:val="24"/>
              </w:rPr>
              <w:t xml:space="preserve"> (2x2)</w:t>
            </w:r>
            <w:r w:rsidR="00EC5EF1">
              <w:rPr>
                <w:b/>
                <w:bCs/>
                <w:color w:val="767171" w:themeColor="background2" w:themeShade="80"/>
                <w:kern w:val="24"/>
              </w:rPr>
              <w:t>; Mobility: 3 km/h</w:t>
            </w:r>
            <w:r w:rsidRPr="00EC5EF1">
              <w:rPr>
                <w:b/>
                <w:bCs/>
                <w:color w:val="767171" w:themeColor="background2" w:themeShade="80"/>
                <w:kern w:val="24"/>
              </w:rPr>
              <w:t>r</w:t>
            </w:r>
            <w:r w:rsidR="00EC5EF1" w:rsidRPr="00EC5EF1">
              <w:rPr>
                <w:b/>
                <w:bCs/>
                <w:color w:val="767171" w:themeColor="background2" w:themeShade="80"/>
                <w:kern w:val="24"/>
              </w:rPr>
              <w:t>; DS: 5ns, 10ns, 20ns</w:t>
            </w:r>
          </w:p>
        </w:tc>
      </w:tr>
      <w:tr w:rsidR="00E748E5" w14:paraId="2B33E62F" w14:textId="77777777" w:rsidTr="00EC5EF1">
        <w:trPr>
          <w:trHeight w:val="355"/>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88E387"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Phase Noise</w:t>
            </w:r>
          </w:p>
        </w:tc>
        <w:tc>
          <w:tcPr>
            <w:tcW w:w="662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8D7E53" w14:textId="77777777" w:rsidR="00E748E5" w:rsidRPr="003A76B1" w:rsidRDefault="00E748E5" w:rsidP="00B53AEC">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TR 38.803 Example 2</w:t>
            </w:r>
          </w:p>
        </w:tc>
      </w:tr>
      <w:tr w:rsidR="00E748E5" w14:paraId="08B76B23" w14:textId="77777777" w:rsidTr="00EC5EF1">
        <w:trPr>
          <w:trHeight w:val="355"/>
          <w:jc w:val="center"/>
        </w:trPr>
        <w:tc>
          <w:tcPr>
            <w:tcW w:w="22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F2AA1" w14:textId="77777777" w:rsidR="00E748E5" w:rsidRDefault="00E748E5">
            <w:pPr>
              <w:pStyle w:val="NormalWeb"/>
              <w:spacing w:before="120" w:beforeAutospacing="0" w:after="120" w:afterAutospacing="0"/>
              <w:jc w:val="center"/>
              <w:rPr>
                <w:rFonts w:ascii="Arial" w:hAnsi="Arial" w:cs="Arial"/>
                <w:sz w:val="36"/>
                <w:szCs w:val="36"/>
              </w:rPr>
            </w:pPr>
            <w:r>
              <w:rPr>
                <w:b/>
                <w:bCs/>
                <w:color w:val="767171" w:themeColor="background2" w:themeShade="80"/>
                <w:kern w:val="24"/>
              </w:rPr>
              <w:t>NR Settings</w:t>
            </w:r>
          </w:p>
        </w:tc>
        <w:tc>
          <w:tcPr>
            <w:tcW w:w="662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C34193" w14:textId="7C6E6DDF" w:rsidR="00E748E5" w:rsidRPr="003A76B1" w:rsidRDefault="00E748E5" w:rsidP="00FB514B">
            <w:pPr>
              <w:pStyle w:val="NormalWeb"/>
              <w:spacing w:before="120" w:beforeAutospacing="0" w:after="120" w:afterAutospacing="0"/>
              <w:jc w:val="center"/>
              <w:rPr>
                <w:rFonts w:ascii="Arial" w:hAnsi="Arial" w:cs="Arial"/>
                <w:sz w:val="36"/>
                <w:szCs w:val="36"/>
              </w:rPr>
            </w:pPr>
            <w:r w:rsidRPr="003A76B1">
              <w:rPr>
                <w:b/>
                <w:bCs/>
                <w:color w:val="767171" w:themeColor="background2" w:themeShade="80"/>
                <w:kern w:val="24"/>
              </w:rPr>
              <w:t>PDSCH: Rank 1, DMRS: 1 symbol, PTRS: (K=4, L=1),    MCS: 16(16QAM), 22(64QAM)</w:t>
            </w:r>
          </w:p>
        </w:tc>
      </w:tr>
    </w:tbl>
    <w:p w14:paraId="1CD3355F" w14:textId="77777777" w:rsidR="009C54CF" w:rsidRPr="009C54CF" w:rsidRDefault="009C54CF" w:rsidP="009C54CF">
      <w:pPr>
        <w:rPr>
          <w:rFonts w:eastAsia="SimSun"/>
        </w:rPr>
      </w:pPr>
    </w:p>
    <w:p w14:paraId="7AD3F41E" w14:textId="573D2846" w:rsidR="004657D9" w:rsidRDefault="00565540" w:rsidP="00EA5E2E">
      <w:pPr>
        <w:pStyle w:val="ListParagraph"/>
        <w:spacing w:beforeLines="50" w:before="120" w:afterLines="50" w:after="120"/>
        <w:ind w:left="0"/>
        <w:contextualSpacing w:val="0"/>
        <w:outlineLvl w:val="0"/>
      </w:pPr>
      <w:r>
        <w:fldChar w:fldCharType="begin"/>
      </w:r>
      <w:r>
        <w:instrText xml:space="preserve"> REF _Ref47699112 \h </w:instrText>
      </w:r>
      <w:r>
        <w:fldChar w:fldCharType="separate"/>
      </w:r>
      <w:r w:rsidR="00B60F19">
        <w:t xml:space="preserve">Figure </w:t>
      </w:r>
      <w:r w:rsidR="00B60F19">
        <w:rPr>
          <w:noProof/>
        </w:rPr>
        <w:t>1</w:t>
      </w:r>
      <w:r>
        <w:fldChar w:fldCharType="end"/>
      </w:r>
      <w:r w:rsidR="00F8348A">
        <w:t xml:space="preserve"> and</w:t>
      </w:r>
      <w:r>
        <w:t xml:space="preserve"> </w:t>
      </w:r>
      <w:r>
        <w:fldChar w:fldCharType="begin"/>
      </w:r>
      <w:r>
        <w:instrText xml:space="preserve"> REF _Ref47699128 \h </w:instrText>
      </w:r>
      <w:r>
        <w:fldChar w:fldCharType="separate"/>
      </w:r>
      <w:r w:rsidR="00B60F19">
        <w:t xml:space="preserve">Figure </w:t>
      </w:r>
      <w:r w:rsidR="00B60F19">
        <w:rPr>
          <w:noProof/>
        </w:rPr>
        <w:t>2</w:t>
      </w:r>
      <w:r>
        <w:fldChar w:fldCharType="end"/>
      </w:r>
      <w:r>
        <w:t xml:space="preserve"> </w:t>
      </w:r>
      <w:r w:rsidR="00F8348A">
        <w:t xml:space="preserve">show </w:t>
      </w:r>
      <w:r>
        <w:t>the simulated DL performanc</w:t>
      </w:r>
      <w:r w:rsidR="00F8348A">
        <w:t>e for TDL-A channel with delay spread of 5ns and 10ns,</w:t>
      </w:r>
      <w:r>
        <w:t xml:space="preserve"> respectively. Fr</w:t>
      </w:r>
      <w:r w:rsidR="00B10652">
        <w:t xml:space="preserve">om the figures, we can see that unlike the case when only CPE is compensated, the error floor we observed in </w:t>
      </w:r>
      <w:r w:rsidR="00B10652">
        <w:fldChar w:fldCharType="begin"/>
      </w:r>
      <w:r w:rsidR="00B10652">
        <w:instrText xml:space="preserve"> REF _Ref53657233 \n \h </w:instrText>
      </w:r>
      <w:r w:rsidR="00B10652">
        <w:fldChar w:fldCharType="separate"/>
      </w:r>
      <w:r w:rsidR="00B60F19">
        <w:t>[8]</w:t>
      </w:r>
      <w:r w:rsidR="00B10652">
        <w:fldChar w:fldCharType="end"/>
      </w:r>
      <w:r w:rsidR="00B10652">
        <w:t xml:space="preserve"> no longer exists for 120KHz subcarrier spacing.</w:t>
      </w:r>
      <w:r>
        <w:t xml:space="preserve"> </w:t>
      </w:r>
      <w:r w:rsidR="00DA3D0E">
        <w:t xml:space="preserve">This shows that a simple, 3-tap BLS ICI equalizer is able to eliminate the error floor caused by the ICI, and in turn allows proper operation using current NR numerology. </w:t>
      </w:r>
      <w:r w:rsidR="00B10652">
        <w:t>Performance degradation, however, is still visible at high MCS, particularly when compared to the cases with 960KHz subcarrier spacing.</w:t>
      </w:r>
    </w:p>
    <w:p w14:paraId="2025E293" w14:textId="7E55D584" w:rsidR="00DE30B8" w:rsidRDefault="00DE30B8" w:rsidP="00DE30B8">
      <w:pPr>
        <w:pStyle w:val="Caption"/>
        <w:spacing w:before="120"/>
      </w:pPr>
      <w:bookmarkStart w:id="3" w:name="_Ref47695458"/>
      <w:bookmarkStart w:id="4" w:name="_Ref53691482"/>
      <w:r>
        <w:t xml:space="preserve">Observation </w:t>
      </w:r>
      <w:r>
        <w:rPr>
          <w:noProof/>
        </w:rPr>
        <w:fldChar w:fldCharType="begin"/>
      </w:r>
      <w:r>
        <w:rPr>
          <w:noProof/>
        </w:rPr>
        <w:instrText xml:space="preserve"> SEQ Observation \* ARABIC </w:instrText>
      </w:r>
      <w:r>
        <w:rPr>
          <w:noProof/>
        </w:rPr>
        <w:fldChar w:fldCharType="separate"/>
      </w:r>
      <w:r w:rsidR="00B60F19">
        <w:rPr>
          <w:noProof/>
        </w:rPr>
        <w:t>1</w:t>
      </w:r>
      <w:r>
        <w:rPr>
          <w:noProof/>
        </w:rPr>
        <w:fldChar w:fldCharType="end"/>
      </w:r>
      <w:r>
        <w:t xml:space="preserve">: </w:t>
      </w:r>
      <w:bookmarkEnd w:id="3"/>
      <w:r>
        <w:t>A</w:t>
      </w:r>
      <w:r w:rsidRPr="00DE30B8">
        <w:t xml:space="preserve"> simple, 3-tap BLS ICI equalizer is able to eliminate the error floor caused by the ICI, and in turn allows proper operation using current NR numerology</w:t>
      </w:r>
      <w:r>
        <w:t xml:space="preserve"> (e.g., SCS = 120KHz)</w:t>
      </w:r>
      <w:r w:rsidRPr="00DE30B8">
        <w:t>.</w:t>
      </w:r>
      <w:bookmarkEnd w:id="4"/>
    </w:p>
    <w:p w14:paraId="19623F19" w14:textId="2A81164D" w:rsidR="0090194F" w:rsidRDefault="0090194F" w:rsidP="00EA5E2E">
      <w:pPr>
        <w:pStyle w:val="ListParagraph"/>
        <w:spacing w:beforeLines="50" w:before="120" w:afterLines="50" w:after="120"/>
        <w:ind w:left="0"/>
        <w:contextualSpacing w:val="0"/>
        <w:outlineLvl w:val="0"/>
      </w:pPr>
      <w:r>
        <w:t xml:space="preserve">To further reduce the performance degradation, some companies have proposed modifications to the PTRS design. Particularly, one modification that features block PTRS patterns has the potential to further enhance the ICI mitigation capability of the receiver. We </w:t>
      </w:r>
      <w:r w:rsidR="007F20C0">
        <w:t xml:space="preserve">thus </w:t>
      </w:r>
      <w:r>
        <w:t xml:space="preserve">evaluate the performance of the 3-tap BLS equalizer, assuming block PTRS patterns (i.e., blocks of 8 consecutive REs are allocated for PTRS transmission). In order to achieve fair comparison, we also reduce the frequency density accordingly (i.e., switch from </w:t>
      </w:r>
      <m:oMath>
        <m:sSub>
          <m:sSubPr>
            <m:ctrlPr>
              <w:rPr>
                <w:rFonts w:ascii="Cambria Math" w:hAnsi="Cambria Math"/>
                <w:i/>
              </w:rPr>
            </m:ctrlPr>
          </m:sSubPr>
          <m:e>
            <m:r>
              <w:rPr>
                <w:rFonts w:ascii="Cambria Math" w:hAnsi="Cambria Math"/>
              </w:rPr>
              <m:t>K</m:t>
            </m:r>
          </m:e>
          <m:sub>
            <m:r>
              <w:rPr>
                <w:rFonts w:ascii="Cambria Math" w:hAnsi="Cambria Math"/>
              </w:rPr>
              <m:t>ptrs</m:t>
            </m:r>
          </m:sub>
        </m:sSub>
        <m:r>
          <w:rPr>
            <w:rFonts w:ascii="Cambria Math" w:hAnsi="Cambria Math"/>
          </w:rPr>
          <m:t>=4</m:t>
        </m:r>
      </m:oMath>
      <w:r>
        <w:t xml:space="preserve"> to </w:t>
      </w:r>
      <m:oMath>
        <m:sSub>
          <m:sSubPr>
            <m:ctrlPr>
              <w:rPr>
                <w:rFonts w:ascii="Cambria Math" w:hAnsi="Cambria Math"/>
                <w:i/>
              </w:rPr>
            </m:ctrlPr>
          </m:sSubPr>
          <m:e>
            <m:r>
              <w:rPr>
                <w:rFonts w:ascii="Cambria Math" w:hAnsi="Cambria Math"/>
              </w:rPr>
              <m:t>K</m:t>
            </m:r>
          </m:e>
          <m:sub>
            <m:r>
              <w:rPr>
                <w:rFonts w:ascii="Cambria Math" w:hAnsi="Cambria Math"/>
              </w:rPr>
              <m:t>ptrs</m:t>
            </m:r>
          </m:sub>
        </m:sSub>
        <m:r>
          <w:rPr>
            <w:rFonts w:ascii="Cambria Math" w:hAnsi="Cambria Math"/>
          </w:rPr>
          <m:t>=32</m:t>
        </m:r>
      </m:oMath>
      <w:r w:rsidR="007F20C0">
        <w:t xml:space="preserve">). </w:t>
      </w:r>
      <w:r w:rsidR="006C0827">
        <w:t xml:space="preserve">The result is shown in </w:t>
      </w:r>
      <w:r w:rsidR="006C0827">
        <w:fldChar w:fldCharType="begin"/>
      </w:r>
      <w:r w:rsidR="006C0827">
        <w:instrText xml:space="preserve"> REF _Ref53690373 \h </w:instrText>
      </w:r>
      <w:r w:rsidR="006C0827">
        <w:fldChar w:fldCharType="separate"/>
      </w:r>
      <w:r w:rsidR="00B60F19">
        <w:t xml:space="preserve">Figure </w:t>
      </w:r>
      <w:r w:rsidR="00B60F19">
        <w:rPr>
          <w:noProof/>
        </w:rPr>
        <w:t>3</w:t>
      </w:r>
      <w:r w:rsidR="006C0827">
        <w:fldChar w:fldCharType="end"/>
      </w:r>
      <w:r w:rsidR="006C0827">
        <w:t>. From the figure, we can see that when the 3-tap linear BLS equalizer is used at the receiver, both R-15 PTRS design and block PTRS design</w:t>
      </w:r>
      <w:r w:rsidR="00DE30B8">
        <w:t xml:space="preserve"> offer</w:t>
      </w:r>
      <w:r w:rsidR="003F7051">
        <w:t xml:space="preserve"> identical performance. This is because the simple equalizer we implemented does not </w:t>
      </w:r>
      <w:r w:rsidR="00C07867">
        <w:t xml:space="preserve">take advantage of </w:t>
      </w:r>
      <w:r w:rsidR="003F7051">
        <w:t xml:space="preserve">the fact that some PTRS symbols are </w:t>
      </w:r>
      <w:r w:rsidR="00C07867">
        <w:t xml:space="preserve">located in consecutive REs. </w:t>
      </w:r>
      <w:r w:rsidR="00444567">
        <w:t>More complicated ICI equalization technique (e.g., DFE), together with the block PTRS design, may further red</w:t>
      </w:r>
      <w:r w:rsidR="00ED22ED">
        <w:t>uce the performance degradation due to phase noise.</w:t>
      </w:r>
    </w:p>
    <w:p w14:paraId="5A1C71C5" w14:textId="434B5EAC" w:rsidR="00DE30B8" w:rsidRDefault="00DE30B8" w:rsidP="00DE30B8">
      <w:pPr>
        <w:pStyle w:val="Caption"/>
        <w:spacing w:before="120"/>
      </w:pPr>
      <w:bookmarkStart w:id="5" w:name="_Ref47695471"/>
      <w:bookmarkStart w:id="6" w:name="_Ref53691491"/>
      <w:r>
        <w:t xml:space="preserve">Observation </w:t>
      </w:r>
      <w:r>
        <w:rPr>
          <w:noProof/>
        </w:rPr>
        <w:fldChar w:fldCharType="begin"/>
      </w:r>
      <w:r>
        <w:rPr>
          <w:noProof/>
        </w:rPr>
        <w:instrText xml:space="preserve"> SEQ Observation \* ARABIC </w:instrText>
      </w:r>
      <w:r>
        <w:rPr>
          <w:noProof/>
        </w:rPr>
        <w:fldChar w:fldCharType="separate"/>
      </w:r>
      <w:r w:rsidR="00B60F19">
        <w:rPr>
          <w:noProof/>
        </w:rPr>
        <w:t>2</w:t>
      </w:r>
      <w:r>
        <w:rPr>
          <w:noProof/>
        </w:rPr>
        <w:fldChar w:fldCharType="end"/>
      </w:r>
      <w:r>
        <w:t>:</w:t>
      </w:r>
      <w:r w:rsidRPr="009A3F89">
        <w:rPr>
          <w:b w:val="0"/>
          <w:bCs w:val="0"/>
        </w:rPr>
        <w:t xml:space="preserve"> </w:t>
      </w:r>
      <w:bookmarkEnd w:id="5"/>
      <w:r>
        <w:t xml:space="preserve">When </w:t>
      </w:r>
      <w:r w:rsidRPr="00DE30B8">
        <w:t>3-tap BLS ICI equalizer</w:t>
      </w:r>
      <w:r>
        <w:t xml:space="preserve"> is used at the receiver, R-15 PTRS design and block PTRS design offer identical performance.</w:t>
      </w:r>
      <w:bookmarkEnd w:id="6"/>
    </w:p>
    <w:p w14:paraId="3DED3392" w14:textId="2344B46F" w:rsidR="00DE30B8" w:rsidRDefault="00ED22ED" w:rsidP="00ED22ED">
      <w:pPr>
        <w:pStyle w:val="Caption"/>
      </w:pPr>
      <w:bookmarkStart w:id="7" w:name="_Ref53691498"/>
      <w:r>
        <w:lastRenderedPageBreak/>
        <w:t xml:space="preserve">Observation </w:t>
      </w:r>
      <w:r w:rsidR="002312A4">
        <w:rPr>
          <w:noProof/>
        </w:rPr>
        <w:fldChar w:fldCharType="begin"/>
      </w:r>
      <w:r w:rsidR="002312A4">
        <w:rPr>
          <w:noProof/>
        </w:rPr>
        <w:instrText xml:space="preserve"> SEQ Observation \* ARABIC </w:instrText>
      </w:r>
      <w:r w:rsidR="002312A4">
        <w:rPr>
          <w:noProof/>
        </w:rPr>
        <w:fldChar w:fldCharType="separate"/>
      </w:r>
      <w:r w:rsidR="00B60F19">
        <w:rPr>
          <w:noProof/>
        </w:rPr>
        <w:t>3</w:t>
      </w:r>
      <w:r w:rsidR="002312A4">
        <w:rPr>
          <w:noProof/>
        </w:rPr>
        <w:fldChar w:fldCharType="end"/>
      </w:r>
      <w:r>
        <w:t>: More complicated ICI equalization technique (e.g., DFE), together with the block PTRS design, may further reduce the performance degradation due to phase noise.</w:t>
      </w:r>
      <w:bookmarkEnd w:id="7"/>
    </w:p>
    <w:p w14:paraId="30490BB9" w14:textId="557394D1" w:rsidR="004657D9" w:rsidRDefault="008369BD" w:rsidP="004657D9">
      <w:pPr>
        <w:pStyle w:val="ListParagraph"/>
        <w:spacing w:beforeLines="50" w:before="120" w:afterLines="50" w:after="120"/>
        <w:ind w:left="0"/>
        <w:contextualSpacing w:val="0"/>
        <w:jc w:val="center"/>
        <w:outlineLvl w:val="0"/>
      </w:pPr>
      <w:r>
        <w:rPr>
          <w:noProof/>
          <w:lang w:eastAsia="zh-TW"/>
        </w:rPr>
        <w:drawing>
          <wp:inline distT="0" distB="0" distL="0" distR="0" wp14:anchorId="4E20FC5A" wp14:editId="1DF5EE63">
            <wp:extent cx="5129784" cy="38496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29784" cy="3849624"/>
                    </a:xfrm>
                    <a:prstGeom prst="rect">
                      <a:avLst/>
                    </a:prstGeom>
                  </pic:spPr>
                </pic:pic>
              </a:graphicData>
            </a:graphic>
          </wp:inline>
        </w:drawing>
      </w:r>
    </w:p>
    <w:p w14:paraId="68891664" w14:textId="2D1FF83F" w:rsidR="00E437E7" w:rsidRDefault="00E437E7" w:rsidP="00E437E7">
      <w:pPr>
        <w:pStyle w:val="Caption"/>
        <w:jc w:val="center"/>
      </w:pPr>
      <w:bookmarkStart w:id="8" w:name="_Ref47699112"/>
      <w:r>
        <w:t xml:space="preserve">Figure </w:t>
      </w:r>
      <w:r w:rsidR="00173FA6">
        <w:rPr>
          <w:noProof/>
        </w:rPr>
        <w:fldChar w:fldCharType="begin"/>
      </w:r>
      <w:r w:rsidR="00173FA6">
        <w:rPr>
          <w:noProof/>
        </w:rPr>
        <w:instrText xml:space="preserve"> SEQ Figure \* ARABIC </w:instrText>
      </w:r>
      <w:r w:rsidR="00173FA6">
        <w:rPr>
          <w:noProof/>
        </w:rPr>
        <w:fldChar w:fldCharType="separate"/>
      </w:r>
      <w:r w:rsidR="00B60F19">
        <w:rPr>
          <w:noProof/>
        </w:rPr>
        <w:t>1</w:t>
      </w:r>
      <w:r w:rsidR="00173FA6">
        <w:rPr>
          <w:noProof/>
        </w:rPr>
        <w:fldChar w:fldCharType="end"/>
      </w:r>
      <w:bookmarkEnd w:id="8"/>
      <w:r>
        <w:t>: DL Performance for TDL-A (DS</w:t>
      </w:r>
      <w:r w:rsidR="005E00E4">
        <w:t xml:space="preserve"> </w:t>
      </w:r>
      <w:r>
        <w:t>=</w:t>
      </w:r>
      <w:r w:rsidR="005E00E4">
        <w:t xml:space="preserve"> </w:t>
      </w:r>
      <w:r>
        <w:t xml:space="preserve">5 ns) Channel </w:t>
      </w:r>
    </w:p>
    <w:p w14:paraId="2AAE872A" w14:textId="6A760DC3" w:rsidR="00D83133" w:rsidRDefault="008369BD" w:rsidP="004657D9">
      <w:pPr>
        <w:pStyle w:val="ListParagraph"/>
        <w:spacing w:beforeLines="50" w:before="120" w:afterLines="50" w:after="120"/>
        <w:ind w:left="0"/>
        <w:contextualSpacing w:val="0"/>
        <w:jc w:val="center"/>
        <w:outlineLvl w:val="0"/>
      </w:pPr>
      <w:r>
        <w:rPr>
          <w:noProof/>
          <w:lang w:eastAsia="zh-TW"/>
        </w:rPr>
        <w:drawing>
          <wp:inline distT="0" distB="0" distL="0" distR="0" wp14:anchorId="4DFAECA6" wp14:editId="7EC6FF36">
            <wp:extent cx="5102352" cy="3803904"/>
            <wp:effectExtent l="0" t="0" r="317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02352" cy="3803904"/>
                    </a:xfrm>
                    <a:prstGeom prst="rect">
                      <a:avLst/>
                    </a:prstGeom>
                  </pic:spPr>
                </pic:pic>
              </a:graphicData>
            </a:graphic>
          </wp:inline>
        </w:drawing>
      </w:r>
    </w:p>
    <w:p w14:paraId="0D9CD05D" w14:textId="6E6BE051" w:rsidR="00E437E7" w:rsidRDefault="00E437E7" w:rsidP="00E437E7">
      <w:pPr>
        <w:pStyle w:val="Caption"/>
        <w:jc w:val="center"/>
      </w:pPr>
      <w:bookmarkStart w:id="9" w:name="_Ref47699128"/>
      <w:r>
        <w:t xml:space="preserve">Figure </w:t>
      </w:r>
      <w:r w:rsidR="00173FA6">
        <w:rPr>
          <w:noProof/>
        </w:rPr>
        <w:fldChar w:fldCharType="begin"/>
      </w:r>
      <w:r w:rsidR="00173FA6">
        <w:rPr>
          <w:noProof/>
        </w:rPr>
        <w:instrText xml:space="preserve"> SEQ Figure \* ARABIC </w:instrText>
      </w:r>
      <w:r w:rsidR="00173FA6">
        <w:rPr>
          <w:noProof/>
        </w:rPr>
        <w:fldChar w:fldCharType="separate"/>
      </w:r>
      <w:r w:rsidR="00B60F19">
        <w:rPr>
          <w:noProof/>
        </w:rPr>
        <w:t>2</w:t>
      </w:r>
      <w:r w:rsidR="00173FA6">
        <w:rPr>
          <w:noProof/>
        </w:rPr>
        <w:fldChar w:fldCharType="end"/>
      </w:r>
      <w:bookmarkEnd w:id="9"/>
      <w:r w:rsidR="008369BD">
        <w:t>: DL Performance for TDL-A</w:t>
      </w:r>
      <w:r>
        <w:t xml:space="preserve"> (DS</w:t>
      </w:r>
      <w:r w:rsidR="005E00E4">
        <w:t xml:space="preserve"> </w:t>
      </w:r>
      <w:r>
        <w:t>=</w:t>
      </w:r>
      <w:r w:rsidR="005E00E4">
        <w:t xml:space="preserve"> </w:t>
      </w:r>
      <w:r>
        <w:t>10 ns) Channel</w:t>
      </w:r>
    </w:p>
    <w:p w14:paraId="7D53968A" w14:textId="367CEAAB" w:rsidR="004657D9" w:rsidRDefault="007F20C0" w:rsidP="007F20C0">
      <w:pPr>
        <w:pStyle w:val="ListParagraph"/>
        <w:spacing w:beforeLines="50" w:before="120" w:afterLines="50" w:after="120"/>
        <w:ind w:left="0"/>
        <w:contextualSpacing w:val="0"/>
        <w:jc w:val="center"/>
        <w:outlineLvl w:val="0"/>
      </w:pPr>
      <w:r>
        <w:rPr>
          <w:noProof/>
          <w:lang w:eastAsia="zh-TW"/>
        </w:rPr>
        <w:lastRenderedPageBreak/>
        <w:drawing>
          <wp:inline distT="0" distB="0" distL="0" distR="0" wp14:anchorId="71438074" wp14:editId="3960509D">
            <wp:extent cx="5102352" cy="3813048"/>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02352" cy="3813048"/>
                    </a:xfrm>
                    <a:prstGeom prst="rect">
                      <a:avLst/>
                    </a:prstGeom>
                  </pic:spPr>
                </pic:pic>
              </a:graphicData>
            </a:graphic>
          </wp:inline>
        </w:drawing>
      </w:r>
    </w:p>
    <w:p w14:paraId="50E37EBD" w14:textId="34F77FF8" w:rsidR="0095542F" w:rsidRDefault="00646844" w:rsidP="000158B4">
      <w:pPr>
        <w:pStyle w:val="Caption"/>
        <w:jc w:val="center"/>
      </w:pPr>
      <w:bookmarkStart w:id="10" w:name="_Ref53690373"/>
      <w:r>
        <w:t xml:space="preserve">Figure </w:t>
      </w:r>
      <w:r w:rsidR="002312A4">
        <w:rPr>
          <w:noProof/>
        </w:rPr>
        <w:fldChar w:fldCharType="begin"/>
      </w:r>
      <w:r w:rsidR="002312A4">
        <w:rPr>
          <w:noProof/>
        </w:rPr>
        <w:instrText xml:space="preserve"> SEQ Figure \* ARABIC </w:instrText>
      </w:r>
      <w:r w:rsidR="002312A4">
        <w:rPr>
          <w:noProof/>
        </w:rPr>
        <w:fldChar w:fldCharType="separate"/>
      </w:r>
      <w:r w:rsidR="00B60F19">
        <w:rPr>
          <w:noProof/>
        </w:rPr>
        <w:t>3</w:t>
      </w:r>
      <w:r w:rsidR="002312A4">
        <w:rPr>
          <w:noProof/>
        </w:rPr>
        <w:fldChar w:fldCharType="end"/>
      </w:r>
      <w:bookmarkEnd w:id="10"/>
      <w:r>
        <w:t>: Performance comparison between various PTRS design</w:t>
      </w:r>
    </w:p>
    <w:p w14:paraId="10B31DCA" w14:textId="1ADAD957" w:rsidR="008F7A9D" w:rsidRDefault="000D5DFA" w:rsidP="008F7A9D">
      <w:pPr>
        <w:pStyle w:val="ListParagraph"/>
        <w:numPr>
          <w:ilvl w:val="0"/>
          <w:numId w:val="5"/>
        </w:numPr>
        <w:spacing w:beforeLines="50" w:before="120" w:afterLines="50" w:after="120"/>
        <w:contextualSpacing w:val="0"/>
        <w:outlineLvl w:val="0"/>
        <w:rPr>
          <w:b/>
          <w:sz w:val="28"/>
        </w:rPr>
      </w:pPr>
      <w:r>
        <w:rPr>
          <w:b/>
          <w:sz w:val="28"/>
        </w:rPr>
        <w:t>Discussion on potential change of physical layer design</w:t>
      </w:r>
    </w:p>
    <w:p w14:paraId="64549411" w14:textId="77777777" w:rsidR="000D5DFA" w:rsidRDefault="000D5DFA" w:rsidP="008655A7">
      <w:pPr>
        <w:pStyle w:val="ListParagraph"/>
        <w:numPr>
          <w:ilvl w:val="1"/>
          <w:numId w:val="5"/>
        </w:numPr>
        <w:spacing w:beforeLines="50" w:before="120" w:afterLines="50" w:after="120"/>
        <w:contextualSpacing w:val="0"/>
        <w:outlineLvl w:val="0"/>
        <w:rPr>
          <w:b/>
          <w:sz w:val="28"/>
        </w:rPr>
      </w:pPr>
      <w:r w:rsidRPr="000D5DFA">
        <w:rPr>
          <w:b/>
          <w:sz w:val="28"/>
        </w:rPr>
        <w:t xml:space="preserve">SSB </w:t>
      </w:r>
    </w:p>
    <w:p w14:paraId="633696F1" w14:textId="1EACCC68" w:rsidR="0031425D" w:rsidRDefault="0031425D" w:rsidP="0031425D">
      <w:r>
        <w:t xml:space="preserve">In RAN1 #102e meeting, it has been agreed that the following aspects are considered to determine SSB subcarrier spacing </w:t>
      </w:r>
      <w:r w:rsidR="002D0A17">
        <w:fldChar w:fldCharType="begin"/>
      </w:r>
      <w:r w:rsidR="002D0A17">
        <w:instrText xml:space="preserve"> REF _Ref53738063 \r \h </w:instrText>
      </w:r>
      <w:r w:rsidR="002D0A17">
        <w:fldChar w:fldCharType="separate"/>
      </w:r>
      <w:r w:rsidR="00B60F19">
        <w:t>[10]</w:t>
      </w:r>
      <w:r w:rsidR="002D0A17">
        <w:fldChar w:fldCharType="end"/>
      </w:r>
    </w:p>
    <w:p w14:paraId="4049770A" w14:textId="77777777" w:rsidR="0031425D" w:rsidRDefault="0031425D" w:rsidP="0031425D"/>
    <w:p w14:paraId="5D688C27" w14:textId="77777777" w:rsidR="0031425D" w:rsidRDefault="0031425D" w:rsidP="0031425D">
      <w:pPr>
        <w:pStyle w:val="ListParagraph"/>
        <w:numPr>
          <w:ilvl w:val="0"/>
          <w:numId w:val="46"/>
        </w:numPr>
        <w:overflowPunct w:val="0"/>
        <w:autoSpaceDE w:val="0"/>
        <w:autoSpaceDN w:val="0"/>
        <w:adjustRightInd w:val="0"/>
        <w:spacing w:after="180"/>
        <w:textAlignment w:val="baseline"/>
        <w:rPr>
          <w:lang w:eastAsia="x-none"/>
        </w:rPr>
      </w:pPr>
      <w:r>
        <w:rPr>
          <w:lang w:eastAsia="x-none"/>
        </w:rPr>
        <w:t>Detection performance of SSB (including PSS, SSS, PBCH DMRS, and PBCH) and SSB coverage requirement</w:t>
      </w:r>
    </w:p>
    <w:p w14:paraId="0ED5A5FD" w14:textId="77777777" w:rsidR="0031425D" w:rsidRDefault="0031425D" w:rsidP="0031425D">
      <w:pPr>
        <w:pStyle w:val="ListParagraph"/>
        <w:numPr>
          <w:ilvl w:val="0"/>
          <w:numId w:val="46"/>
        </w:numPr>
        <w:overflowPunct w:val="0"/>
        <w:autoSpaceDE w:val="0"/>
        <w:autoSpaceDN w:val="0"/>
        <w:adjustRightInd w:val="0"/>
        <w:spacing w:after="180"/>
        <w:textAlignment w:val="baseline"/>
        <w:rPr>
          <w:lang w:eastAsia="x-none"/>
        </w:rPr>
      </w:pPr>
      <w:r>
        <w:rPr>
          <w:lang w:eastAsia="x-none"/>
        </w:rPr>
        <w:t>Impact on initial cell search complexity due to frequency errors (e.g. carrier frequency offset, Doppler shift, etc)</w:t>
      </w:r>
    </w:p>
    <w:p w14:paraId="354D8B04" w14:textId="77777777" w:rsidR="0031425D" w:rsidRDefault="0031425D" w:rsidP="0031425D">
      <w:pPr>
        <w:pStyle w:val="ListParagraph"/>
        <w:numPr>
          <w:ilvl w:val="0"/>
          <w:numId w:val="46"/>
        </w:numPr>
        <w:overflowPunct w:val="0"/>
        <w:autoSpaceDE w:val="0"/>
        <w:autoSpaceDN w:val="0"/>
        <w:adjustRightInd w:val="0"/>
        <w:spacing w:after="180"/>
        <w:textAlignment w:val="baseline"/>
        <w:rPr>
          <w:lang w:eastAsia="x-none"/>
        </w:rPr>
      </w:pPr>
      <w:r>
        <w:rPr>
          <w:lang w:eastAsia="x-none"/>
        </w:rPr>
        <w:t>Timing detection accuracy and its relation to uplink transmission accuracy</w:t>
      </w:r>
    </w:p>
    <w:p w14:paraId="7ADAE374" w14:textId="77777777" w:rsidR="0031425D" w:rsidRDefault="0031425D" w:rsidP="0031425D">
      <w:pPr>
        <w:pStyle w:val="ListParagraph"/>
        <w:numPr>
          <w:ilvl w:val="0"/>
          <w:numId w:val="46"/>
        </w:numPr>
        <w:overflowPunct w:val="0"/>
        <w:autoSpaceDE w:val="0"/>
        <w:autoSpaceDN w:val="0"/>
        <w:adjustRightInd w:val="0"/>
        <w:spacing w:after="180"/>
        <w:textAlignment w:val="baseline"/>
        <w:rPr>
          <w:lang w:eastAsia="x-none"/>
        </w:rPr>
      </w:pPr>
      <w:r>
        <w:rPr>
          <w:lang w:eastAsia="x-none"/>
        </w:rPr>
        <w:t>Signaling design for supporting different subcarrier spacing for SSB and CORESET#0 (if supported)</w:t>
      </w:r>
    </w:p>
    <w:p w14:paraId="3A54D286" w14:textId="77777777" w:rsidR="0031425D" w:rsidRDefault="0031425D" w:rsidP="0031425D">
      <w:pPr>
        <w:pStyle w:val="ListParagraph"/>
        <w:numPr>
          <w:ilvl w:val="0"/>
          <w:numId w:val="46"/>
        </w:numPr>
        <w:overflowPunct w:val="0"/>
        <w:autoSpaceDE w:val="0"/>
        <w:autoSpaceDN w:val="0"/>
        <w:adjustRightInd w:val="0"/>
        <w:spacing w:after="180"/>
        <w:textAlignment w:val="baseline"/>
        <w:rPr>
          <w:lang w:eastAsia="x-none"/>
        </w:rPr>
      </w:pPr>
      <w:r>
        <w:rPr>
          <w:lang w:eastAsia="x-none"/>
        </w:rPr>
        <w:t>Multi-TRP delay considerations</w:t>
      </w:r>
    </w:p>
    <w:p w14:paraId="631D4268" w14:textId="77777777" w:rsidR="0031425D" w:rsidRDefault="0031425D" w:rsidP="0031425D">
      <w:pPr>
        <w:pStyle w:val="ListParagraph"/>
        <w:numPr>
          <w:ilvl w:val="0"/>
          <w:numId w:val="46"/>
        </w:numPr>
        <w:overflowPunct w:val="0"/>
        <w:autoSpaceDE w:val="0"/>
        <w:autoSpaceDN w:val="0"/>
        <w:adjustRightInd w:val="0"/>
        <w:spacing w:after="180"/>
        <w:textAlignment w:val="baseline"/>
        <w:rPr>
          <w:lang w:eastAsia="x-none"/>
        </w:rPr>
      </w:pPr>
      <w:r>
        <w:rPr>
          <w:lang w:eastAsia="x-none"/>
        </w:rPr>
        <w:t>Consideration of SSB-based RRM/RLM and beam management if the SSB SCS is significantly different from that of the active BWP (e.g., switching gap, scheduling constraint, etc.)</w:t>
      </w:r>
    </w:p>
    <w:p w14:paraId="748986EA" w14:textId="651D5453" w:rsidR="0031425D" w:rsidRDefault="0031425D" w:rsidP="0031425D">
      <w:r>
        <w:t xml:space="preserve">Based on our evaluation, QPSK modulation is robust against phase noise across all candidate SCS for the operation in the target spectrum. </w:t>
      </w:r>
      <w:r w:rsidR="00971C49">
        <w:t>Therefore</w:t>
      </w:r>
      <w:r>
        <w:t xml:space="preserve">, introducing SCS larger than 240 kHz for </w:t>
      </w:r>
      <w:r w:rsidR="00D20392">
        <w:t>SS/</w:t>
      </w:r>
      <w:r>
        <w:t xml:space="preserve">PBCH </w:t>
      </w:r>
      <w:r w:rsidR="00D20392">
        <w:t xml:space="preserve">block </w:t>
      </w:r>
      <w:r>
        <w:t>which equips only with QPSK seems to provide no noticeable benefit,</w:t>
      </w:r>
      <w:r w:rsidRPr="004E66F6">
        <w:t xml:space="preserve"> </w:t>
      </w:r>
      <w:r>
        <w:t xml:space="preserve">which addresses the detection performance aspect. Furthermore, without detection performance concerns, it is desirable to reuse Rel-15/16 initial access design to avoid large spec impact caused by newly introduced SCS, e.g., configuration design to support Type-0 PDCCH monitoring based on the information in </w:t>
      </w:r>
      <w:r w:rsidR="00D20392">
        <w:t>MIB</w:t>
      </w:r>
      <w:r>
        <w:t xml:space="preserve"> </w:t>
      </w:r>
      <w:r w:rsidR="00D20392">
        <w:t>for</w:t>
      </w:r>
      <w:r>
        <w:t xml:space="preserve"> new </w:t>
      </w:r>
      <w:r w:rsidR="00D20392">
        <w:t xml:space="preserve">SS/PBCH block </w:t>
      </w:r>
      <w:r>
        <w:t xml:space="preserve">SCS, SSB pattern design with beam switching gap under new SCS, etc. Therefore, we prefer to reuse the SCS and the multiplexing pattern between SSB and CORESET#0 designed in Rel-15/16. </w:t>
      </w:r>
    </w:p>
    <w:p w14:paraId="5B09B7DE" w14:textId="77777777" w:rsidR="0031425D" w:rsidRDefault="0031425D" w:rsidP="0031425D"/>
    <w:p w14:paraId="1EDF990A" w14:textId="02321D43" w:rsidR="0031425D" w:rsidRDefault="0031425D" w:rsidP="0031425D">
      <w:r>
        <w:t xml:space="preserve">Regarding the time domain pattern of SSB, if the existing SSB subcarrier spacing are reused, we haven’t identifies any critical issues from reusing the existing FR2 SSB pattern at least for licensed operation. For unlicensed operation, the enhancement of considering more SSB transmission occasions to accommodate LBT </w:t>
      </w:r>
      <w:r w:rsidR="00D20392">
        <w:t xml:space="preserve">failure </w:t>
      </w:r>
      <w:r>
        <w:t>as designed in Rel-16 NRU needs to be justified in 52.6 GHz-71 GHz band. In our view, no LBT has been agreed to be considered as one of transmission modes and LBT failure might not be a major issue due to the high priority of SSB transmission and the channel characteristics in the target spectrum. On the other hand, considerable specification changes are required if additional SSB occasions are introduced, e.g., MIB information design for additional SSB index, SIB1 information design for actual transmitted SSB, etc., which is not desirable in our views.</w:t>
      </w:r>
    </w:p>
    <w:p w14:paraId="140D55FA" w14:textId="77777777" w:rsidR="00E239E3" w:rsidRDefault="00E239E3" w:rsidP="0031425D"/>
    <w:p w14:paraId="248E9D69" w14:textId="56667851" w:rsidR="008E7957" w:rsidRDefault="008E7957" w:rsidP="008E7957">
      <w:pPr>
        <w:pStyle w:val="Caption"/>
      </w:pPr>
      <w:bookmarkStart w:id="11" w:name="_Ref53739435"/>
      <w:r>
        <w:t xml:space="preserve">Proposal </w:t>
      </w:r>
      <w:r>
        <w:rPr>
          <w:noProof/>
        </w:rPr>
        <w:fldChar w:fldCharType="begin"/>
      </w:r>
      <w:r>
        <w:rPr>
          <w:noProof/>
        </w:rPr>
        <w:instrText xml:space="preserve"> SEQ Proposal \* ARABIC </w:instrText>
      </w:r>
      <w:r>
        <w:rPr>
          <w:noProof/>
        </w:rPr>
        <w:fldChar w:fldCharType="separate"/>
      </w:r>
      <w:r w:rsidR="00B60F19">
        <w:rPr>
          <w:noProof/>
        </w:rPr>
        <w:t>1</w:t>
      </w:r>
      <w:r>
        <w:rPr>
          <w:noProof/>
        </w:rPr>
        <w:fldChar w:fldCharType="end"/>
      </w:r>
      <w:r>
        <w:t>: For 52.6-</w:t>
      </w:r>
      <w:r>
        <w:rPr>
          <w:iCs/>
        </w:rPr>
        <w:t xml:space="preserve">71 GHz band, the existing SCSs, i.e., 120 kHz and 240 kHz, and </w:t>
      </w:r>
      <w:r w:rsidRPr="005328CA">
        <w:rPr>
          <w:iCs/>
        </w:rPr>
        <w:t>multiplexing pattern between SSB and CORESET#0</w:t>
      </w:r>
      <w:r>
        <w:rPr>
          <w:iCs/>
        </w:rPr>
        <w:t xml:space="preserve"> in FR2 for SS/PBCH blocks should be reused.</w:t>
      </w:r>
      <w:bookmarkEnd w:id="11"/>
      <w:r>
        <w:rPr>
          <w:iCs/>
        </w:rPr>
        <w:t xml:space="preserve">  </w:t>
      </w:r>
    </w:p>
    <w:p w14:paraId="0B3C54D1" w14:textId="77777777" w:rsidR="008E7957" w:rsidRDefault="008E7957" w:rsidP="00E239E3">
      <w:pPr>
        <w:spacing w:afterLines="50" w:after="120"/>
        <w:rPr>
          <w:b/>
          <w:iCs/>
        </w:rPr>
      </w:pPr>
    </w:p>
    <w:p w14:paraId="5BE85A6B" w14:textId="00033BD7" w:rsidR="008E7957" w:rsidRDefault="008E7957" w:rsidP="008E7957">
      <w:pPr>
        <w:pStyle w:val="Caption"/>
      </w:pPr>
      <w:bookmarkStart w:id="12" w:name="_Ref53739453"/>
      <w:r>
        <w:t xml:space="preserve">Proposal </w:t>
      </w:r>
      <w:r>
        <w:rPr>
          <w:noProof/>
        </w:rPr>
        <w:fldChar w:fldCharType="begin"/>
      </w:r>
      <w:r>
        <w:rPr>
          <w:noProof/>
        </w:rPr>
        <w:instrText xml:space="preserve"> SEQ Proposal \* ARABIC </w:instrText>
      </w:r>
      <w:r>
        <w:rPr>
          <w:noProof/>
        </w:rPr>
        <w:fldChar w:fldCharType="separate"/>
      </w:r>
      <w:r w:rsidR="00B60F19">
        <w:rPr>
          <w:noProof/>
        </w:rPr>
        <w:t>2</w:t>
      </w:r>
      <w:r>
        <w:rPr>
          <w:noProof/>
        </w:rPr>
        <w:fldChar w:fldCharType="end"/>
      </w:r>
      <w:r>
        <w:t>: For 52.6-</w:t>
      </w:r>
      <w:r w:rsidRPr="008E7957">
        <w:rPr>
          <w:iCs/>
        </w:rPr>
        <w:t>71 GHz band, the existing time domain patterns designed in FR2 for SS/PBCH blocks at least for licensed spectrum should be reused.</w:t>
      </w:r>
      <w:bookmarkEnd w:id="12"/>
      <w:r>
        <w:rPr>
          <w:iCs/>
        </w:rPr>
        <w:t xml:space="preserve">  </w:t>
      </w:r>
    </w:p>
    <w:p w14:paraId="3881B62C" w14:textId="77777777" w:rsidR="0031425D" w:rsidRDefault="0031425D" w:rsidP="000D5DFA">
      <w:pPr>
        <w:spacing w:afterLines="50" w:after="120"/>
      </w:pPr>
    </w:p>
    <w:p w14:paraId="0303EB60" w14:textId="7A78AC6F" w:rsidR="000D5DFA" w:rsidRDefault="000D5DFA" w:rsidP="008655A7">
      <w:pPr>
        <w:pStyle w:val="ListParagraph"/>
        <w:numPr>
          <w:ilvl w:val="1"/>
          <w:numId w:val="5"/>
        </w:numPr>
        <w:spacing w:beforeLines="50" w:before="120" w:afterLines="50" w:after="120"/>
        <w:contextualSpacing w:val="0"/>
        <w:outlineLvl w:val="0"/>
        <w:rPr>
          <w:b/>
          <w:sz w:val="28"/>
        </w:rPr>
      </w:pPr>
      <w:r w:rsidRPr="000D5DFA">
        <w:rPr>
          <w:b/>
          <w:sz w:val="28"/>
        </w:rPr>
        <w:t>PDCCH/PDSCH</w:t>
      </w:r>
    </w:p>
    <w:p w14:paraId="38E595D3" w14:textId="07F96686" w:rsidR="00E239E3" w:rsidRDefault="00E239E3" w:rsidP="00E239E3">
      <w:r>
        <w:t xml:space="preserve">UE PDCCH monitoring complexity has been identified as one of the aspects which might be impacted by the new SCSs. In Rel-15/16, PDCCH monitoring complexity is mainly managed by search space set and CORESET configuration from gNB, BD/CCE limit per slot/span, and the monitoring capabilities reported by UE. In particular, search space set configuration includes a bitmap to indicate UE PDCCH monitoring pattern within a slot and a number of consecutive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slots to apply the monitoring pattern within a configured period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for the search space set. BD/CCE limit per slot/span caps the PDCCH blind decoding complexity within a slot/span and the </w:t>
      </w:r>
      <w:r w:rsidR="007E21EA">
        <w:t xml:space="preserve">reported </w:t>
      </w:r>
      <w:r>
        <w:t xml:space="preserve">UE monitoring capabilities can impose restriction on the PDCCH monitoring configuration and PDCCH transmission from gNB, e.g., UE capability FG 3-5 specifies the gap </w:t>
      </w:r>
      <w:r w:rsidR="006F54EA">
        <w:t xml:space="preserve">criteria </w:t>
      </w:r>
      <w:r>
        <w:t>between DCI transmissions and FG 3-5b specifies the restriction on the monitoring occasion in search space set configuration. In our views, UE PDCCH monitoring complexity issue under larger SCSs should be addressed with the following three aspects: search space set and CORESET configuration, BD/CCE limit, and the UE monitoring capabilities.</w:t>
      </w:r>
    </w:p>
    <w:p w14:paraId="5AB18602" w14:textId="77777777" w:rsidR="00E239E3" w:rsidRDefault="00E239E3" w:rsidP="00E239E3"/>
    <w:p w14:paraId="676EEA11" w14:textId="065B458B" w:rsidR="00E239E3" w:rsidRDefault="00E239E3" w:rsidP="00E239E3">
      <w:r>
        <w:t xml:space="preserve">For BD/CCE limit, if new SCSs, e.g., 240kHz, 480kHz, are introduced, the Rel-15/16 BD/CCE limit per slot is expected to be scaled down accordingly for the new SCSs in order to accommodate UE monitoring burden within a shorter slot or span. Many companies </w:t>
      </w:r>
      <w:r w:rsidR="002D0A17">
        <w:fldChar w:fldCharType="begin"/>
      </w:r>
      <w:r w:rsidR="002D0A17">
        <w:instrText xml:space="preserve"> REF _Ref53738358 \r \h </w:instrText>
      </w:r>
      <w:r w:rsidR="002D0A17">
        <w:fldChar w:fldCharType="separate"/>
      </w:r>
      <w:r w:rsidR="00B60F19">
        <w:t>[12]</w:t>
      </w:r>
      <w:r w:rsidR="002D0A17">
        <w:fldChar w:fldCharType="end"/>
      </w:r>
      <w:r w:rsidR="002D0A17">
        <w:fldChar w:fldCharType="begin"/>
      </w:r>
      <w:r w:rsidR="002D0A17">
        <w:instrText xml:space="preserve"> REF _Ref53738410 \r \h </w:instrText>
      </w:r>
      <w:r w:rsidR="002D0A17">
        <w:fldChar w:fldCharType="separate"/>
      </w:r>
      <w:r w:rsidR="00B60F19">
        <w:t>[13]</w:t>
      </w:r>
      <w:r w:rsidR="002D0A17">
        <w:fldChar w:fldCharType="end"/>
      </w:r>
      <w:r w:rsidR="002D0A17">
        <w:fldChar w:fldCharType="begin"/>
      </w:r>
      <w:r w:rsidR="002D0A17">
        <w:instrText xml:space="preserve"> REF _Ref53738425 \r \h </w:instrText>
      </w:r>
      <w:r w:rsidR="002D0A17">
        <w:fldChar w:fldCharType="separate"/>
      </w:r>
      <w:r w:rsidR="00B60F19">
        <w:t>[15]</w:t>
      </w:r>
      <w:r w:rsidR="002D0A17">
        <w:fldChar w:fldCharType="end"/>
      </w:r>
      <w:r w:rsidR="002D0A17">
        <w:fldChar w:fldCharType="begin"/>
      </w:r>
      <w:r w:rsidR="002D0A17">
        <w:instrText xml:space="preserve"> REF _Ref53738375 \r \h </w:instrText>
      </w:r>
      <w:r w:rsidR="002D0A17">
        <w:fldChar w:fldCharType="separate"/>
      </w:r>
      <w:r w:rsidR="00B60F19">
        <w:t>[14]</w:t>
      </w:r>
      <w:r w:rsidR="002D0A17">
        <w:fldChar w:fldCharType="end"/>
      </w:r>
      <w:r>
        <w:t xml:space="preserve"> raised the concern that the scaled down BD/CCE limit per slot might be too small for practical operation, e.g., CCE limit might be less than 16. To address the issue, new time unit other than slot or span, e.g., multi-slot, has been discussed as a solution. However, new monitoring time unit other than slot or span doesn’t address UE monitoring complexity entirely and how the monitoring complexity distributed in time has impact on PDCCH monitoring complexity as well. Therefore, in our views, RAN1 should prioritize the investigation of</w:t>
      </w:r>
      <w:r w:rsidRPr="00D20336">
        <w:t xml:space="preserve"> </w:t>
      </w:r>
      <w:r>
        <w:t xml:space="preserve">BD/CCE limit per slot for new SCSs and consider other time unit for BD/CCE limit if per slot limit is not feasible in order to avoid unnecessary spec impact from Rel-15/16. On the other hand, regardless of the time unit for BD/CCE limit, UE PDCCH monitoring complexity can be effectively reduced by current search space set and CORESET configurations, e.g., PDCCH monitoring for consecutive slots can be avoided by setting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&gt;1</m:t>
        </m:r>
      </m:oMath>
      <w:r>
        <w:t xml:space="preserve"> in a search space set. On top of the monitoring configuration restriction, it is beneficial to introduce related UE PDCCH monitoring and processing capabilities to further relax UE monitoring and processing burden by implicitly limit the PDCCH monitoring configuration based on the reported PDCCH monitoring capabilities.</w:t>
      </w:r>
    </w:p>
    <w:p w14:paraId="25168B3C" w14:textId="77777777" w:rsidR="00E239E3" w:rsidRDefault="00E239E3" w:rsidP="00E239E3">
      <w:pPr>
        <w:tabs>
          <w:tab w:val="left" w:pos="6308"/>
        </w:tabs>
      </w:pPr>
      <w:r>
        <w:tab/>
      </w:r>
    </w:p>
    <w:p w14:paraId="4289E342" w14:textId="77777777" w:rsidR="008E7957" w:rsidRDefault="008E7957" w:rsidP="008E7957">
      <w:pPr>
        <w:pStyle w:val="Caption"/>
      </w:pPr>
      <w:bookmarkStart w:id="13" w:name="_Ref53739525"/>
      <w:r>
        <w:lastRenderedPageBreak/>
        <w:t xml:space="preserve">Proposal </w:t>
      </w:r>
      <w:r>
        <w:rPr>
          <w:noProof/>
        </w:rPr>
        <w:fldChar w:fldCharType="begin"/>
      </w:r>
      <w:r>
        <w:rPr>
          <w:noProof/>
        </w:rPr>
        <w:instrText xml:space="preserve"> SEQ Proposal \* ARABIC </w:instrText>
      </w:r>
      <w:r>
        <w:rPr>
          <w:noProof/>
        </w:rPr>
        <w:fldChar w:fldCharType="separate"/>
      </w:r>
      <w:r w:rsidR="00B60F19">
        <w:rPr>
          <w:noProof/>
        </w:rPr>
        <w:t>3</w:t>
      </w:r>
      <w:r>
        <w:rPr>
          <w:noProof/>
        </w:rPr>
        <w:fldChar w:fldCharType="end"/>
      </w:r>
      <w:r>
        <w:t>: For new SCS, if agreed, the following aspects should be prioritized to address UE PDCCH monitoring complexity concerns.</w:t>
      </w:r>
      <w:bookmarkEnd w:id="13"/>
    </w:p>
    <w:p w14:paraId="3473FDB4" w14:textId="4F2C63F0" w:rsidR="008E7957" w:rsidRDefault="008E7957" w:rsidP="008E7957">
      <w:pPr>
        <w:pStyle w:val="ListParagraph"/>
        <w:numPr>
          <w:ilvl w:val="0"/>
          <w:numId w:val="47"/>
        </w:numPr>
        <w:spacing w:afterLines="50" w:after="120"/>
        <w:rPr>
          <w:b/>
          <w:iCs/>
        </w:rPr>
      </w:pPr>
      <w:r>
        <w:rPr>
          <w:b/>
          <w:iCs/>
        </w:rPr>
        <w:t xml:space="preserve">investigation </w:t>
      </w:r>
      <w:r w:rsidRPr="004A1166">
        <w:rPr>
          <w:b/>
          <w:iCs/>
        </w:rPr>
        <w:t xml:space="preserve">on the maximum number of BDs/CCEs for PDCCH monitoring per </w:t>
      </w:r>
      <w:r>
        <w:rPr>
          <w:b/>
          <w:iCs/>
        </w:rPr>
        <w:t>slot</w:t>
      </w:r>
    </w:p>
    <w:p w14:paraId="60D8A7D9" w14:textId="77777777" w:rsidR="008E7957" w:rsidRDefault="008E7957" w:rsidP="008E7957">
      <w:pPr>
        <w:pStyle w:val="ListParagraph"/>
        <w:numPr>
          <w:ilvl w:val="0"/>
          <w:numId w:val="47"/>
        </w:numPr>
        <w:spacing w:afterLines="50" w:after="120"/>
        <w:rPr>
          <w:b/>
          <w:iCs/>
        </w:rPr>
      </w:pPr>
      <w:r w:rsidRPr="004A1166">
        <w:rPr>
          <w:b/>
          <w:iCs/>
        </w:rPr>
        <w:t>potential limitation to PDCCH monitoring configurations</w:t>
      </w:r>
      <w:r>
        <w:rPr>
          <w:b/>
          <w:iCs/>
        </w:rPr>
        <w:t xml:space="preserve">, e.g., </w:t>
      </w:r>
      <m:oMath>
        <m:sSub>
          <m:sSubPr>
            <m:ctrlPr>
              <w:rPr>
                <w:rFonts w:ascii="Cambria Math" w:hAnsi="Cambria Math"/>
                <w:b/>
                <w:i/>
                <w:iCs/>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=1</m:t>
        </m:r>
      </m:oMath>
      <w:r w:rsidRPr="004A1166">
        <w:rPr>
          <w:b/>
          <w:iCs/>
        </w:rPr>
        <w:t xml:space="preserve"> and </w:t>
      </w:r>
      <m:oMath>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&gt;1</m:t>
        </m:r>
      </m:oMath>
      <w:r w:rsidRPr="004A1166">
        <w:rPr>
          <w:b/>
          <w:iCs/>
        </w:rPr>
        <w:t xml:space="preserve"> in search space set</w:t>
      </w:r>
      <w:r>
        <w:rPr>
          <w:b/>
          <w:iCs/>
        </w:rPr>
        <w:t xml:space="preserve"> configuration</w:t>
      </w:r>
    </w:p>
    <w:p w14:paraId="72AC1848" w14:textId="77777777" w:rsidR="008E7957" w:rsidRPr="004A1166" w:rsidRDefault="008E7957" w:rsidP="008E7957">
      <w:pPr>
        <w:pStyle w:val="ListParagraph"/>
        <w:numPr>
          <w:ilvl w:val="0"/>
          <w:numId w:val="47"/>
        </w:numPr>
        <w:spacing w:afterLines="50" w:after="120"/>
        <w:rPr>
          <w:b/>
          <w:iCs/>
        </w:rPr>
      </w:pPr>
      <w:r>
        <w:rPr>
          <w:b/>
          <w:iCs/>
        </w:rPr>
        <w:t>related UE capabilities for PDCCH monitoring and processing</w:t>
      </w:r>
    </w:p>
    <w:p w14:paraId="50DE046C" w14:textId="7F09C268" w:rsidR="008E7957" w:rsidRDefault="008E7957" w:rsidP="008E7957">
      <w:pPr>
        <w:pStyle w:val="Caption"/>
        <w:rPr>
          <w:b w:val="0"/>
          <w:iCs/>
        </w:rPr>
      </w:pPr>
    </w:p>
    <w:p w14:paraId="34FF8982" w14:textId="4DD2F9CC" w:rsidR="00E239E3" w:rsidRDefault="00E239E3" w:rsidP="00E239E3">
      <w:r>
        <w:t xml:space="preserve">As a consequence of less frequent PDCCH monitoring, another discussed DL enhancement is PDSCH scheduling. Some companies </w:t>
      </w:r>
      <w:r w:rsidR="007E04F4">
        <w:fldChar w:fldCharType="begin"/>
      </w:r>
      <w:r w:rsidR="007E04F4">
        <w:instrText xml:space="preserve"> REF _Ref53738533 \r \h </w:instrText>
      </w:r>
      <w:r w:rsidR="007E04F4">
        <w:fldChar w:fldCharType="separate"/>
      </w:r>
      <w:r w:rsidR="00B60F19">
        <w:t>[11]</w:t>
      </w:r>
      <w:r w:rsidR="007E04F4">
        <w:fldChar w:fldCharType="end"/>
      </w:r>
      <w:r w:rsidR="007E04F4">
        <w:fldChar w:fldCharType="begin"/>
      </w:r>
      <w:r w:rsidR="007E04F4">
        <w:instrText xml:space="preserve"> REF _Ref53738425 \r \h </w:instrText>
      </w:r>
      <w:r w:rsidR="007E04F4">
        <w:fldChar w:fldCharType="separate"/>
      </w:r>
      <w:r w:rsidR="00B60F19">
        <w:t>[15]</w:t>
      </w:r>
      <w:r w:rsidR="007E04F4">
        <w:fldChar w:fldCharType="end"/>
      </w:r>
      <w:r w:rsidR="007E04F4">
        <w:fldChar w:fldCharType="begin"/>
      </w:r>
      <w:r w:rsidR="007E04F4">
        <w:instrText xml:space="preserve"> REF _Ref53738518 \r \h </w:instrText>
      </w:r>
      <w:r w:rsidR="007E04F4">
        <w:fldChar w:fldCharType="separate"/>
      </w:r>
      <w:r w:rsidR="00B60F19">
        <w:t>[16]</w:t>
      </w:r>
      <w:r w:rsidR="007E04F4">
        <w:fldChar w:fldCharType="end"/>
      </w:r>
      <w:r>
        <w:t xml:space="preserve"> propose to consider </w:t>
      </w:r>
      <w:r w:rsidR="00061F48">
        <w:t xml:space="preserve">the enhancement of </w:t>
      </w:r>
      <w:r>
        <w:t xml:space="preserve">multi-PDSCH scheduled by one DCI to improve data rate and reduce UE PDCCH monitoring burden. Similar enhancement has been introduced in Rel-16 NRU PUSCH scheduling, where one DCI contains the individual scheduling information, e.g., RV, NDI, of multiple contiguous PUSCHs and the associated PUSCH resources allocations are specified from an enhanced TDRA table. The motivation of multi-PUSCH scheduling in Rel-16 NRU is to avoid multiple DL-UL switching gap and reduce the number of LBT trials to secure the channel, which can’t be used as a valid motivation for multi-PDSCH scheduling feature. The high data rate motivation of scheduling multi-PDSCH under less frequent scheduling DCIs is also not clear. Due to a shorter slot duration under larger SCS, there might be a large gap between scheduling DCIs in terms of slot. However, the processing timeline from scheduling DCI to PDSCH in terms of symbols might also increase to more than one slot to address UE processing capability. Also, processing multi-PDSCHs in consecutive slots might not be a desirable UE behavior as well under high SCS. Consequently, the data rate improvement based on multi-PDSCH feature might not be substantial. On the other hand, one major drawback of multi-PDSCH scheduling is the large payload size in the scheduling DCI, which has negative impact on PDCCH coverage. Therefore, the benefit of multi-PDSCH scheduling needs to be justified and the scheduling PDCCH coverage issue needs to be addressed. </w:t>
      </w:r>
    </w:p>
    <w:p w14:paraId="39D80CDE" w14:textId="23871AD5" w:rsidR="000D5DFA" w:rsidRDefault="00A25453" w:rsidP="008655A7">
      <w:pPr>
        <w:pStyle w:val="ListParagraph"/>
        <w:numPr>
          <w:ilvl w:val="1"/>
          <w:numId w:val="5"/>
        </w:numPr>
        <w:spacing w:beforeLines="50" w:before="120" w:afterLines="50" w:after="120"/>
        <w:contextualSpacing w:val="0"/>
        <w:outlineLvl w:val="0"/>
        <w:rPr>
          <w:b/>
          <w:sz w:val="28"/>
        </w:rPr>
      </w:pPr>
      <w:r>
        <w:rPr>
          <w:b/>
          <w:sz w:val="28"/>
        </w:rPr>
        <w:t>PUCCH/PUSCH</w:t>
      </w:r>
    </w:p>
    <w:p w14:paraId="7E5AA034" w14:textId="31C5E60B" w:rsidR="00E239E3" w:rsidRDefault="00E239E3" w:rsidP="00E239E3">
      <w:r>
        <w:t xml:space="preserve">Potential enhancement on UL transmission power, e.g., PUSCH, PUCCH, with regulation compliance has been discussed in the SI phase. In LTE eLAA and Rel-16 NRU in sub 6GHz unlicensed band, PRB-based interlace resource allocation has been adopted for PUCCH/PUSH to comply with OCB requirement and boost transmission power by scattering the resource and fully utilizing the PSD constraint. Interlace resource allocation also can be utilized for multiplexing UL transmissions from different UEs. </w:t>
      </w:r>
    </w:p>
    <w:p w14:paraId="72841DF8" w14:textId="77777777" w:rsidR="00E239E3" w:rsidRDefault="00E239E3" w:rsidP="00E239E3"/>
    <w:p w14:paraId="0101A31E" w14:textId="10171329" w:rsidR="00E239E3" w:rsidRDefault="00E239E3" w:rsidP="00E239E3">
      <w:r>
        <w:t xml:space="preserve">In our understanding, the major motivation to adopt interlace resource allocation in sub 6GHz bands is power boosting under PSD constraints. However, the same PRB interlace allocation offers no power gain in 52.6 GHz-71 GHz bands due to the large SCS. For example, a PRB with SCS=240 kHz is already larger than 1MHz, which is the PSD constraints unit, and hence there is no room for power boosting from PRB interlace. Another interlace benefit of UE multiplexing is also questioned in the 52.6 GHz-71 GHz bands since fewer UEs will transmit in the same receiving direction at gNB side. Since OCB requirement in the target spectrum requires only one transmission mode to comply at transmitter side, the benefit of interlace transmission on </w:t>
      </w:r>
      <w:r w:rsidR="00FF78EA">
        <w:t xml:space="preserve">satisfying </w:t>
      </w:r>
      <w:r w:rsidR="00061F48">
        <w:t>OCB</w:t>
      </w:r>
      <w:r>
        <w:t xml:space="preserve"> is also not clear.</w:t>
      </w:r>
    </w:p>
    <w:p w14:paraId="36DB6B66" w14:textId="77777777" w:rsidR="00E239E3" w:rsidRDefault="00E239E3" w:rsidP="00E239E3"/>
    <w:p w14:paraId="1AB3F60F" w14:textId="77777777" w:rsidR="00E239E3" w:rsidRDefault="00E239E3" w:rsidP="00E239E3">
      <w:r>
        <w:t xml:space="preserve">As for sub-PRB interlace resource allocation, the power gain is either none or limited for large SCS. For SCS=960kHz, a single RE is already close to 1MHz. Even for SCS=480 kHz or 240 kHz, the number of interlace will be 2 or 4, respectively, and the corresponding power gains from sub-PRB interlace are relatively small compared to the sub 6GHz bands where 10 and 5 interlaces are designed for 15 kHz and 30 kHz, respectively. Moreover, the specification efforts will be considerable for sub-PRB interlace since PRB is the basic resource allocation unit. </w:t>
      </w:r>
    </w:p>
    <w:p w14:paraId="04F35FC4" w14:textId="77777777" w:rsidR="00E239E3" w:rsidRDefault="00E239E3" w:rsidP="00E239E3"/>
    <w:p w14:paraId="3B24971F" w14:textId="316AE6C2" w:rsidR="00255F76" w:rsidRDefault="00255F76" w:rsidP="00E239E3">
      <w:pPr>
        <w:spacing w:afterLines="50" w:after="120"/>
        <w:rPr>
          <w:b/>
          <w:iCs/>
        </w:rPr>
      </w:pPr>
    </w:p>
    <w:p w14:paraId="26D5922A" w14:textId="4F41BCE1" w:rsidR="00255F76" w:rsidRPr="00E552F2" w:rsidRDefault="00255F76" w:rsidP="00E239E3">
      <w:pPr>
        <w:spacing w:afterLines="50" w:after="120"/>
        <w:rPr>
          <w:b/>
          <w:iCs/>
        </w:rPr>
      </w:pPr>
      <w:bookmarkStart w:id="14" w:name="_Ref53739532"/>
      <w:r w:rsidRPr="00B01423">
        <w:rPr>
          <w:b/>
        </w:rPr>
        <w:lastRenderedPageBreak/>
        <w:t xml:space="preserve">Proposal </w:t>
      </w:r>
      <w:r w:rsidRPr="00B01423">
        <w:rPr>
          <w:b/>
          <w:noProof/>
        </w:rPr>
        <w:fldChar w:fldCharType="begin"/>
      </w:r>
      <w:r w:rsidRPr="00B01423">
        <w:rPr>
          <w:b/>
          <w:noProof/>
        </w:rPr>
        <w:instrText xml:space="preserve"> SEQ Proposal \* ARABIC </w:instrText>
      </w:r>
      <w:r w:rsidRPr="00B01423">
        <w:rPr>
          <w:b/>
          <w:noProof/>
        </w:rPr>
        <w:fldChar w:fldCharType="separate"/>
      </w:r>
      <w:r w:rsidR="00B60F19">
        <w:rPr>
          <w:b/>
          <w:noProof/>
        </w:rPr>
        <w:t>4</w:t>
      </w:r>
      <w:r w:rsidRPr="00B01423">
        <w:rPr>
          <w:b/>
          <w:noProof/>
        </w:rPr>
        <w:fldChar w:fldCharType="end"/>
      </w:r>
      <w:r w:rsidRPr="00B01423">
        <w:rPr>
          <w:b/>
        </w:rPr>
        <w:t xml:space="preserve">: </w:t>
      </w:r>
      <w:r>
        <w:rPr>
          <w:b/>
          <w:iCs/>
        </w:rPr>
        <w:t>PRB and sub-PRB I</w:t>
      </w:r>
      <w:r w:rsidRPr="004D7460">
        <w:rPr>
          <w:b/>
          <w:iCs/>
        </w:rPr>
        <w:t xml:space="preserve">nterlace </w:t>
      </w:r>
      <w:r>
        <w:rPr>
          <w:b/>
          <w:iCs/>
        </w:rPr>
        <w:t>are not</w:t>
      </w:r>
      <w:r w:rsidRPr="004D7460">
        <w:rPr>
          <w:b/>
          <w:iCs/>
        </w:rPr>
        <w:t xml:space="preserve"> supported for </w:t>
      </w:r>
      <w:r>
        <w:rPr>
          <w:b/>
          <w:iCs/>
        </w:rPr>
        <w:t>UL transmission</w:t>
      </w:r>
      <w:r w:rsidRPr="004D7460">
        <w:rPr>
          <w:b/>
          <w:iCs/>
        </w:rPr>
        <w:t xml:space="preserve"> in 60 GHz band</w:t>
      </w:r>
      <w:r>
        <w:rPr>
          <w:b/>
          <w:iCs/>
        </w:rPr>
        <w:t>.</w:t>
      </w:r>
      <w:bookmarkEnd w:id="14"/>
    </w:p>
    <w:p w14:paraId="27E6F64F" w14:textId="1356C623" w:rsidR="00E239E3" w:rsidRDefault="00E239E3" w:rsidP="00E239E3">
      <w:r>
        <w:t xml:space="preserve">Another discussion regarding UL transmission power is PUCCH format 0, 1, and 4 enhancements. Due to one RB allocation design in NR, PUCCH format 0, 1, and 4 transmission power is limited and coverage loss is anticipated. To address the issue, existing PUCCH repetition in time domain seems to be a feasible solution. Similarly, repetition in frequency domain with PAPR mitigation can improve the transmission power. In </w:t>
      </w:r>
      <w:r w:rsidR="007E04F4">
        <w:fldChar w:fldCharType="begin"/>
      </w:r>
      <w:r w:rsidR="007E04F4">
        <w:instrText xml:space="preserve"> REF _Ref53738533 \r \h </w:instrText>
      </w:r>
      <w:r w:rsidR="007E04F4">
        <w:fldChar w:fldCharType="separate"/>
      </w:r>
      <w:r w:rsidR="00B60F19">
        <w:t>[11]</w:t>
      </w:r>
      <w:r w:rsidR="007E04F4">
        <w:fldChar w:fldCharType="end"/>
      </w:r>
      <w:r>
        <w:t>, sending UCI on PUSCH is mentioned, which is also a simple candidate solution to address the issue.</w:t>
      </w:r>
    </w:p>
    <w:p w14:paraId="62840060" w14:textId="77777777" w:rsidR="00E239E3" w:rsidRDefault="00E239E3" w:rsidP="00E239E3"/>
    <w:p w14:paraId="7D0F4E3E" w14:textId="77777777" w:rsidR="00E239E3" w:rsidRDefault="00E239E3" w:rsidP="00E239E3">
      <w:r>
        <w:t xml:space="preserve">   </w:t>
      </w:r>
    </w:p>
    <w:p w14:paraId="238984C3" w14:textId="30E24137" w:rsidR="00E552F2" w:rsidRPr="00E552F2" w:rsidRDefault="00E552F2" w:rsidP="00E552F2">
      <w:pPr>
        <w:spacing w:afterLines="50" w:after="120"/>
        <w:rPr>
          <w:b/>
          <w:iCs/>
        </w:rPr>
      </w:pPr>
      <w:bookmarkStart w:id="15" w:name="_Ref53739546"/>
      <w:r w:rsidRPr="00F51CB1">
        <w:rPr>
          <w:b/>
        </w:rPr>
        <w:t xml:space="preserve">Proposal </w:t>
      </w:r>
      <w:r w:rsidRPr="00F51CB1">
        <w:rPr>
          <w:b/>
          <w:noProof/>
        </w:rPr>
        <w:fldChar w:fldCharType="begin"/>
      </w:r>
      <w:r w:rsidRPr="00F51CB1">
        <w:rPr>
          <w:b/>
          <w:noProof/>
        </w:rPr>
        <w:instrText xml:space="preserve"> SEQ Proposal \* ARABIC </w:instrText>
      </w:r>
      <w:r w:rsidRPr="00F51CB1">
        <w:rPr>
          <w:b/>
          <w:noProof/>
        </w:rPr>
        <w:fldChar w:fldCharType="separate"/>
      </w:r>
      <w:r w:rsidR="00B60F19">
        <w:rPr>
          <w:b/>
          <w:noProof/>
        </w:rPr>
        <w:t>5</w:t>
      </w:r>
      <w:r w:rsidRPr="00F51CB1">
        <w:rPr>
          <w:b/>
          <w:noProof/>
        </w:rPr>
        <w:fldChar w:fldCharType="end"/>
      </w:r>
      <w:r w:rsidRPr="00F51CB1">
        <w:rPr>
          <w:b/>
        </w:rPr>
        <w:t xml:space="preserve">: </w:t>
      </w:r>
      <w:r>
        <w:rPr>
          <w:b/>
          <w:iCs/>
        </w:rPr>
        <w:t>Po</w:t>
      </w:r>
      <w:r w:rsidRPr="003827C5">
        <w:rPr>
          <w:b/>
          <w:iCs/>
        </w:rPr>
        <w:t>tential enhancements for PUSCH/PUCCH transmissions to achieve higher transmit power</w:t>
      </w:r>
      <w:r>
        <w:rPr>
          <w:b/>
          <w:iCs/>
        </w:rPr>
        <w:t xml:space="preserve"> should be considered in WI, e.g., </w:t>
      </w:r>
      <w:r w:rsidRPr="003827C5">
        <w:rPr>
          <w:b/>
          <w:iCs/>
        </w:rPr>
        <w:t>PUCCH repetition in time</w:t>
      </w:r>
      <w:r>
        <w:rPr>
          <w:b/>
          <w:iCs/>
        </w:rPr>
        <w:t>/frequency</w:t>
      </w:r>
      <w:r w:rsidRPr="003827C5">
        <w:rPr>
          <w:b/>
          <w:iCs/>
        </w:rPr>
        <w:t xml:space="preserve"> domain</w:t>
      </w:r>
      <w:r>
        <w:rPr>
          <w:b/>
          <w:iCs/>
        </w:rPr>
        <w:t>.</w:t>
      </w:r>
      <w:bookmarkEnd w:id="15"/>
    </w:p>
    <w:p w14:paraId="7699132C" w14:textId="16CD349F" w:rsidR="00E552F2" w:rsidRDefault="00E552F2" w:rsidP="00E239E3">
      <w:pPr>
        <w:spacing w:afterLines="50" w:after="120"/>
        <w:rPr>
          <w:b/>
          <w:iCs/>
        </w:rPr>
      </w:pPr>
    </w:p>
    <w:p w14:paraId="111D1AC0" w14:textId="77777777" w:rsidR="00A25453" w:rsidRDefault="00A25453" w:rsidP="00A25453">
      <w:pPr>
        <w:spacing w:afterLines="50" w:after="120"/>
      </w:pPr>
    </w:p>
    <w:p w14:paraId="3BA77D85" w14:textId="33069941" w:rsidR="00A25453" w:rsidRDefault="00A25453" w:rsidP="008655A7">
      <w:pPr>
        <w:pStyle w:val="ListParagraph"/>
        <w:numPr>
          <w:ilvl w:val="1"/>
          <w:numId w:val="5"/>
        </w:numPr>
        <w:spacing w:beforeLines="50" w:before="120" w:afterLines="50" w:after="120"/>
        <w:contextualSpacing w:val="0"/>
        <w:outlineLvl w:val="0"/>
        <w:rPr>
          <w:b/>
          <w:sz w:val="28"/>
        </w:rPr>
      </w:pPr>
      <w:r>
        <w:rPr>
          <w:b/>
          <w:sz w:val="28"/>
        </w:rPr>
        <w:t>BFR enhancement</w:t>
      </w:r>
    </w:p>
    <w:p w14:paraId="7C278004" w14:textId="6DD91B6C" w:rsidR="00E239E3" w:rsidRDefault="00E239E3" w:rsidP="00E239E3">
      <w:r>
        <w:t xml:space="preserve">In Rel-15/16, beam failure detection in PHY layer relies on the measurement of a configured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r>
          <w:rPr>
            <w:rFonts w:ascii="Cambria Math" w:hAnsi="Cambria Math"/>
          </w:rPr>
          <m:t>,</m:t>
        </m:r>
      </m:oMath>
      <w:r>
        <w:t xml:space="preserve"> of periodic RS, e.g., CSI-RS. T</w:t>
      </w:r>
      <w:r w:rsidRPr="009B5B61">
        <w:t xml:space="preserve">he </w:t>
      </w:r>
      <w:r>
        <w:t>PHY</w:t>
      </w:r>
      <w:r w:rsidRPr="009B5B61">
        <w:t xml:space="preserve"> layer </w:t>
      </w:r>
      <w:r>
        <w:t xml:space="preserve">periodically assess the periodic RS in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9B5B61">
        <w:t xml:space="preserve"> </w:t>
      </w:r>
      <w:r>
        <w:t xml:space="preserve"> and provides a beam failure </w:t>
      </w:r>
      <w:r w:rsidRPr="009B5B61">
        <w:t xml:space="preserve">indication to higher layers when the radio link quality for all </w:t>
      </w:r>
      <w:r>
        <w:t xml:space="preserve">RS </w:t>
      </w:r>
      <w:r w:rsidRPr="009B5B61">
        <w:t>in</w:t>
      </w:r>
      <w:r>
        <w:t xml:space="preserve">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0</m:t>
                </m:r>
              </m:sub>
            </m:sSub>
          </m:e>
        </m:acc>
      </m:oMath>
      <w:r w:rsidRPr="009B5B61">
        <w:t xml:space="preserve"> is worse than </w:t>
      </w:r>
      <w:r>
        <w:t xml:space="preserve">a specified </w:t>
      </w:r>
      <w:r w:rsidRPr="009B5B61">
        <w:t>threshold</w:t>
      </w:r>
      <w:r>
        <w:t xml:space="preserve"> </w:t>
      </w:r>
      <m:oMath>
        <m:sSub>
          <m:sSubPr>
            <m:ctrlPr>
              <w:rPr>
                <w:rFonts w:ascii="Cambria Math" w:hAnsi="Cambria Math"/>
                <w:i/>
              </w:rPr>
            </m:ctrlPr>
          </m:sSubPr>
          <m:e>
            <m:r>
              <w:rPr>
                <w:rFonts w:ascii="Cambria Math" w:hAnsi="Cambria Math"/>
              </w:rPr>
              <m:t>Q</m:t>
            </m:r>
          </m:e>
          <m:sub>
            <m:r>
              <w:rPr>
                <w:rFonts w:ascii="Cambria Math" w:hAnsi="Cambria Math"/>
              </w:rPr>
              <m:t>out,LR</m:t>
            </m:r>
          </m:sub>
        </m:sSub>
      </m:oMath>
      <w:r>
        <w:t xml:space="preserve">. When the number of beam failure </w:t>
      </w:r>
      <w:r w:rsidRPr="009B5B61">
        <w:t>indication</w:t>
      </w:r>
      <w:r>
        <w:t xml:space="preserve"> </w:t>
      </w:r>
      <w:r w:rsidR="008A2437">
        <w:t xml:space="preserve">is </w:t>
      </w:r>
      <w:r>
        <w:t xml:space="preserve">over the threshold </w:t>
      </w:r>
      <w:r w:rsidRPr="000F3B30">
        <w:rPr>
          <w:i/>
          <w:lang w:eastAsia="ko-KR"/>
        </w:rPr>
        <w:t>beamFailureInstanceMaxCount</w:t>
      </w:r>
      <w:r>
        <w:t xml:space="preserve"> within an amount of time specified by </w:t>
      </w:r>
      <w:r w:rsidRPr="00D3731E">
        <w:rPr>
          <w:i/>
        </w:rPr>
        <w:t>beamFailureDetectionTimer</w:t>
      </w:r>
      <w:r>
        <w:t xml:space="preserve">, higher layers will initiate beam failure recover procedure and instruct PHY layer to measure anther configured set,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q</m:t>
                </m:r>
              </m:e>
              <m:sub>
                <m:r>
                  <w:rPr>
                    <w:rFonts w:ascii="Cambria Math" w:hAnsi="Cambria Math"/>
                  </w:rPr>
                  <m:t>1</m:t>
                </m:r>
              </m:sub>
            </m:sSub>
          </m:e>
        </m:acc>
        <m:r>
          <w:rPr>
            <w:rFonts w:ascii="Cambria Math" w:hAnsi="Cambria Math"/>
          </w:rPr>
          <m:t>,</m:t>
        </m:r>
      </m:oMath>
      <w:r>
        <w:t xml:space="preserve"> of periodic RS in order to find a new beam. The initiated BFR procedure is completed when a new beam with good quality is found.</w:t>
      </w:r>
    </w:p>
    <w:p w14:paraId="126715EA" w14:textId="77777777" w:rsidR="00E239E3" w:rsidRDefault="00E239E3" w:rsidP="00E239E3"/>
    <w:p w14:paraId="17C0712D" w14:textId="02FBEF2E" w:rsidR="00E239E3" w:rsidRDefault="00E239E3" w:rsidP="00E239E3">
      <w:r>
        <w:t xml:space="preserve">In Rel-16 NRU, validation of periodic CSI-RS transmission has been specified in the maintenance phase in order to distinguish between the poor CSI-RS transmission quality and LBT failure for CSI-RS transmission failure. Without the validation rule, the uncertainty of periodic CSI-RS transmission can impact the BFR procedure in the 52.6 GHz-71 GHz unlicensed band, e.g., LBT failure might be </w:t>
      </w:r>
      <w:r w:rsidR="008A2437">
        <w:t xml:space="preserve">falsely </w:t>
      </w:r>
      <w:r>
        <w:t xml:space="preserve">detected as beam failure. To address the issue, beam failure detection based on aperiodic CSI-RS has been discussed to remove the uncertainty of CSI-RS transmission and to ensure UE measure the actual CSI-RS quality when </w:t>
      </w:r>
      <w:r w:rsidR="008A2437">
        <w:t xml:space="preserve">a </w:t>
      </w:r>
      <w:r>
        <w:t xml:space="preserve">CSI-RS is transmitted. However, when the beam quality is poor, it is likely that UE might not be able to detect the DCI which triggering the aperiodic CSI-RS. Consequently, UE will not measure </w:t>
      </w:r>
      <w:r w:rsidR="008A2437">
        <w:t xml:space="preserve">the </w:t>
      </w:r>
      <w:r>
        <w:t xml:space="preserve">aperiodic CSI-RS and the BFR will not be initiated by higher layers even when the beam quality is poor. Therefore, beam failure detection based on aperiodic CSI-RS should not be adopted as a BFR enhancement. </w:t>
      </w:r>
    </w:p>
    <w:p w14:paraId="4CC2838B" w14:textId="77777777" w:rsidR="00E239E3" w:rsidRDefault="00E239E3" w:rsidP="00E239E3"/>
    <w:p w14:paraId="37C4936B" w14:textId="77777777" w:rsidR="00E552F2" w:rsidRDefault="00E552F2" w:rsidP="00E552F2">
      <w:pPr>
        <w:spacing w:afterLines="50" w:after="120"/>
        <w:rPr>
          <w:b/>
          <w:iCs/>
        </w:rPr>
      </w:pPr>
      <w:bookmarkStart w:id="16" w:name="_Ref53739557"/>
      <w:r w:rsidRPr="00F51CB1">
        <w:rPr>
          <w:b/>
        </w:rPr>
        <w:t xml:space="preserve">Proposal </w:t>
      </w:r>
      <w:r w:rsidRPr="00F51CB1">
        <w:rPr>
          <w:b/>
          <w:noProof/>
        </w:rPr>
        <w:fldChar w:fldCharType="begin"/>
      </w:r>
      <w:r w:rsidRPr="00F51CB1">
        <w:rPr>
          <w:b/>
          <w:noProof/>
        </w:rPr>
        <w:instrText xml:space="preserve"> SEQ Proposal \* ARABIC </w:instrText>
      </w:r>
      <w:r w:rsidRPr="00F51CB1">
        <w:rPr>
          <w:b/>
          <w:noProof/>
        </w:rPr>
        <w:fldChar w:fldCharType="separate"/>
      </w:r>
      <w:r w:rsidR="00B60F19">
        <w:rPr>
          <w:b/>
          <w:noProof/>
        </w:rPr>
        <w:t>6</w:t>
      </w:r>
      <w:r w:rsidRPr="00F51CB1">
        <w:rPr>
          <w:b/>
          <w:noProof/>
        </w:rPr>
        <w:fldChar w:fldCharType="end"/>
      </w:r>
      <w:r w:rsidRPr="00F51CB1">
        <w:rPr>
          <w:b/>
        </w:rPr>
        <w:t xml:space="preserve">: </w:t>
      </w:r>
      <w:r>
        <w:rPr>
          <w:b/>
          <w:iCs/>
        </w:rPr>
        <w:t>Ap</w:t>
      </w:r>
      <w:r w:rsidRPr="00206A47">
        <w:rPr>
          <w:b/>
          <w:iCs/>
        </w:rPr>
        <w:t xml:space="preserve">eriodic CSI-RS </w:t>
      </w:r>
      <w:r>
        <w:rPr>
          <w:b/>
          <w:iCs/>
        </w:rPr>
        <w:t xml:space="preserve">should not be used </w:t>
      </w:r>
      <w:r w:rsidRPr="00206A47">
        <w:rPr>
          <w:b/>
          <w:iCs/>
        </w:rPr>
        <w:t>for BFR</w:t>
      </w:r>
      <w:r>
        <w:rPr>
          <w:b/>
          <w:iCs/>
        </w:rPr>
        <w:t xml:space="preserve"> purpose.</w:t>
      </w:r>
      <w:bookmarkEnd w:id="16"/>
    </w:p>
    <w:p w14:paraId="22F7C6AA" w14:textId="77777777" w:rsidR="00E239E3" w:rsidRDefault="00E239E3" w:rsidP="00E239E3">
      <w:pPr>
        <w:spacing w:afterLines="50" w:after="120"/>
      </w:pPr>
    </w:p>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2604311" w:rsidR="00FD3E20" w:rsidRDefault="00FD3E20" w:rsidP="00FD3E20">
      <w:pPr>
        <w:spacing w:afterLines="50" w:after="120"/>
      </w:pPr>
      <w:r w:rsidRPr="007D4109">
        <w:t>In summary, we have the following observations</w:t>
      </w:r>
      <w:r w:rsidR="00460F5C">
        <w:t xml:space="preserve"> and proposals</w:t>
      </w:r>
      <w:r w:rsidRPr="007D4109">
        <w:t>:</w:t>
      </w:r>
    </w:p>
    <w:p w14:paraId="1A2DD7CD" w14:textId="4EE4C7CD" w:rsidR="00DD6009" w:rsidRPr="0008248F" w:rsidRDefault="00DD6009" w:rsidP="00E03053">
      <w:pPr>
        <w:spacing w:afterLines="50" w:after="120"/>
        <w:rPr>
          <w:b/>
          <w:iCs/>
        </w:rPr>
      </w:pPr>
      <w:r w:rsidRPr="0008248F">
        <w:rPr>
          <w:b/>
          <w:iCs/>
        </w:rPr>
        <w:fldChar w:fldCharType="begin"/>
      </w:r>
      <w:r w:rsidRPr="0008248F">
        <w:rPr>
          <w:b/>
          <w:iCs/>
        </w:rPr>
        <w:instrText xml:space="preserve"> REF _Ref53691482 \h  \* MERGEFORMAT </w:instrText>
      </w:r>
      <w:r w:rsidRPr="0008248F">
        <w:rPr>
          <w:b/>
          <w:iCs/>
        </w:rPr>
      </w:r>
      <w:r w:rsidRPr="0008248F">
        <w:rPr>
          <w:b/>
          <w:iCs/>
        </w:rPr>
        <w:fldChar w:fldCharType="separate"/>
      </w:r>
      <w:r w:rsidR="00B60F19" w:rsidRPr="00B01423">
        <w:rPr>
          <w:b/>
        </w:rPr>
        <w:t xml:space="preserve">Observation </w:t>
      </w:r>
      <w:r w:rsidR="00B60F19" w:rsidRPr="00B01423">
        <w:rPr>
          <w:b/>
          <w:noProof/>
        </w:rPr>
        <w:t>1</w:t>
      </w:r>
      <w:r w:rsidR="00B60F19" w:rsidRPr="00B01423">
        <w:rPr>
          <w:b/>
        </w:rPr>
        <w:t>: A simple, 3-tap BLS ICI equalizer is able to eliminate the error floor caused by the ICI, and in turn allows proper operation using current NR numerology (e.g., SCS = 120KHz).</w:t>
      </w:r>
      <w:r w:rsidRPr="0008248F">
        <w:rPr>
          <w:b/>
          <w:iCs/>
        </w:rPr>
        <w:fldChar w:fldCharType="end"/>
      </w:r>
    </w:p>
    <w:p w14:paraId="26F34A26" w14:textId="19DB0BC4" w:rsidR="00DD6009" w:rsidRPr="0008248F" w:rsidRDefault="00DD6009" w:rsidP="00E03053">
      <w:pPr>
        <w:spacing w:afterLines="50" w:after="120"/>
        <w:rPr>
          <w:b/>
          <w:iCs/>
        </w:rPr>
      </w:pPr>
      <w:r w:rsidRPr="0008248F">
        <w:rPr>
          <w:b/>
          <w:iCs/>
        </w:rPr>
        <w:fldChar w:fldCharType="begin"/>
      </w:r>
      <w:r w:rsidRPr="0008248F">
        <w:rPr>
          <w:b/>
          <w:iCs/>
        </w:rPr>
        <w:instrText xml:space="preserve"> REF _Ref53691491 \h  \* MERGEFORMAT </w:instrText>
      </w:r>
      <w:r w:rsidRPr="0008248F">
        <w:rPr>
          <w:b/>
          <w:iCs/>
        </w:rPr>
      </w:r>
      <w:r w:rsidRPr="0008248F">
        <w:rPr>
          <w:b/>
          <w:iCs/>
        </w:rPr>
        <w:fldChar w:fldCharType="separate"/>
      </w:r>
      <w:r w:rsidR="00B60F19" w:rsidRPr="00B01423">
        <w:rPr>
          <w:b/>
        </w:rPr>
        <w:t xml:space="preserve">Observation </w:t>
      </w:r>
      <w:r w:rsidR="00B60F19" w:rsidRPr="00B01423">
        <w:rPr>
          <w:b/>
          <w:noProof/>
        </w:rPr>
        <w:t>2</w:t>
      </w:r>
      <w:r w:rsidR="00B60F19" w:rsidRPr="00B01423">
        <w:rPr>
          <w:b/>
        </w:rPr>
        <w:t>:</w:t>
      </w:r>
      <w:r w:rsidR="00B60F19" w:rsidRPr="00B60F19">
        <w:rPr>
          <w:b/>
        </w:rPr>
        <w:t xml:space="preserve"> </w:t>
      </w:r>
      <w:r w:rsidR="00B60F19" w:rsidRPr="00B01423">
        <w:rPr>
          <w:b/>
        </w:rPr>
        <w:t>When 3-tap BLS ICI equalizer is used at the receiver, R-15 PTRS design and block PTRS design offer identical performance.</w:t>
      </w:r>
      <w:r w:rsidRPr="0008248F">
        <w:rPr>
          <w:b/>
          <w:iCs/>
        </w:rPr>
        <w:fldChar w:fldCharType="end"/>
      </w:r>
    </w:p>
    <w:p w14:paraId="0BF2DD20" w14:textId="27F85851" w:rsidR="00DD6009" w:rsidRDefault="00DD6009" w:rsidP="00E03053">
      <w:pPr>
        <w:spacing w:afterLines="50" w:after="120"/>
        <w:rPr>
          <w:b/>
          <w:iCs/>
        </w:rPr>
      </w:pPr>
      <w:r w:rsidRPr="0008248F">
        <w:rPr>
          <w:b/>
          <w:iCs/>
        </w:rPr>
        <w:lastRenderedPageBreak/>
        <w:fldChar w:fldCharType="begin"/>
      </w:r>
      <w:r w:rsidRPr="0008248F">
        <w:rPr>
          <w:b/>
          <w:iCs/>
        </w:rPr>
        <w:instrText xml:space="preserve"> REF _Ref53691498 \h  \* MERGEFORMAT </w:instrText>
      </w:r>
      <w:r w:rsidRPr="0008248F">
        <w:rPr>
          <w:b/>
          <w:iCs/>
        </w:rPr>
      </w:r>
      <w:r w:rsidRPr="0008248F">
        <w:rPr>
          <w:b/>
          <w:iCs/>
        </w:rPr>
        <w:fldChar w:fldCharType="separate"/>
      </w:r>
      <w:r w:rsidR="00B60F19" w:rsidRPr="00B01423">
        <w:rPr>
          <w:b/>
        </w:rPr>
        <w:t xml:space="preserve">Observation </w:t>
      </w:r>
      <w:r w:rsidR="00B60F19" w:rsidRPr="00B01423">
        <w:rPr>
          <w:b/>
          <w:noProof/>
        </w:rPr>
        <w:t>3</w:t>
      </w:r>
      <w:r w:rsidR="00B60F19" w:rsidRPr="00B01423">
        <w:rPr>
          <w:b/>
        </w:rPr>
        <w:t>: More complicated ICI equalization technique (e.g., DFE), together with the block PTRS design, may further reduce the performance degradation due to phase noise.</w:t>
      </w:r>
      <w:r w:rsidRPr="0008248F">
        <w:rPr>
          <w:b/>
          <w:iCs/>
        </w:rPr>
        <w:fldChar w:fldCharType="end"/>
      </w:r>
    </w:p>
    <w:p w14:paraId="42A4F342" w14:textId="77777777" w:rsidR="008655A7" w:rsidRDefault="008655A7" w:rsidP="00E03053">
      <w:pPr>
        <w:spacing w:afterLines="50" w:after="120"/>
        <w:rPr>
          <w:b/>
          <w:iCs/>
        </w:rPr>
      </w:pPr>
    </w:p>
    <w:p w14:paraId="4B4609F9" w14:textId="5AE235E5" w:rsidR="00B60F19" w:rsidRDefault="00B60F19" w:rsidP="002D0A17">
      <w:pPr>
        <w:pStyle w:val="Caption"/>
      </w:pPr>
      <w:r>
        <w:fldChar w:fldCharType="begin"/>
      </w:r>
      <w:r>
        <w:instrText xml:space="preserve"> REF _Ref53739435 \h </w:instrText>
      </w:r>
      <w:r>
        <w:fldChar w:fldCharType="separate"/>
      </w:r>
      <w:r>
        <w:t xml:space="preserve">Proposal </w:t>
      </w:r>
      <w:r>
        <w:rPr>
          <w:noProof/>
        </w:rPr>
        <w:t>1</w:t>
      </w:r>
      <w:r>
        <w:t>: For 52.6-</w:t>
      </w:r>
      <w:r>
        <w:rPr>
          <w:iCs/>
        </w:rPr>
        <w:t xml:space="preserve">71 GHz band, the existing SCSs, i.e., 120 kHz and 240 kHz, and </w:t>
      </w:r>
      <w:r w:rsidRPr="005328CA">
        <w:rPr>
          <w:iCs/>
        </w:rPr>
        <w:t>multiplexing pattern between SSB and CORESET#0</w:t>
      </w:r>
      <w:r>
        <w:rPr>
          <w:iCs/>
        </w:rPr>
        <w:t xml:space="preserve"> in FR2 for SS/PBCH blocks should be reused.</w:t>
      </w:r>
      <w:r>
        <w:fldChar w:fldCharType="end"/>
      </w:r>
    </w:p>
    <w:p w14:paraId="4D14F049" w14:textId="77777777" w:rsidR="008655A7" w:rsidRPr="00B01423" w:rsidRDefault="008655A7" w:rsidP="00E03053">
      <w:pPr>
        <w:spacing w:afterLines="50" w:after="120"/>
        <w:rPr>
          <w:iCs/>
        </w:rPr>
      </w:pPr>
    </w:p>
    <w:p w14:paraId="37BC57D4" w14:textId="106269D8" w:rsidR="00B60F19" w:rsidRDefault="00B60F19" w:rsidP="00E03053">
      <w:pPr>
        <w:spacing w:afterLines="50" w:after="120"/>
        <w:rPr>
          <w:b/>
          <w:iCs/>
        </w:rPr>
      </w:pPr>
      <w:r w:rsidRPr="00B60F19">
        <w:rPr>
          <w:b/>
          <w:iCs/>
        </w:rPr>
        <w:fldChar w:fldCharType="begin"/>
      </w:r>
      <w:r w:rsidRPr="00B60F19">
        <w:rPr>
          <w:b/>
          <w:iCs/>
        </w:rPr>
        <w:instrText xml:space="preserve"> REF _Ref53739453 \h </w:instrText>
      </w:r>
      <w:r w:rsidRPr="00B01423">
        <w:rPr>
          <w:b/>
          <w:iCs/>
        </w:rPr>
        <w:instrText xml:space="preserve"> \* MERGEFORMAT </w:instrText>
      </w:r>
      <w:r w:rsidRPr="00B60F19">
        <w:rPr>
          <w:b/>
          <w:iCs/>
        </w:rPr>
      </w:r>
      <w:r w:rsidRPr="00B01423">
        <w:rPr>
          <w:b/>
          <w:iCs/>
        </w:rPr>
        <w:fldChar w:fldCharType="separate"/>
      </w:r>
      <w:r w:rsidRPr="00B01423">
        <w:rPr>
          <w:b/>
        </w:rPr>
        <w:t xml:space="preserve">Proposal </w:t>
      </w:r>
      <w:r w:rsidRPr="00B01423">
        <w:rPr>
          <w:b/>
          <w:noProof/>
        </w:rPr>
        <w:t>2</w:t>
      </w:r>
      <w:r w:rsidRPr="00B01423">
        <w:rPr>
          <w:b/>
        </w:rPr>
        <w:t>: For 52.6-</w:t>
      </w:r>
      <w:r w:rsidRPr="00B01423">
        <w:rPr>
          <w:b/>
          <w:iCs/>
        </w:rPr>
        <w:t>71 GHz band, the existing time domain patterns designed in FR2 for SS/PBCH blocks at least for licensed spectrum should be reused.</w:t>
      </w:r>
      <w:r w:rsidRPr="00A81FFD">
        <w:rPr>
          <w:b/>
          <w:iCs/>
        </w:rPr>
        <w:fldChar w:fldCharType="end"/>
      </w:r>
    </w:p>
    <w:p w14:paraId="5494A50F" w14:textId="77777777" w:rsidR="00B60F19" w:rsidRDefault="00B60F19" w:rsidP="00E03053">
      <w:pPr>
        <w:spacing w:afterLines="50" w:after="120"/>
        <w:rPr>
          <w:b/>
          <w:iCs/>
        </w:rPr>
      </w:pPr>
    </w:p>
    <w:p w14:paraId="13F8CF42" w14:textId="304D8853" w:rsidR="00B60F19" w:rsidRDefault="00B60F19" w:rsidP="00E03053">
      <w:pPr>
        <w:spacing w:afterLines="50" w:after="120"/>
        <w:rPr>
          <w:b/>
          <w:iCs/>
        </w:rPr>
      </w:pPr>
      <w:r w:rsidRPr="00B60F19">
        <w:rPr>
          <w:b/>
          <w:iCs/>
        </w:rPr>
        <w:fldChar w:fldCharType="begin"/>
      </w:r>
      <w:r w:rsidRPr="00B60F19">
        <w:rPr>
          <w:b/>
          <w:iCs/>
        </w:rPr>
        <w:instrText xml:space="preserve"> REF _Ref53739525 \h </w:instrText>
      </w:r>
      <w:r w:rsidRPr="00B01423">
        <w:rPr>
          <w:b/>
          <w:iCs/>
        </w:rPr>
        <w:instrText xml:space="preserve"> \* MERGEFORMAT </w:instrText>
      </w:r>
      <w:r w:rsidRPr="00B60F19">
        <w:rPr>
          <w:b/>
          <w:iCs/>
        </w:rPr>
      </w:r>
      <w:r w:rsidRPr="00B01423">
        <w:rPr>
          <w:b/>
          <w:iCs/>
        </w:rPr>
        <w:fldChar w:fldCharType="separate"/>
      </w:r>
      <w:r w:rsidRPr="00B01423">
        <w:rPr>
          <w:b/>
        </w:rPr>
        <w:t xml:space="preserve">Proposal </w:t>
      </w:r>
      <w:r w:rsidRPr="00B01423">
        <w:rPr>
          <w:b/>
          <w:noProof/>
        </w:rPr>
        <w:t>3</w:t>
      </w:r>
      <w:r w:rsidRPr="00B01423">
        <w:rPr>
          <w:b/>
        </w:rPr>
        <w:t>: For new SCS, if agreed, the following aspects should be prioritized to address UE PDCCH monitoring complexity concerns.</w:t>
      </w:r>
      <w:r w:rsidRPr="00A81FFD">
        <w:rPr>
          <w:b/>
          <w:iCs/>
        </w:rPr>
        <w:fldChar w:fldCharType="end"/>
      </w:r>
    </w:p>
    <w:p w14:paraId="658D1800" w14:textId="77777777" w:rsidR="00B60F19" w:rsidRPr="00B60F19" w:rsidRDefault="00B60F19" w:rsidP="00E03053">
      <w:pPr>
        <w:spacing w:afterLines="50" w:after="120"/>
        <w:rPr>
          <w:b/>
          <w:iCs/>
        </w:rPr>
      </w:pPr>
    </w:p>
    <w:p w14:paraId="2A8333F3" w14:textId="6BF02A3F" w:rsidR="00B60F19" w:rsidRDefault="00B60F19" w:rsidP="00E03053">
      <w:pPr>
        <w:spacing w:afterLines="50" w:after="120"/>
        <w:rPr>
          <w:b/>
          <w:iCs/>
        </w:rPr>
      </w:pPr>
      <w:r>
        <w:rPr>
          <w:b/>
          <w:iCs/>
        </w:rPr>
        <w:fldChar w:fldCharType="begin"/>
      </w:r>
      <w:r>
        <w:rPr>
          <w:b/>
          <w:iCs/>
        </w:rPr>
        <w:instrText xml:space="preserve"> REF _Ref53739532 \h </w:instrText>
      </w:r>
      <w:r>
        <w:rPr>
          <w:b/>
          <w:iCs/>
        </w:rPr>
      </w:r>
      <w:r>
        <w:rPr>
          <w:b/>
          <w:iCs/>
        </w:rPr>
        <w:fldChar w:fldCharType="separate"/>
      </w:r>
      <w:r w:rsidRPr="00B01423">
        <w:rPr>
          <w:b/>
        </w:rPr>
        <w:t xml:space="preserve">Proposal </w:t>
      </w:r>
      <w:r>
        <w:rPr>
          <w:b/>
          <w:noProof/>
        </w:rPr>
        <w:t>4</w:t>
      </w:r>
      <w:r w:rsidRPr="00B01423">
        <w:rPr>
          <w:b/>
        </w:rPr>
        <w:t xml:space="preserve">: </w:t>
      </w:r>
      <w:r>
        <w:rPr>
          <w:b/>
          <w:iCs/>
        </w:rPr>
        <w:t>PRB and sub-PRB I</w:t>
      </w:r>
      <w:r w:rsidRPr="004D7460">
        <w:rPr>
          <w:b/>
          <w:iCs/>
        </w:rPr>
        <w:t xml:space="preserve">nterlace </w:t>
      </w:r>
      <w:r>
        <w:rPr>
          <w:b/>
          <w:iCs/>
        </w:rPr>
        <w:t>are not</w:t>
      </w:r>
      <w:r w:rsidRPr="004D7460">
        <w:rPr>
          <w:b/>
          <w:iCs/>
        </w:rPr>
        <w:t xml:space="preserve"> supported for </w:t>
      </w:r>
      <w:r>
        <w:rPr>
          <w:b/>
          <w:iCs/>
        </w:rPr>
        <w:t>UL transmission</w:t>
      </w:r>
      <w:r w:rsidRPr="004D7460">
        <w:rPr>
          <w:b/>
          <w:iCs/>
        </w:rPr>
        <w:t xml:space="preserve"> in 60 GHz band</w:t>
      </w:r>
      <w:r>
        <w:rPr>
          <w:b/>
          <w:iCs/>
        </w:rPr>
        <w:t>.</w:t>
      </w:r>
      <w:r>
        <w:rPr>
          <w:b/>
          <w:iCs/>
        </w:rPr>
        <w:fldChar w:fldCharType="end"/>
      </w:r>
    </w:p>
    <w:p w14:paraId="70DE92E3" w14:textId="77777777" w:rsidR="00B60F19" w:rsidRDefault="00B60F19" w:rsidP="00E03053">
      <w:pPr>
        <w:spacing w:afterLines="50" w:after="120"/>
        <w:rPr>
          <w:b/>
          <w:iCs/>
        </w:rPr>
      </w:pPr>
    </w:p>
    <w:p w14:paraId="066CB8C3" w14:textId="224E1066" w:rsidR="00B60F19" w:rsidRDefault="00B60F19" w:rsidP="00E03053">
      <w:pPr>
        <w:spacing w:afterLines="50" w:after="120"/>
        <w:rPr>
          <w:b/>
          <w:iCs/>
        </w:rPr>
      </w:pPr>
      <w:r>
        <w:rPr>
          <w:b/>
          <w:iCs/>
        </w:rPr>
        <w:fldChar w:fldCharType="begin"/>
      </w:r>
      <w:r>
        <w:rPr>
          <w:b/>
          <w:iCs/>
        </w:rPr>
        <w:instrText xml:space="preserve"> REF _Ref53739546 \h </w:instrText>
      </w:r>
      <w:r>
        <w:rPr>
          <w:b/>
          <w:iCs/>
        </w:rPr>
      </w:r>
      <w:r>
        <w:rPr>
          <w:b/>
          <w:iCs/>
        </w:rPr>
        <w:fldChar w:fldCharType="separate"/>
      </w:r>
      <w:r w:rsidRPr="00F51CB1">
        <w:rPr>
          <w:b/>
        </w:rPr>
        <w:t xml:space="preserve">Proposal </w:t>
      </w:r>
      <w:r>
        <w:rPr>
          <w:b/>
          <w:noProof/>
        </w:rPr>
        <w:t>5</w:t>
      </w:r>
      <w:r w:rsidRPr="00F51CB1">
        <w:rPr>
          <w:b/>
        </w:rPr>
        <w:t xml:space="preserve">: </w:t>
      </w:r>
      <w:r>
        <w:rPr>
          <w:b/>
          <w:iCs/>
        </w:rPr>
        <w:t>Po</w:t>
      </w:r>
      <w:r w:rsidRPr="003827C5">
        <w:rPr>
          <w:b/>
          <w:iCs/>
        </w:rPr>
        <w:t>tential enhancements for PUSCH/PUCCH transmissions to achieve higher transmit power</w:t>
      </w:r>
      <w:r>
        <w:rPr>
          <w:b/>
          <w:iCs/>
        </w:rPr>
        <w:t xml:space="preserve"> should be considered in WI, e.g., </w:t>
      </w:r>
      <w:r w:rsidRPr="003827C5">
        <w:rPr>
          <w:b/>
          <w:iCs/>
        </w:rPr>
        <w:t>PUCCH repetition in time</w:t>
      </w:r>
      <w:r>
        <w:rPr>
          <w:b/>
          <w:iCs/>
        </w:rPr>
        <w:t>/frequency</w:t>
      </w:r>
      <w:r w:rsidRPr="003827C5">
        <w:rPr>
          <w:b/>
          <w:iCs/>
        </w:rPr>
        <w:t xml:space="preserve"> domain</w:t>
      </w:r>
      <w:r>
        <w:rPr>
          <w:b/>
          <w:iCs/>
        </w:rPr>
        <w:t>.</w:t>
      </w:r>
      <w:r>
        <w:rPr>
          <w:b/>
          <w:iCs/>
        </w:rPr>
        <w:fldChar w:fldCharType="end"/>
      </w:r>
    </w:p>
    <w:p w14:paraId="25B5F4F8" w14:textId="77777777" w:rsidR="00B60F19" w:rsidRDefault="00B60F19" w:rsidP="00E03053">
      <w:pPr>
        <w:spacing w:afterLines="50" w:after="120"/>
        <w:rPr>
          <w:b/>
          <w:iCs/>
        </w:rPr>
      </w:pPr>
    </w:p>
    <w:p w14:paraId="27D7CFD4" w14:textId="385BAECC" w:rsidR="00B60F19" w:rsidRDefault="00B60F19" w:rsidP="00E03053">
      <w:pPr>
        <w:spacing w:afterLines="50" w:after="120"/>
        <w:rPr>
          <w:b/>
          <w:iCs/>
        </w:rPr>
      </w:pPr>
      <w:r>
        <w:rPr>
          <w:b/>
          <w:iCs/>
        </w:rPr>
        <w:fldChar w:fldCharType="begin"/>
      </w:r>
      <w:r>
        <w:rPr>
          <w:b/>
          <w:iCs/>
        </w:rPr>
        <w:instrText xml:space="preserve"> REF _Ref53739557 \h </w:instrText>
      </w:r>
      <w:r>
        <w:rPr>
          <w:b/>
          <w:iCs/>
        </w:rPr>
      </w:r>
      <w:r>
        <w:rPr>
          <w:b/>
          <w:iCs/>
        </w:rPr>
        <w:fldChar w:fldCharType="separate"/>
      </w:r>
      <w:r w:rsidRPr="00F51CB1">
        <w:rPr>
          <w:b/>
        </w:rPr>
        <w:t xml:space="preserve">Proposal </w:t>
      </w:r>
      <w:r>
        <w:rPr>
          <w:b/>
          <w:noProof/>
        </w:rPr>
        <w:t>6</w:t>
      </w:r>
      <w:r w:rsidRPr="00F51CB1">
        <w:rPr>
          <w:b/>
        </w:rPr>
        <w:t xml:space="preserve">: </w:t>
      </w:r>
      <w:r>
        <w:rPr>
          <w:b/>
          <w:iCs/>
        </w:rPr>
        <w:t>Ap</w:t>
      </w:r>
      <w:r w:rsidRPr="00206A47">
        <w:rPr>
          <w:b/>
          <w:iCs/>
        </w:rPr>
        <w:t xml:space="preserve">eriodic CSI-RS </w:t>
      </w:r>
      <w:r>
        <w:rPr>
          <w:b/>
          <w:iCs/>
        </w:rPr>
        <w:t xml:space="preserve">should not be used </w:t>
      </w:r>
      <w:r w:rsidRPr="00206A47">
        <w:rPr>
          <w:b/>
          <w:iCs/>
        </w:rPr>
        <w:t>for BFR</w:t>
      </w:r>
      <w:r>
        <w:rPr>
          <w:b/>
          <w:iCs/>
        </w:rPr>
        <w:t xml:space="preserve"> purpose.</w:t>
      </w:r>
      <w:r>
        <w:rPr>
          <w:b/>
          <w:iCs/>
        </w:rPr>
        <w:fldChar w:fldCharType="end"/>
      </w:r>
    </w:p>
    <w:p w14:paraId="2973A52E" w14:textId="77777777" w:rsidR="00B60F19" w:rsidRPr="00B60F19" w:rsidRDefault="00B60F19" w:rsidP="00E03053">
      <w:pPr>
        <w:spacing w:afterLines="50" w:after="120"/>
        <w:rPr>
          <w:b/>
          <w:iCs/>
        </w:rPr>
      </w:pP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71F2992C" w14:textId="27688F93" w:rsidR="000C39EA" w:rsidRDefault="000C39EA" w:rsidP="000C39EA">
      <w:pPr>
        <w:numPr>
          <w:ilvl w:val="0"/>
          <w:numId w:val="6"/>
        </w:numPr>
        <w:spacing w:afterLines="50" w:after="120"/>
      </w:pPr>
      <w:bookmarkStart w:id="17" w:name="_Ref40359806"/>
      <w:bookmarkStart w:id="18" w:name="_Ref528680018"/>
      <w:bookmarkStart w:id="19" w:name="_Ref481596356"/>
      <w:bookmarkStart w:id="20" w:name="_Ref481781528"/>
      <w:bookmarkStart w:id="21" w:name="_Ref481782557"/>
      <w:r>
        <w:t>R1-193259, “New SID Study on supporting NR above 52.6GHz”, Sitges, Spain, December</w:t>
      </w:r>
      <w:r w:rsidRPr="000C39EA">
        <w:t>, 2019</w:t>
      </w:r>
      <w:bookmarkEnd w:id="17"/>
    </w:p>
    <w:p w14:paraId="1A37EDAE" w14:textId="5D8A3951" w:rsidR="001243FA" w:rsidRDefault="003E577B" w:rsidP="003E577B">
      <w:pPr>
        <w:numPr>
          <w:ilvl w:val="0"/>
          <w:numId w:val="6"/>
        </w:numPr>
        <w:spacing w:afterLines="50" w:after="120"/>
      </w:pPr>
      <w:bookmarkStart w:id="22" w:name="_Ref40449526"/>
      <w:r>
        <w:t>3GPP TS38.101-2 v16.3.1, “</w:t>
      </w:r>
      <w:r w:rsidR="00746FF0">
        <w:t xml:space="preserve">NR </w:t>
      </w:r>
      <w:r>
        <w:t>User Equipment (UE) radio transmission and reception Part 2: Range 2 Standalone”, March, 2020</w:t>
      </w:r>
      <w:bookmarkEnd w:id="22"/>
    </w:p>
    <w:p w14:paraId="0377ADCF" w14:textId="2FCFFF72" w:rsidR="00BA1B76" w:rsidRDefault="00746FF0" w:rsidP="00746FF0">
      <w:pPr>
        <w:numPr>
          <w:ilvl w:val="0"/>
          <w:numId w:val="6"/>
        </w:numPr>
        <w:spacing w:afterLines="50" w:after="120"/>
      </w:pPr>
      <w:bookmarkStart w:id="23" w:name="_Ref40449572"/>
      <w:r>
        <w:t xml:space="preserve">3GPP TS38.211 v16.1.0, “NR </w:t>
      </w:r>
      <w:r w:rsidRPr="00746FF0">
        <w:t>Physical channels and modulation</w:t>
      </w:r>
      <w:r>
        <w:t>”, March, 2020</w:t>
      </w:r>
      <w:bookmarkEnd w:id="23"/>
    </w:p>
    <w:p w14:paraId="4E3D919C" w14:textId="0995C323" w:rsidR="002C041B" w:rsidRDefault="005C6FC6" w:rsidP="005C6FC6">
      <w:pPr>
        <w:numPr>
          <w:ilvl w:val="0"/>
          <w:numId w:val="6"/>
        </w:numPr>
        <w:spacing w:afterLines="50" w:after="120"/>
      </w:pPr>
      <w:bookmarkStart w:id="24" w:name="_Ref40449707"/>
      <w:r>
        <w:t>3GPP TR38.803 v14.2.0, “Study on new radio access technology: Radio Frequency (RF) and co-existence aspects”, September, 2017</w:t>
      </w:r>
      <w:bookmarkEnd w:id="24"/>
    </w:p>
    <w:p w14:paraId="516BBCC1" w14:textId="3074B1B3" w:rsidR="00C30201" w:rsidRDefault="00310C4A" w:rsidP="00C30201">
      <w:pPr>
        <w:numPr>
          <w:ilvl w:val="0"/>
          <w:numId w:val="6"/>
        </w:numPr>
        <w:spacing w:afterLines="50" w:after="120"/>
      </w:pPr>
      <w:bookmarkStart w:id="25" w:name="_Ref47698919"/>
      <w:r>
        <w:t>3GPP RAN1 #101</w:t>
      </w:r>
      <w:r w:rsidR="009C6E4E">
        <w:t>-e, “Chairman’s Notes RAN1#</w:t>
      </w:r>
      <w:r>
        <w:t>101</w:t>
      </w:r>
      <w:r w:rsidR="009C6E4E">
        <w:t>-e</w:t>
      </w:r>
      <w:r>
        <w:t xml:space="preserve"> final”, e-Meeting, May 2020</w:t>
      </w:r>
      <w:r w:rsidR="00C30201" w:rsidRPr="00C30201">
        <w:t>.</w:t>
      </w:r>
      <w:bookmarkEnd w:id="25"/>
    </w:p>
    <w:p w14:paraId="702C61DE" w14:textId="39DDE9DF" w:rsidR="007D7432" w:rsidRDefault="00DE5B4A" w:rsidP="00DE5B4A">
      <w:pPr>
        <w:numPr>
          <w:ilvl w:val="0"/>
          <w:numId w:val="6"/>
        </w:numPr>
        <w:spacing w:afterLines="50" w:after="120"/>
      </w:pPr>
      <w:bookmarkStart w:id="26" w:name="_Ref47698976"/>
      <w:r>
        <w:t>R1-2003679, “</w:t>
      </w:r>
      <w:r w:rsidRPr="00DE5B4A">
        <w:t>On Required changes to NR using existing DL/UL NR waveform for supporting NR from 52.6GHz to 71 GHz</w:t>
      </w:r>
      <w:r>
        <w:t>”, May, 2020</w:t>
      </w:r>
      <w:bookmarkEnd w:id="26"/>
    </w:p>
    <w:p w14:paraId="7581ACBC" w14:textId="0B56E318" w:rsidR="007D7432" w:rsidRDefault="00EC640E" w:rsidP="00C30201">
      <w:pPr>
        <w:numPr>
          <w:ilvl w:val="0"/>
          <w:numId w:val="6"/>
        </w:numPr>
        <w:spacing w:afterLines="50" w:after="120"/>
      </w:pPr>
      <w:bookmarkStart w:id="27" w:name="_Ref47699091"/>
      <w:r>
        <w:t>3GPP TS</w:t>
      </w:r>
      <w:r w:rsidR="007D7432">
        <w:t>38.214</w:t>
      </w:r>
      <w:r>
        <w:t xml:space="preserve"> v16.1.0, “NR Physical Layer Procedures for Data”, March, 2020</w:t>
      </w:r>
      <w:bookmarkEnd w:id="27"/>
    </w:p>
    <w:p w14:paraId="54523692" w14:textId="20123290" w:rsidR="003F2EE5" w:rsidRDefault="003F2EE5" w:rsidP="003F2EE5">
      <w:pPr>
        <w:numPr>
          <w:ilvl w:val="0"/>
          <w:numId w:val="6"/>
        </w:numPr>
        <w:spacing w:afterLines="50" w:after="120"/>
      </w:pPr>
      <w:bookmarkStart w:id="28" w:name="_Ref53657233"/>
      <w:r>
        <w:t>R1-2006989, “</w:t>
      </w:r>
      <w:r w:rsidRPr="003F2EE5">
        <w:t>On required changes to NR using existing DL/UL NR waveform for operation in 60GHz band</w:t>
      </w:r>
      <w:r>
        <w:t>”, August, 2020</w:t>
      </w:r>
      <w:bookmarkEnd w:id="28"/>
    </w:p>
    <w:p w14:paraId="157C0494" w14:textId="04611066" w:rsidR="00333217" w:rsidRDefault="00333217" w:rsidP="00333217">
      <w:pPr>
        <w:numPr>
          <w:ilvl w:val="0"/>
          <w:numId w:val="6"/>
        </w:numPr>
        <w:spacing w:afterLines="50" w:after="120"/>
      </w:pPr>
      <w:bookmarkStart w:id="29" w:name="_Ref53674854"/>
      <w:r>
        <w:t>R1-2005920, “</w:t>
      </w:r>
      <w:r w:rsidRPr="00333217">
        <w:t>On NR operations in 52.6 to 71 GHz</w:t>
      </w:r>
      <w:r>
        <w:t>”, August, 2020</w:t>
      </w:r>
      <w:bookmarkEnd w:id="29"/>
    </w:p>
    <w:p w14:paraId="0836685F" w14:textId="25E8E408" w:rsidR="00827CDD" w:rsidRDefault="00827CDD" w:rsidP="00827CDD">
      <w:pPr>
        <w:numPr>
          <w:ilvl w:val="0"/>
          <w:numId w:val="6"/>
        </w:numPr>
        <w:spacing w:afterLines="50" w:after="120"/>
      </w:pPr>
      <w:bookmarkStart w:id="30" w:name="_Ref53738063"/>
      <w:r>
        <w:t>3GPP RAN1 #102-e, “Chairman’s Notes RAN1#102-e final”, e-Meeting, August 2020</w:t>
      </w:r>
      <w:r w:rsidRPr="00C30201">
        <w:t>.</w:t>
      </w:r>
      <w:bookmarkEnd w:id="30"/>
    </w:p>
    <w:p w14:paraId="342BB80B" w14:textId="3A785A7E" w:rsidR="002D0A17" w:rsidRDefault="002D0A17" w:rsidP="002D0A17">
      <w:pPr>
        <w:numPr>
          <w:ilvl w:val="0"/>
          <w:numId w:val="6"/>
        </w:numPr>
        <w:spacing w:afterLines="50" w:after="120"/>
      </w:pPr>
      <w:bookmarkStart w:id="31" w:name="_Ref53738533"/>
      <w:r>
        <w:t>R1-2005920, “</w:t>
      </w:r>
      <w:r>
        <w:rPr>
          <w:lang w:eastAsia="x-none"/>
        </w:rPr>
        <w:t>On NR operations in 52.6 to 71 GHz</w:t>
      </w:r>
      <w:r>
        <w:t>”, August 2020</w:t>
      </w:r>
      <w:bookmarkEnd w:id="31"/>
    </w:p>
    <w:p w14:paraId="38A8FFF7" w14:textId="4A28E863" w:rsidR="00827CDD" w:rsidRDefault="002D0A17" w:rsidP="00333217">
      <w:pPr>
        <w:numPr>
          <w:ilvl w:val="0"/>
          <w:numId w:val="6"/>
        </w:numPr>
        <w:spacing w:afterLines="50" w:after="120"/>
      </w:pPr>
      <w:bookmarkStart w:id="32" w:name="_Ref53738358"/>
      <w:r>
        <w:t>R1-2006136, “</w:t>
      </w:r>
      <w:r>
        <w:rPr>
          <w:lang w:eastAsia="x-none"/>
        </w:rPr>
        <w:t>Design aspects for extending NR to up to 71 GHz</w:t>
      </w:r>
      <w:r>
        <w:t>”, August 2020</w:t>
      </w:r>
      <w:bookmarkEnd w:id="32"/>
    </w:p>
    <w:p w14:paraId="38E9C596" w14:textId="18F04440" w:rsidR="002D0A17" w:rsidRDefault="002D0A17" w:rsidP="002D0A17">
      <w:pPr>
        <w:numPr>
          <w:ilvl w:val="0"/>
          <w:numId w:val="6"/>
        </w:numPr>
        <w:spacing w:afterLines="50" w:after="120"/>
      </w:pPr>
      <w:bookmarkStart w:id="33" w:name="_Ref53738410"/>
      <w:r>
        <w:t>R1-2006304, “</w:t>
      </w:r>
      <w:r>
        <w:rPr>
          <w:lang w:eastAsia="x-none"/>
        </w:rPr>
        <w:t>Consideration on required physical layer changes to support NR above 52.6 GHz</w:t>
      </w:r>
      <w:r>
        <w:t>”, August 2020</w:t>
      </w:r>
      <w:bookmarkEnd w:id="33"/>
    </w:p>
    <w:p w14:paraId="604F0561" w14:textId="5CFABF0E" w:rsidR="002D0A17" w:rsidRDefault="002D0A17" w:rsidP="002D0A17">
      <w:pPr>
        <w:numPr>
          <w:ilvl w:val="0"/>
          <w:numId w:val="6"/>
        </w:numPr>
        <w:spacing w:afterLines="50" w:after="120"/>
      </w:pPr>
      <w:bookmarkStart w:id="34" w:name="_Ref53738375"/>
      <w:r>
        <w:lastRenderedPageBreak/>
        <w:t>R1-2006512, “</w:t>
      </w:r>
      <w:r>
        <w:rPr>
          <w:lang w:eastAsia="x-none"/>
        </w:rPr>
        <w:t>On Required changes to NR above 52.6 GHz using the existing DL/UL NR Waveform</w:t>
      </w:r>
      <w:r>
        <w:t>”, August 2020</w:t>
      </w:r>
      <w:bookmarkEnd w:id="34"/>
    </w:p>
    <w:p w14:paraId="2352E109" w14:textId="57357D8B" w:rsidR="002D0A17" w:rsidRDefault="002D0A17" w:rsidP="00333217">
      <w:pPr>
        <w:numPr>
          <w:ilvl w:val="0"/>
          <w:numId w:val="6"/>
        </w:numPr>
        <w:spacing w:afterLines="50" w:after="120"/>
      </w:pPr>
      <w:bookmarkStart w:id="35" w:name="_Ref53738425"/>
      <w:r>
        <w:t>R1-2006907, “</w:t>
      </w:r>
      <w:r>
        <w:rPr>
          <w:lang w:eastAsia="x-none"/>
        </w:rPr>
        <w:t>Required changes to NR using existing DL/UL NR waveform</w:t>
      </w:r>
      <w:r>
        <w:t>”, August 202</w:t>
      </w:r>
      <w:bookmarkEnd w:id="35"/>
    </w:p>
    <w:p w14:paraId="244503B2" w14:textId="31E16FC6" w:rsidR="007E04F4" w:rsidRDefault="007E04F4" w:rsidP="007E04F4">
      <w:pPr>
        <w:numPr>
          <w:ilvl w:val="0"/>
          <w:numId w:val="6"/>
        </w:numPr>
        <w:spacing w:afterLines="50" w:after="120"/>
      </w:pPr>
      <w:bookmarkStart w:id="36" w:name="_Ref53738518"/>
      <w:r>
        <w:t>R1-2005866, “</w:t>
      </w:r>
      <w:r>
        <w:rPr>
          <w:lang w:eastAsia="x-none"/>
        </w:rPr>
        <w:t>Discussion on Required Changes to NR in 52.6 – 71 GHz</w:t>
      </w:r>
      <w:r>
        <w:t>”, August 2020</w:t>
      </w:r>
      <w:bookmarkEnd w:id="36"/>
    </w:p>
    <w:p w14:paraId="65389DA6" w14:textId="77777777" w:rsidR="007E04F4" w:rsidRDefault="007E04F4" w:rsidP="00B01423">
      <w:pPr>
        <w:spacing w:afterLines="50" w:after="120"/>
      </w:pPr>
    </w:p>
    <w:bookmarkEnd w:id="18"/>
    <w:bookmarkEnd w:id="19"/>
    <w:bookmarkEnd w:id="20"/>
    <w:bookmarkEnd w:id="21"/>
    <w:p w14:paraId="176A8903" w14:textId="77777777" w:rsidR="0054126A" w:rsidRPr="00215987" w:rsidRDefault="0054126A" w:rsidP="0054126A">
      <w:pPr>
        <w:spacing w:afterLines="50" w:after="120"/>
      </w:pPr>
    </w:p>
    <w:p w14:paraId="7BAF22C0" w14:textId="77777777" w:rsidR="00A842F8" w:rsidRDefault="00A842F8" w:rsidP="006C1381">
      <w:pPr>
        <w:rPr>
          <w:rFonts w:eastAsia="SimSun"/>
        </w:rPr>
      </w:pPr>
    </w:p>
    <w:bookmarkEnd w:id="0"/>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A0358" w14:textId="77777777" w:rsidR="00F91AA7" w:rsidRDefault="00F91AA7">
      <w:r>
        <w:separator/>
      </w:r>
    </w:p>
  </w:endnote>
  <w:endnote w:type="continuationSeparator" w:id="0">
    <w:p w14:paraId="7DE7C282" w14:textId="77777777" w:rsidR="00F91AA7" w:rsidRDefault="00F9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EE626" w14:textId="77777777" w:rsidR="00F91AA7" w:rsidRDefault="00F91AA7">
      <w:r>
        <w:separator/>
      </w:r>
    </w:p>
  </w:footnote>
  <w:footnote w:type="continuationSeparator" w:id="0">
    <w:p w14:paraId="0CD289BE" w14:textId="77777777" w:rsidR="00F91AA7" w:rsidRDefault="00F91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4">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5">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3">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9">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7">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5"/>
  </w:num>
  <w:num w:numId="2">
    <w:abstractNumId w:val="30"/>
  </w:num>
  <w:num w:numId="3">
    <w:abstractNumId w:val="24"/>
  </w:num>
  <w:num w:numId="4">
    <w:abstractNumId w:val="6"/>
  </w:num>
  <w:num w:numId="5">
    <w:abstractNumId w:val="11"/>
  </w:num>
  <w:num w:numId="6">
    <w:abstractNumId w:val="12"/>
  </w:num>
  <w:num w:numId="7">
    <w:abstractNumId w:val="7"/>
  </w:num>
  <w:num w:numId="8">
    <w:abstractNumId w:val="23"/>
  </w:num>
  <w:num w:numId="9">
    <w:abstractNumId w:val="1"/>
  </w:num>
  <w:num w:numId="10">
    <w:abstractNumId w:val="10"/>
  </w:num>
  <w:num w:numId="11">
    <w:abstractNumId w:val="33"/>
  </w:num>
  <w:num w:numId="12">
    <w:abstractNumId w:val="0"/>
  </w:num>
  <w:num w:numId="13">
    <w:abstractNumId w:val="3"/>
  </w:num>
  <w:num w:numId="14">
    <w:abstractNumId w:val="42"/>
  </w:num>
  <w:num w:numId="15">
    <w:abstractNumId w:val="44"/>
  </w:num>
  <w:num w:numId="16">
    <w:abstractNumId w:val="9"/>
  </w:num>
  <w:num w:numId="17">
    <w:abstractNumId w:val="22"/>
  </w:num>
  <w:num w:numId="18">
    <w:abstractNumId w:val="36"/>
  </w:num>
  <w:num w:numId="19">
    <w:abstractNumId w:val="28"/>
  </w:num>
  <w:num w:numId="20">
    <w:abstractNumId w:val="16"/>
  </w:num>
  <w:num w:numId="21">
    <w:abstractNumId w:val="46"/>
  </w:num>
  <w:num w:numId="22">
    <w:abstractNumId w:val="41"/>
  </w:num>
  <w:num w:numId="23">
    <w:abstractNumId w:val="4"/>
  </w:num>
  <w:num w:numId="24">
    <w:abstractNumId w:val="8"/>
  </w:num>
  <w:num w:numId="25">
    <w:abstractNumId w:val="15"/>
  </w:num>
  <w:num w:numId="26">
    <w:abstractNumId w:val="45"/>
  </w:num>
  <w:num w:numId="27">
    <w:abstractNumId w:val="13"/>
  </w:num>
  <w:num w:numId="28">
    <w:abstractNumId w:val="37"/>
  </w:num>
  <w:num w:numId="29">
    <w:abstractNumId w:val="40"/>
  </w:num>
  <w:num w:numId="30">
    <w:abstractNumId w:val="34"/>
  </w:num>
  <w:num w:numId="31">
    <w:abstractNumId w:val="39"/>
  </w:num>
  <w:num w:numId="32">
    <w:abstractNumId w:val="26"/>
  </w:num>
  <w:num w:numId="33">
    <w:abstractNumId w:val="2"/>
  </w:num>
  <w:num w:numId="34">
    <w:abstractNumId w:val="31"/>
  </w:num>
  <w:num w:numId="35">
    <w:abstractNumId w:val="19"/>
  </w:num>
  <w:num w:numId="36">
    <w:abstractNumId w:val="27"/>
  </w:num>
  <w:num w:numId="37">
    <w:abstractNumId w:val="14"/>
  </w:num>
  <w:num w:numId="38">
    <w:abstractNumId w:val="25"/>
  </w:num>
  <w:num w:numId="39">
    <w:abstractNumId w:val="5"/>
  </w:num>
  <w:num w:numId="40">
    <w:abstractNumId w:val="17"/>
  </w:num>
  <w:num w:numId="41">
    <w:abstractNumId w:val="18"/>
  </w:num>
  <w:num w:numId="42">
    <w:abstractNumId w:val="43"/>
  </w:num>
  <w:num w:numId="43">
    <w:abstractNumId w:val="32"/>
  </w:num>
  <w:num w:numId="44">
    <w:abstractNumId w:val="21"/>
  </w:num>
  <w:num w:numId="45">
    <w:abstractNumId w:val="38"/>
  </w:num>
  <w:num w:numId="46">
    <w:abstractNumId w:val="20"/>
  </w:num>
  <w:num w:numId="47">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58B4"/>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3102"/>
    <w:rsid w:val="000E4BBD"/>
    <w:rsid w:val="000E4BCD"/>
    <w:rsid w:val="000E639C"/>
    <w:rsid w:val="000F1E63"/>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9BA"/>
    <w:rsid w:val="00150097"/>
    <w:rsid w:val="00152DB4"/>
    <w:rsid w:val="00153063"/>
    <w:rsid w:val="001547AD"/>
    <w:rsid w:val="00156128"/>
    <w:rsid w:val="00157297"/>
    <w:rsid w:val="001601AD"/>
    <w:rsid w:val="00160343"/>
    <w:rsid w:val="0016069A"/>
    <w:rsid w:val="00161062"/>
    <w:rsid w:val="00162FB0"/>
    <w:rsid w:val="00163269"/>
    <w:rsid w:val="001633D3"/>
    <w:rsid w:val="00164ED6"/>
    <w:rsid w:val="00165D4D"/>
    <w:rsid w:val="001667BD"/>
    <w:rsid w:val="00167084"/>
    <w:rsid w:val="00171C1F"/>
    <w:rsid w:val="001720CF"/>
    <w:rsid w:val="00173652"/>
    <w:rsid w:val="00173DFD"/>
    <w:rsid w:val="00173FA6"/>
    <w:rsid w:val="00175FE6"/>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062D"/>
    <w:rsid w:val="001B11C8"/>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200E87"/>
    <w:rsid w:val="00201DAA"/>
    <w:rsid w:val="00202C9A"/>
    <w:rsid w:val="00202D37"/>
    <w:rsid w:val="00204F59"/>
    <w:rsid w:val="00205B9A"/>
    <w:rsid w:val="00205D8B"/>
    <w:rsid w:val="00205EAF"/>
    <w:rsid w:val="002076C2"/>
    <w:rsid w:val="00210590"/>
    <w:rsid w:val="002106ED"/>
    <w:rsid w:val="00215285"/>
    <w:rsid w:val="00215987"/>
    <w:rsid w:val="002164D8"/>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2F53"/>
    <w:rsid w:val="00234B24"/>
    <w:rsid w:val="00235A20"/>
    <w:rsid w:val="00235FDB"/>
    <w:rsid w:val="00236AA8"/>
    <w:rsid w:val="00237B6F"/>
    <w:rsid w:val="00241112"/>
    <w:rsid w:val="00242CE2"/>
    <w:rsid w:val="00243DC2"/>
    <w:rsid w:val="0024455E"/>
    <w:rsid w:val="00246837"/>
    <w:rsid w:val="00247F87"/>
    <w:rsid w:val="002538ED"/>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1CF7"/>
    <w:rsid w:val="00292686"/>
    <w:rsid w:val="00292AB5"/>
    <w:rsid w:val="0029315B"/>
    <w:rsid w:val="002946A4"/>
    <w:rsid w:val="002952E1"/>
    <w:rsid w:val="00296E15"/>
    <w:rsid w:val="00297B83"/>
    <w:rsid w:val="002A0AD7"/>
    <w:rsid w:val="002A6AD4"/>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27C8"/>
    <w:rsid w:val="00302A97"/>
    <w:rsid w:val="00303A46"/>
    <w:rsid w:val="00303C1F"/>
    <w:rsid w:val="00304298"/>
    <w:rsid w:val="00304DC0"/>
    <w:rsid w:val="00305D34"/>
    <w:rsid w:val="00307020"/>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6615"/>
    <w:rsid w:val="003276BC"/>
    <w:rsid w:val="00327E72"/>
    <w:rsid w:val="00330F0B"/>
    <w:rsid w:val="00333217"/>
    <w:rsid w:val="00335660"/>
    <w:rsid w:val="00336533"/>
    <w:rsid w:val="003367E0"/>
    <w:rsid w:val="003374E0"/>
    <w:rsid w:val="00341882"/>
    <w:rsid w:val="0034247C"/>
    <w:rsid w:val="003427C0"/>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61736"/>
    <w:rsid w:val="00363A69"/>
    <w:rsid w:val="00364844"/>
    <w:rsid w:val="003656B5"/>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393"/>
    <w:rsid w:val="003A6706"/>
    <w:rsid w:val="003A6CD7"/>
    <w:rsid w:val="003A76B1"/>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63F"/>
    <w:rsid w:val="003D13A1"/>
    <w:rsid w:val="003D266A"/>
    <w:rsid w:val="003D2687"/>
    <w:rsid w:val="003D46BE"/>
    <w:rsid w:val="003D46D1"/>
    <w:rsid w:val="003D4AF3"/>
    <w:rsid w:val="003D4B3A"/>
    <w:rsid w:val="003D4BC8"/>
    <w:rsid w:val="003D4DD1"/>
    <w:rsid w:val="003D51BD"/>
    <w:rsid w:val="003D7971"/>
    <w:rsid w:val="003D7BD4"/>
    <w:rsid w:val="003E2F37"/>
    <w:rsid w:val="003E30AE"/>
    <w:rsid w:val="003E4EF1"/>
    <w:rsid w:val="003E577B"/>
    <w:rsid w:val="003F0199"/>
    <w:rsid w:val="003F10BD"/>
    <w:rsid w:val="003F17AD"/>
    <w:rsid w:val="003F1D19"/>
    <w:rsid w:val="003F1D8E"/>
    <w:rsid w:val="003F2EE5"/>
    <w:rsid w:val="003F47CB"/>
    <w:rsid w:val="003F4D51"/>
    <w:rsid w:val="003F5555"/>
    <w:rsid w:val="003F5F57"/>
    <w:rsid w:val="003F698B"/>
    <w:rsid w:val="003F7051"/>
    <w:rsid w:val="003F7D6F"/>
    <w:rsid w:val="004006F8"/>
    <w:rsid w:val="004009C0"/>
    <w:rsid w:val="00402D16"/>
    <w:rsid w:val="004036E8"/>
    <w:rsid w:val="00405104"/>
    <w:rsid w:val="004063B2"/>
    <w:rsid w:val="004064E9"/>
    <w:rsid w:val="004120B8"/>
    <w:rsid w:val="004141EB"/>
    <w:rsid w:val="00414ACF"/>
    <w:rsid w:val="0041604B"/>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56D8"/>
    <w:rsid w:val="004E01EA"/>
    <w:rsid w:val="004E2D81"/>
    <w:rsid w:val="004E2EA2"/>
    <w:rsid w:val="004E2FB9"/>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73BD"/>
    <w:rsid w:val="005306FF"/>
    <w:rsid w:val="00535C64"/>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F03"/>
    <w:rsid w:val="00584C38"/>
    <w:rsid w:val="00585D2C"/>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5CE4"/>
    <w:rsid w:val="005A701A"/>
    <w:rsid w:val="005B1155"/>
    <w:rsid w:val="005B187A"/>
    <w:rsid w:val="005B5D3D"/>
    <w:rsid w:val="005B635F"/>
    <w:rsid w:val="005B67AD"/>
    <w:rsid w:val="005B67F5"/>
    <w:rsid w:val="005C01EF"/>
    <w:rsid w:val="005C1686"/>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49DE"/>
    <w:rsid w:val="005F63B1"/>
    <w:rsid w:val="005F64FF"/>
    <w:rsid w:val="005F7976"/>
    <w:rsid w:val="005F79DE"/>
    <w:rsid w:val="006010E0"/>
    <w:rsid w:val="006012DC"/>
    <w:rsid w:val="00602BAE"/>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7B5"/>
    <w:rsid w:val="006414B7"/>
    <w:rsid w:val="00645856"/>
    <w:rsid w:val="00645F4C"/>
    <w:rsid w:val="00646844"/>
    <w:rsid w:val="0064702E"/>
    <w:rsid w:val="006471B0"/>
    <w:rsid w:val="006509A7"/>
    <w:rsid w:val="006525B0"/>
    <w:rsid w:val="00654E6E"/>
    <w:rsid w:val="0065586D"/>
    <w:rsid w:val="00655B65"/>
    <w:rsid w:val="0066201D"/>
    <w:rsid w:val="00662C60"/>
    <w:rsid w:val="00663D3E"/>
    <w:rsid w:val="00664204"/>
    <w:rsid w:val="00666E4E"/>
    <w:rsid w:val="00667C5E"/>
    <w:rsid w:val="006713F3"/>
    <w:rsid w:val="00672EDB"/>
    <w:rsid w:val="00673D75"/>
    <w:rsid w:val="00674805"/>
    <w:rsid w:val="00674BBB"/>
    <w:rsid w:val="00675676"/>
    <w:rsid w:val="006760DE"/>
    <w:rsid w:val="0067627C"/>
    <w:rsid w:val="0067740E"/>
    <w:rsid w:val="00680A5A"/>
    <w:rsid w:val="00681EA2"/>
    <w:rsid w:val="006832D4"/>
    <w:rsid w:val="006834F7"/>
    <w:rsid w:val="006843EF"/>
    <w:rsid w:val="00691650"/>
    <w:rsid w:val="00691983"/>
    <w:rsid w:val="00693ADB"/>
    <w:rsid w:val="00693FAE"/>
    <w:rsid w:val="00694C4A"/>
    <w:rsid w:val="00695123"/>
    <w:rsid w:val="00695414"/>
    <w:rsid w:val="00695FE9"/>
    <w:rsid w:val="0069640D"/>
    <w:rsid w:val="00697BBB"/>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7A57"/>
    <w:rsid w:val="006F36CB"/>
    <w:rsid w:val="006F3968"/>
    <w:rsid w:val="006F54EA"/>
    <w:rsid w:val="006F614A"/>
    <w:rsid w:val="006F7B83"/>
    <w:rsid w:val="00701078"/>
    <w:rsid w:val="00702C58"/>
    <w:rsid w:val="00703BAC"/>
    <w:rsid w:val="007057F3"/>
    <w:rsid w:val="007067CD"/>
    <w:rsid w:val="00706EEA"/>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4F4"/>
    <w:rsid w:val="007E0F32"/>
    <w:rsid w:val="007E21EA"/>
    <w:rsid w:val="007E36DB"/>
    <w:rsid w:val="007E40DA"/>
    <w:rsid w:val="007E52E1"/>
    <w:rsid w:val="007E5AAE"/>
    <w:rsid w:val="007E6677"/>
    <w:rsid w:val="007E6A07"/>
    <w:rsid w:val="007E762A"/>
    <w:rsid w:val="007F1623"/>
    <w:rsid w:val="007F16B7"/>
    <w:rsid w:val="007F1DB8"/>
    <w:rsid w:val="007F206A"/>
    <w:rsid w:val="007F20C0"/>
    <w:rsid w:val="007F2DC3"/>
    <w:rsid w:val="007F3315"/>
    <w:rsid w:val="007F33F5"/>
    <w:rsid w:val="007F4BB0"/>
    <w:rsid w:val="008003E3"/>
    <w:rsid w:val="008026F7"/>
    <w:rsid w:val="00802BAD"/>
    <w:rsid w:val="00803B9C"/>
    <w:rsid w:val="00806378"/>
    <w:rsid w:val="00810A3A"/>
    <w:rsid w:val="00812A1D"/>
    <w:rsid w:val="008132F0"/>
    <w:rsid w:val="0081386B"/>
    <w:rsid w:val="00815506"/>
    <w:rsid w:val="00815850"/>
    <w:rsid w:val="00816D90"/>
    <w:rsid w:val="00821311"/>
    <w:rsid w:val="008233F0"/>
    <w:rsid w:val="00823C69"/>
    <w:rsid w:val="00823FE1"/>
    <w:rsid w:val="00824F30"/>
    <w:rsid w:val="00825069"/>
    <w:rsid w:val="008266A6"/>
    <w:rsid w:val="00827A7A"/>
    <w:rsid w:val="00827CDD"/>
    <w:rsid w:val="00831642"/>
    <w:rsid w:val="00833393"/>
    <w:rsid w:val="008342E9"/>
    <w:rsid w:val="008351C1"/>
    <w:rsid w:val="008369BD"/>
    <w:rsid w:val="00836E0A"/>
    <w:rsid w:val="00837A66"/>
    <w:rsid w:val="00841883"/>
    <w:rsid w:val="00844775"/>
    <w:rsid w:val="008454A6"/>
    <w:rsid w:val="00845F42"/>
    <w:rsid w:val="008504A1"/>
    <w:rsid w:val="00851E57"/>
    <w:rsid w:val="0085257C"/>
    <w:rsid w:val="00852894"/>
    <w:rsid w:val="00852C56"/>
    <w:rsid w:val="0085402E"/>
    <w:rsid w:val="0085438A"/>
    <w:rsid w:val="00854FB3"/>
    <w:rsid w:val="0085517F"/>
    <w:rsid w:val="00855942"/>
    <w:rsid w:val="00855953"/>
    <w:rsid w:val="00855A87"/>
    <w:rsid w:val="00857B0E"/>
    <w:rsid w:val="00864E4A"/>
    <w:rsid w:val="008655A7"/>
    <w:rsid w:val="00866459"/>
    <w:rsid w:val="00867B4C"/>
    <w:rsid w:val="00867C8A"/>
    <w:rsid w:val="008715DA"/>
    <w:rsid w:val="00871CC7"/>
    <w:rsid w:val="00872FD5"/>
    <w:rsid w:val="008732C5"/>
    <w:rsid w:val="0087537B"/>
    <w:rsid w:val="00881C58"/>
    <w:rsid w:val="00881DDA"/>
    <w:rsid w:val="00882846"/>
    <w:rsid w:val="00883380"/>
    <w:rsid w:val="00886D7C"/>
    <w:rsid w:val="008909B3"/>
    <w:rsid w:val="0089260E"/>
    <w:rsid w:val="00892E43"/>
    <w:rsid w:val="00892EF1"/>
    <w:rsid w:val="00893B6A"/>
    <w:rsid w:val="008940FE"/>
    <w:rsid w:val="00894C8F"/>
    <w:rsid w:val="00894FD8"/>
    <w:rsid w:val="00896264"/>
    <w:rsid w:val="008969FF"/>
    <w:rsid w:val="00896EEB"/>
    <w:rsid w:val="008A2437"/>
    <w:rsid w:val="008A3C16"/>
    <w:rsid w:val="008A5849"/>
    <w:rsid w:val="008A5C74"/>
    <w:rsid w:val="008A66EA"/>
    <w:rsid w:val="008A74E8"/>
    <w:rsid w:val="008B08BB"/>
    <w:rsid w:val="008B3735"/>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7FE3"/>
    <w:rsid w:val="008E08A3"/>
    <w:rsid w:val="008E20AD"/>
    <w:rsid w:val="008E2E28"/>
    <w:rsid w:val="008E3116"/>
    <w:rsid w:val="008E7348"/>
    <w:rsid w:val="008E7957"/>
    <w:rsid w:val="008F0808"/>
    <w:rsid w:val="008F2727"/>
    <w:rsid w:val="008F5767"/>
    <w:rsid w:val="008F57BA"/>
    <w:rsid w:val="008F5E05"/>
    <w:rsid w:val="008F7A9D"/>
    <w:rsid w:val="00900B4D"/>
    <w:rsid w:val="0090194F"/>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2E74"/>
    <w:rsid w:val="009434B9"/>
    <w:rsid w:val="00943A1D"/>
    <w:rsid w:val="00945913"/>
    <w:rsid w:val="009461C2"/>
    <w:rsid w:val="0094708D"/>
    <w:rsid w:val="009474F5"/>
    <w:rsid w:val="009506E5"/>
    <w:rsid w:val="00952DF2"/>
    <w:rsid w:val="009532AD"/>
    <w:rsid w:val="0095542F"/>
    <w:rsid w:val="0095565F"/>
    <w:rsid w:val="009613D3"/>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A77"/>
    <w:rsid w:val="009C3870"/>
    <w:rsid w:val="009C3D95"/>
    <w:rsid w:val="009C3FA8"/>
    <w:rsid w:val="009C54CF"/>
    <w:rsid w:val="009C59A8"/>
    <w:rsid w:val="009C63A4"/>
    <w:rsid w:val="009C6E4E"/>
    <w:rsid w:val="009D0BC0"/>
    <w:rsid w:val="009D2519"/>
    <w:rsid w:val="009D348B"/>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33E5"/>
    <w:rsid w:val="009F4E11"/>
    <w:rsid w:val="009F5C15"/>
    <w:rsid w:val="009F6EFF"/>
    <w:rsid w:val="00A002C9"/>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60016"/>
    <w:rsid w:val="00A6031C"/>
    <w:rsid w:val="00A60A64"/>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739D"/>
    <w:rsid w:val="00AA253F"/>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4702"/>
    <w:rsid w:val="00AC4ED7"/>
    <w:rsid w:val="00AC63D1"/>
    <w:rsid w:val="00AC677C"/>
    <w:rsid w:val="00AC68C9"/>
    <w:rsid w:val="00AD111F"/>
    <w:rsid w:val="00AD1FC7"/>
    <w:rsid w:val="00AD2049"/>
    <w:rsid w:val="00AD2A54"/>
    <w:rsid w:val="00AD44A7"/>
    <w:rsid w:val="00AD457D"/>
    <w:rsid w:val="00AD562B"/>
    <w:rsid w:val="00AD7618"/>
    <w:rsid w:val="00AE1B95"/>
    <w:rsid w:val="00AE23C8"/>
    <w:rsid w:val="00AE245E"/>
    <w:rsid w:val="00AE4161"/>
    <w:rsid w:val="00AE6ADA"/>
    <w:rsid w:val="00AE7EA7"/>
    <w:rsid w:val="00AF050C"/>
    <w:rsid w:val="00AF05D1"/>
    <w:rsid w:val="00AF53D1"/>
    <w:rsid w:val="00AF7D55"/>
    <w:rsid w:val="00B0107B"/>
    <w:rsid w:val="00B01423"/>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460C"/>
    <w:rsid w:val="00B34D9F"/>
    <w:rsid w:val="00B363F9"/>
    <w:rsid w:val="00B367AA"/>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7093"/>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4B33"/>
    <w:rsid w:val="00B9514F"/>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2C45"/>
    <w:rsid w:val="00C43381"/>
    <w:rsid w:val="00C44742"/>
    <w:rsid w:val="00C46206"/>
    <w:rsid w:val="00C46570"/>
    <w:rsid w:val="00C474CB"/>
    <w:rsid w:val="00C47932"/>
    <w:rsid w:val="00C52152"/>
    <w:rsid w:val="00C54284"/>
    <w:rsid w:val="00C548CB"/>
    <w:rsid w:val="00C54EF2"/>
    <w:rsid w:val="00C56966"/>
    <w:rsid w:val="00C56B56"/>
    <w:rsid w:val="00C57F07"/>
    <w:rsid w:val="00C61275"/>
    <w:rsid w:val="00C61324"/>
    <w:rsid w:val="00C62A2F"/>
    <w:rsid w:val="00C6413D"/>
    <w:rsid w:val="00C64278"/>
    <w:rsid w:val="00C65BF5"/>
    <w:rsid w:val="00C676FF"/>
    <w:rsid w:val="00C707F4"/>
    <w:rsid w:val="00C711CA"/>
    <w:rsid w:val="00C7183E"/>
    <w:rsid w:val="00C751B0"/>
    <w:rsid w:val="00C753E0"/>
    <w:rsid w:val="00C77178"/>
    <w:rsid w:val="00C77940"/>
    <w:rsid w:val="00C811F5"/>
    <w:rsid w:val="00C8271B"/>
    <w:rsid w:val="00C84390"/>
    <w:rsid w:val="00C84A21"/>
    <w:rsid w:val="00C87F13"/>
    <w:rsid w:val="00C87FEB"/>
    <w:rsid w:val="00C91077"/>
    <w:rsid w:val="00C915BC"/>
    <w:rsid w:val="00C920BE"/>
    <w:rsid w:val="00C92937"/>
    <w:rsid w:val="00C93576"/>
    <w:rsid w:val="00C94D69"/>
    <w:rsid w:val="00CA0854"/>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2A7D"/>
    <w:rsid w:val="00CE510B"/>
    <w:rsid w:val="00CE67D7"/>
    <w:rsid w:val="00CE7774"/>
    <w:rsid w:val="00CE7DBA"/>
    <w:rsid w:val="00CF1DFC"/>
    <w:rsid w:val="00CF3DF8"/>
    <w:rsid w:val="00CF443F"/>
    <w:rsid w:val="00CF65DA"/>
    <w:rsid w:val="00CF6EF5"/>
    <w:rsid w:val="00D0229D"/>
    <w:rsid w:val="00D03376"/>
    <w:rsid w:val="00D03619"/>
    <w:rsid w:val="00D0637B"/>
    <w:rsid w:val="00D0768D"/>
    <w:rsid w:val="00D106F1"/>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4800"/>
    <w:rsid w:val="00D75D5B"/>
    <w:rsid w:val="00D7651E"/>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7294"/>
    <w:rsid w:val="00DB6CCD"/>
    <w:rsid w:val="00DB750E"/>
    <w:rsid w:val="00DC20BE"/>
    <w:rsid w:val="00DC2D6B"/>
    <w:rsid w:val="00DC37A0"/>
    <w:rsid w:val="00DC384E"/>
    <w:rsid w:val="00DC393B"/>
    <w:rsid w:val="00DC3A8B"/>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29E7"/>
    <w:rsid w:val="00E02D92"/>
    <w:rsid w:val="00E03053"/>
    <w:rsid w:val="00E03240"/>
    <w:rsid w:val="00E05762"/>
    <w:rsid w:val="00E059AC"/>
    <w:rsid w:val="00E05DF5"/>
    <w:rsid w:val="00E069E3"/>
    <w:rsid w:val="00E11798"/>
    <w:rsid w:val="00E11E19"/>
    <w:rsid w:val="00E12FA8"/>
    <w:rsid w:val="00E1379E"/>
    <w:rsid w:val="00E1584E"/>
    <w:rsid w:val="00E15AE7"/>
    <w:rsid w:val="00E16EE4"/>
    <w:rsid w:val="00E17314"/>
    <w:rsid w:val="00E17839"/>
    <w:rsid w:val="00E2001A"/>
    <w:rsid w:val="00E20051"/>
    <w:rsid w:val="00E209EB"/>
    <w:rsid w:val="00E22B0D"/>
    <w:rsid w:val="00E23776"/>
    <w:rsid w:val="00E239E3"/>
    <w:rsid w:val="00E24DA7"/>
    <w:rsid w:val="00E30A24"/>
    <w:rsid w:val="00E31617"/>
    <w:rsid w:val="00E31DF3"/>
    <w:rsid w:val="00E31EF6"/>
    <w:rsid w:val="00E34399"/>
    <w:rsid w:val="00E3770B"/>
    <w:rsid w:val="00E403FC"/>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17F"/>
    <w:rsid w:val="00E62048"/>
    <w:rsid w:val="00E65951"/>
    <w:rsid w:val="00E6785A"/>
    <w:rsid w:val="00E67880"/>
    <w:rsid w:val="00E7111A"/>
    <w:rsid w:val="00E71D9A"/>
    <w:rsid w:val="00E73323"/>
    <w:rsid w:val="00E74330"/>
    <w:rsid w:val="00E748E5"/>
    <w:rsid w:val="00E7491B"/>
    <w:rsid w:val="00E75AEB"/>
    <w:rsid w:val="00E775E1"/>
    <w:rsid w:val="00E77F50"/>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C07BE"/>
    <w:rsid w:val="00EC23C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5C52"/>
    <w:rsid w:val="00ED5FCC"/>
    <w:rsid w:val="00ED72B8"/>
    <w:rsid w:val="00ED78C0"/>
    <w:rsid w:val="00EE0981"/>
    <w:rsid w:val="00EE0F5D"/>
    <w:rsid w:val="00EE0F74"/>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7747"/>
    <w:rsid w:val="00F60928"/>
    <w:rsid w:val="00F60D04"/>
    <w:rsid w:val="00F628FE"/>
    <w:rsid w:val="00F63176"/>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1AA7"/>
    <w:rsid w:val="00F920E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CE7"/>
    <w:rsid w:val="00FB061F"/>
    <w:rsid w:val="00FB1380"/>
    <w:rsid w:val="00FB1663"/>
    <w:rsid w:val="00FB1718"/>
    <w:rsid w:val="00FB514B"/>
    <w:rsid w:val="00FB6575"/>
    <w:rsid w:val="00FC054B"/>
    <w:rsid w:val="00FC25CF"/>
    <w:rsid w:val="00FC590E"/>
    <w:rsid w:val="00FC61DB"/>
    <w:rsid w:val="00FC6693"/>
    <w:rsid w:val="00FC7F1E"/>
    <w:rsid w:val="00FD13F9"/>
    <w:rsid w:val="00FD29DA"/>
    <w:rsid w:val="00FD3E20"/>
    <w:rsid w:val="00FD42F0"/>
    <w:rsid w:val="00FD5337"/>
    <w:rsid w:val="00FD60B5"/>
    <w:rsid w:val="00FE0166"/>
    <w:rsid w:val="00FE0B35"/>
    <w:rsid w:val="00FE273A"/>
    <w:rsid w:val="00FE2B69"/>
    <w:rsid w:val="00FE38DC"/>
    <w:rsid w:val="00FE5998"/>
    <w:rsid w:val="00FE71E5"/>
    <w:rsid w:val="00FE7D4F"/>
    <w:rsid w:val="00FF08FB"/>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2030A8CC-08CD-42E9-8E69-3BF06B0AB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3831</Words>
  <Characters>21839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2</cp:revision>
  <cp:lastPrinted>2018-01-12T00:47:00Z</cp:lastPrinted>
  <dcterms:created xsi:type="dcterms:W3CDTF">2020-10-16T22:27:00Z</dcterms:created>
  <dcterms:modified xsi:type="dcterms:W3CDTF">2020-10-16T22:27:00Z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