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A934" w14:textId="77777777" w:rsidR="00590E43" w:rsidRDefault="00157B27" w:rsidP="00A020F1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[102-e-NR- 5G_V2X_NRSL-PHYprocedure-02] Email discussion/approval regarding the assumptions for the CSI reference resource for </w:t>
      </w:r>
      <w:proofErr w:type="spellStart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sidelink</w:t>
      </w:r>
      <w:proofErr w:type="spellEnd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 CSI</w:t>
      </w:r>
    </w:p>
    <w:p w14:paraId="4092FF17" w14:textId="77777777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for </w:t>
      </w:r>
      <w:proofErr w:type="spellStart"/>
      <w:r w:rsidRPr="00157B27">
        <w:rPr>
          <w:rFonts w:ascii="Times" w:hAnsi="Times"/>
          <w:kern w:val="0"/>
          <w:highlight w:val="cyan"/>
          <w:lang w:val="en-GB" w:eastAsia="en-US"/>
        </w:rPr>
        <w:t>sidelink</w:t>
      </w:r>
      <w:proofErr w:type="spellEnd"/>
      <w:r w:rsidRPr="00157B27">
        <w:rPr>
          <w:rFonts w:ascii="Times" w:hAnsi="Times"/>
          <w:kern w:val="0"/>
          <w:highlight w:val="cyan"/>
          <w:lang w:val="en-GB" w:eastAsia="en-US"/>
        </w:rPr>
        <w:t xml:space="preserve"> CSI by 8/21, followed by potential TPs by 8/26 – Hanbyul (LGE)</w:t>
      </w:r>
    </w:p>
    <w:p w14:paraId="6250EEF8" w14:textId="77777777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5EC8339" w14:textId="77777777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6D73077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the </w:t>
      </w:r>
      <w:proofErr w:type="spellStart"/>
      <w:r>
        <w:rPr>
          <w:rFonts w:ascii="Calibri" w:hAnsi="Calibri" w:cs="Calibri"/>
          <w:sz w:val="22"/>
        </w:rPr>
        <w:t>sidelink</w:t>
      </w:r>
      <w:proofErr w:type="spellEnd"/>
      <w:r>
        <w:rPr>
          <w:rFonts w:ascii="Calibri" w:hAnsi="Calibri" w:cs="Calibri"/>
          <w:sz w:val="22"/>
        </w:rPr>
        <w:t xml:space="preserve"> CSI reference resource, UE assumes</w:t>
      </w:r>
    </w:p>
    <w:p w14:paraId="70F206F7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10022E7D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3EBE3585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438"/>
        <w:gridCol w:w="6117"/>
      </w:tblGrid>
      <w:tr w:rsidR="00CB2710" w14:paraId="6FC284F0" w14:textId="77777777" w:rsidTr="00CB2710">
        <w:tc>
          <w:tcPr>
            <w:tcW w:w="1226" w:type="dxa"/>
          </w:tcPr>
          <w:p w14:paraId="22180D6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FC7EDD6" w14:textId="7777777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FBD90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1A79710F" w14:textId="77777777" w:rsidTr="00CB2710">
        <w:tc>
          <w:tcPr>
            <w:tcW w:w="1226" w:type="dxa"/>
          </w:tcPr>
          <w:p w14:paraId="1472D464" w14:textId="77777777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144AB4B5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0335F6" w14:textId="7777777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4339C64E" w14:textId="77777777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7B499A74" w14:textId="77777777" w:rsidTr="00CB2710">
        <w:tc>
          <w:tcPr>
            <w:tcW w:w="1226" w:type="dxa"/>
          </w:tcPr>
          <w:p w14:paraId="3FF3144E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B5ED597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034F93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8A1E14D" w14:textId="77777777" w:rsidTr="00CB2710">
        <w:tc>
          <w:tcPr>
            <w:tcW w:w="1226" w:type="dxa"/>
          </w:tcPr>
          <w:p w14:paraId="51B74E6C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486FDD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5F810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B0984EB" w14:textId="77777777" w:rsidTr="00CB2710">
        <w:tc>
          <w:tcPr>
            <w:tcW w:w="1226" w:type="dxa"/>
          </w:tcPr>
          <w:p w14:paraId="054D2ADB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7C71CBE7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4A84D89" w14:textId="77777777" w:rsidR="00CB2710" w:rsidRPr="00213705" w:rsidRDefault="0021370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first SL symbol is “</w:t>
            </w:r>
            <w:proofErr w:type="spellStart"/>
            <w:r>
              <w:rPr>
                <w:rFonts w:ascii="Calibri" w:hAnsi="Calibri" w:cs="Calibri"/>
                <w:i/>
                <w:sz w:val="22"/>
              </w:rPr>
              <w:t>sl-LengthSymbols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– 2”.</w:t>
            </w:r>
          </w:p>
          <w:p w14:paraId="37B35AE9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</w:p>
          <w:p w14:paraId="76B363D3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Note, that we understand the meaning of “assumption” here to be what is used for the purpose of determining a CSI reference resource.</w:t>
            </w:r>
          </w:p>
        </w:tc>
      </w:tr>
      <w:tr w:rsidR="00A020F1" w14:paraId="28A0F24D" w14:textId="77777777" w:rsidTr="00CB2710">
        <w:tc>
          <w:tcPr>
            <w:tcW w:w="1226" w:type="dxa"/>
          </w:tcPr>
          <w:p w14:paraId="173D2189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F3C4968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66D8DCF1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2CB299C5" w14:textId="77777777" w:rsidTr="00CB2710">
        <w:tc>
          <w:tcPr>
            <w:tcW w:w="1226" w:type="dxa"/>
          </w:tcPr>
          <w:p w14:paraId="417C4B44" w14:textId="6D23F371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8603AA1" w14:textId="320A97C7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EB624E6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5BA9687D" w14:textId="77777777" w:rsidTr="00CB2710">
        <w:tc>
          <w:tcPr>
            <w:tcW w:w="1226" w:type="dxa"/>
          </w:tcPr>
          <w:p w14:paraId="5AC1EB1D" w14:textId="09875C29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5C659B7D" w14:textId="00BC402B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10AF017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618171F9" w14:textId="77777777" w:rsidTr="00CB2710">
        <w:tc>
          <w:tcPr>
            <w:tcW w:w="1226" w:type="dxa"/>
          </w:tcPr>
          <w:p w14:paraId="5CD6F328" w14:textId="1BFC5E59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D3B34F3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379F6C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For the first sub-bullet, we share view with NTT DOCOMO</w:t>
            </w:r>
          </w:p>
          <w:p w14:paraId="236B2BF1" w14:textId="7674E97B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agree with the second sub-bullet</w:t>
            </w:r>
          </w:p>
        </w:tc>
      </w:tr>
      <w:tr w:rsidR="005856FC" w14:paraId="3DFC6487" w14:textId="77777777" w:rsidTr="00CB2710">
        <w:tc>
          <w:tcPr>
            <w:tcW w:w="1226" w:type="dxa"/>
          </w:tcPr>
          <w:p w14:paraId="6A763103" w14:textId="73A18490" w:rsidR="005856FC" w:rsidRPr="005856FC" w:rsidRDefault="005856FC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534323AB" w14:textId="5C13C879" w:rsidR="005856FC" w:rsidRPr="005856FC" w:rsidRDefault="005856FC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A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gree</w:t>
            </w:r>
          </w:p>
        </w:tc>
        <w:tc>
          <w:tcPr>
            <w:tcW w:w="6327" w:type="dxa"/>
          </w:tcPr>
          <w:p w14:paraId="51BC4052" w14:textId="77777777" w:rsidR="005856FC" w:rsidRDefault="005856FC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0472" w14:paraId="7B3A5816" w14:textId="77777777" w:rsidTr="00CB2710">
        <w:tc>
          <w:tcPr>
            <w:tcW w:w="1226" w:type="dxa"/>
          </w:tcPr>
          <w:p w14:paraId="55C47F97" w14:textId="306A6109" w:rsidR="00420472" w:rsidRDefault="00442AE9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Qualcomm</w:t>
            </w:r>
          </w:p>
        </w:tc>
        <w:tc>
          <w:tcPr>
            <w:tcW w:w="1463" w:type="dxa"/>
          </w:tcPr>
          <w:p w14:paraId="6E5F97FF" w14:textId="0F92A378" w:rsidR="00420472" w:rsidRDefault="00442AE9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Agree</w:t>
            </w:r>
          </w:p>
        </w:tc>
        <w:tc>
          <w:tcPr>
            <w:tcW w:w="6327" w:type="dxa"/>
          </w:tcPr>
          <w:p w14:paraId="6457112A" w14:textId="77777777" w:rsidR="00420472" w:rsidRDefault="00420472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40DC" w14:paraId="7F391A00" w14:textId="77777777" w:rsidTr="00CB2710">
        <w:tc>
          <w:tcPr>
            <w:tcW w:w="1226" w:type="dxa"/>
          </w:tcPr>
          <w:p w14:paraId="1C6641E9" w14:textId="0C579F1F" w:rsidR="007F40DC" w:rsidRDefault="007F40DC" w:rsidP="007F40D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19FB49A9" w14:textId="18802495" w:rsidR="007F40DC" w:rsidRDefault="007F40DC" w:rsidP="007F40D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58458CD8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EE00A2" w14:paraId="65119388" w14:textId="77777777" w:rsidTr="00CB2710">
        <w:tc>
          <w:tcPr>
            <w:tcW w:w="1226" w:type="dxa"/>
          </w:tcPr>
          <w:p w14:paraId="08BF687C" w14:textId="0B7ACCDC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1463" w:type="dxa"/>
          </w:tcPr>
          <w:p w14:paraId="3218074F" w14:textId="0111CF92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A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gree</w:t>
            </w:r>
          </w:p>
        </w:tc>
        <w:tc>
          <w:tcPr>
            <w:tcW w:w="6327" w:type="dxa"/>
          </w:tcPr>
          <w:p w14:paraId="5EDD2642" w14:textId="77777777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6F92" w14:paraId="36A4556F" w14:textId="77777777" w:rsidTr="00CB2710">
        <w:tc>
          <w:tcPr>
            <w:tcW w:w="1226" w:type="dxa"/>
          </w:tcPr>
          <w:p w14:paraId="2FD17CD1" w14:textId="46FAAF72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463" w:type="dxa"/>
          </w:tcPr>
          <w:p w14:paraId="12AE2E67" w14:textId="1A2977EA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Yes</w:t>
            </w:r>
          </w:p>
        </w:tc>
        <w:tc>
          <w:tcPr>
            <w:tcW w:w="6327" w:type="dxa"/>
          </w:tcPr>
          <w:p w14:paraId="3F36DC0B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6F92" w14:paraId="0B9A4AA5" w14:textId="77777777" w:rsidTr="00CB2710">
        <w:tc>
          <w:tcPr>
            <w:tcW w:w="1226" w:type="dxa"/>
          </w:tcPr>
          <w:p w14:paraId="60A9B57F" w14:textId="2096885C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1463" w:type="dxa"/>
          </w:tcPr>
          <w:p w14:paraId="69A4B269" w14:textId="4873BC57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Agree</w:t>
            </w:r>
          </w:p>
        </w:tc>
        <w:tc>
          <w:tcPr>
            <w:tcW w:w="6327" w:type="dxa"/>
          </w:tcPr>
          <w:p w14:paraId="6E5D47D9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6F92" w14:paraId="09F7D20D" w14:textId="77777777" w:rsidTr="00CB2710">
        <w:tc>
          <w:tcPr>
            <w:tcW w:w="1226" w:type="dxa"/>
          </w:tcPr>
          <w:p w14:paraId="1BD7E728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44CBAD0B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327" w:type="dxa"/>
          </w:tcPr>
          <w:p w14:paraId="54BA4BB9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D1A5DDA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478F30E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Q2: What is the assumption on RV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5B53533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6AD8F7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6B65EAE6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3FF16082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445"/>
        <w:gridCol w:w="6110"/>
      </w:tblGrid>
      <w:tr w:rsidR="006A6528" w14:paraId="1292E123" w14:textId="77777777" w:rsidTr="008A6EA1">
        <w:tc>
          <w:tcPr>
            <w:tcW w:w="1226" w:type="dxa"/>
          </w:tcPr>
          <w:p w14:paraId="2A1024E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863BA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016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0289A341" w14:textId="77777777" w:rsidTr="008A6EA1">
        <w:tc>
          <w:tcPr>
            <w:tcW w:w="1226" w:type="dxa"/>
          </w:tcPr>
          <w:p w14:paraId="27D3C0E0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019B1DF5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36D8E58B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39EADF69" w14:textId="77777777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5C40323A" w14:textId="77777777" w:rsidTr="008A6EA1">
        <w:tc>
          <w:tcPr>
            <w:tcW w:w="1226" w:type="dxa"/>
          </w:tcPr>
          <w:p w14:paraId="75489B8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D8261C1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DED1B62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7EA4EBC3" w14:textId="77777777" w:rsidTr="008A6EA1">
        <w:tc>
          <w:tcPr>
            <w:tcW w:w="1226" w:type="dxa"/>
          </w:tcPr>
          <w:p w14:paraId="25D3BAA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6AD765C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7A276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58EE9A" w14:textId="77777777" w:rsidTr="008A6EA1">
        <w:tc>
          <w:tcPr>
            <w:tcW w:w="1226" w:type="dxa"/>
          </w:tcPr>
          <w:p w14:paraId="17F58756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4155AC82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EC7CE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00D9699C" w14:textId="77777777" w:rsidTr="008A6EA1">
        <w:tc>
          <w:tcPr>
            <w:tcW w:w="1226" w:type="dxa"/>
          </w:tcPr>
          <w:p w14:paraId="48C64164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78C7830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8FB6EE1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1A61430B" w14:textId="77777777" w:rsidTr="008A6EA1">
        <w:tc>
          <w:tcPr>
            <w:tcW w:w="1226" w:type="dxa"/>
          </w:tcPr>
          <w:p w14:paraId="2FB53E2B" w14:textId="5C26299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71ECFD0" w14:textId="64CDFD96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4173BE3" w14:textId="1807E6D7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Following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assumption on the most self-decodable RV</w:t>
            </w:r>
          </w:p>
        </w:tc>
      </w:tr>
      <w:tr w:rsidR="00A020F1" w14:paraId="648B8BD3" w14:textId="77777777" w:rsidTr="008A6EA1">
        <w:tc>
          <w:tcPr>
            <w:tcW w:w="1226" w:type="dxa"/>
          </w:tcPr>
          <w:p w14:paraId="2055ACBA" w14:textId="3CB029D4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1D02A19" w14:textId="03709AC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9EBC257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5079FFB3" w14:textId="77777777" w:rsidTr="008A6EA1">
        <w:tc>
          <w:tcPr>
            <w:tcW w:w="1226" w:type="dxa"/>
          </w:tcPr>
          <w:p w14:paraId="3DA2A57C" w14:textId="595A8C49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3B36655" w14:textId="7B88FE76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34698E04" w14:textId="61BF84F6" w:rsidR="000E2E71" w:rsidRPr="000E2E71" w:rsidRDefault="000E2E71" w:rsidP="000E2E71">
            <w:pPr>
              <w:pStyle w:val="0Maintext"/>
              <w:ind w:firstLine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U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nlike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NR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Uu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link, </w:t>
            </w:r>
            <w:proofErr w:type="spellStart"/>
            <w:r w:rsidRPr="006B533F">
              <w:rPr>
                <w:rFonts w:eastAsiaTheme="minorEastAsia"/>
                <w:sz w:val="22"/>
                <w:lang w:eastAsia="ko-KR"/>
              </w:rPr>
              <w:t>sidelink</w:t>
            </w:r>
            <w:proofErr w:type="spellEnd"/>
            <w:r w:rsidRPr="006B533F">
              <w:rPr>
                <w:rFonts w:eastAsiaTheme="minorEastAsia"/>
                <w:sz w:val="22"/>
                <w:lang w:eastAsia="ko-KR"/>
              </w:rPr>
              <w:t xml:space="preserve"> CSI-RS is confined within the PSSCH transmission </w:t>
            </w:r>
            <w:r>
              <w:rPr>
                <w:rFonts w:eastAsiaTheme="minorEastAsia"/>
                <w:sz w:val="22"/>
                <w:lang w:eastAsia="ko-KR"/>
              </w:rPr>
              <w:t xml:space="preserve">always </w:t>
            </w:r>
            <w:r w:rsidRPr="006B533F">
              <w:rPr>
                <w:rFonts w:eastAsiaTheme="minorEastAsia"/>
                <w:sz w:val="22"/>
                <w:lang w:eastAsia="ko-KR"/>
              </w:rPr>
              <w:t>and only aperiodic CSI reporting is supported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Therefore, UE can simply use the resource configuration and transmission parameters applied in the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sidelink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CSI reference resource.</w:t>
            </w:r>
          </w:p>
        </w:tc>
      </w:tr>
      <w:tr w:rsidR="005856FC" w14:paraId="3F16A876" w14:textId="77777777" w:rsidTr="008A6EA1">
        <w:tc>
          <w:tcPr>
            <w:tcW w:w="1226" w:type="dxa"/>
          </w:tcPr>
          <w:p w14:paraId="42FD57E9" w14:textId="0D95B8B5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0C226DB9" w14:textId="2A858BC8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1FD81126" w14:textId="77777777" w:rsidR="005856FC" w:rsidRDefault="005856FC" w:rsidP="000E2E71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D3711A" w14:paraId="71A2ED21" w14:textId="77777777" w:rsidTr="008A6EA1">
        <w:tc>
          <w:tcPr>
            <w:tcW w:w="1226" w:type="dxa"/>
          </w:tcPr>
          <w:p w14:paraId="29056B30" w14:textId="30D00E8C" w:rsidR="00D3711A" w:rsidRDefault="00D3711A" w:rsidP="00D3711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4FEDE3C2" w14:textId="38CAD784" w:rsidR="00D3711A" w:rsidRDefault="00D3711A" w:rsidP="00D3711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44762B7" w14:textId="77777777" w:rsidR="00D3711A" w:rsidRDefault="00D3711A" w:rsidP="00D3711A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7F40DC" w14:paraId="6FDD081A" w14:textId="77777777" w:rsidTr="008A6EA1">
        <w:tc>
          <w:tcPr>
            <w:tcW w:w="1226" w:type="dxa"/>
          </w:tcPr>
          <w:p w14:paraId="308A9A6F" w14:textId="030338BE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Apple </w:t>
            </w:r>
          </w:p>
        </w:tc>
        <w:tc>
          <w:tcPr>
            <w:tcW w:w="1463" w:type="dxa"/>
          </w:tcPr>
          <w:p w14:paraId="5053580F" w14:textId="2DA485D9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8661915" w14:textId="77777777" w:rsidR="007F40DC" w:rsidRDefault="007F40DC" w:rsidP="007F40DC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EE00A2" w14:paraId="0DCF2091" w14:textId="77777777" w:rsidTr="008A6EA1">
        <w:tc>
          <w:tcPr>
            <w:tcW w:w="1226" w:type="dxa"/>
          </w:tcPr>
          <w:p w14:paraId="4E260993" w14:textId="5E8910CA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1463" w:type="dxa"/>
          </w:tcPr>
          <w:p w14:paraId="244A1D54" w14:textId="4B560F37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4A53D996" w14:textId="77777777" w:rsidR="00EE00A2" w:rsidRDefault="00EE00A2" w:rsidP="00EE00A2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206F92" w14:paraId="50E0E7C6" w14:textId="77777777" w:rsidTr="008A6EA1">
        <w:tc>
          <w:tcPr>
            <w:tcW w:w="1226" w:type="dxa"/>
          </w:tcPr>
          <w:p w14:paraId="2BC313F7" w14:textId="262C3F0D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463" w:type="dxa"/>
          </w:tcPr>
          <w:p w14:paraId="75E1AA57" w14:textId="0A7BA034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Option 1</w:t>
            </w:r>
          </w:p>
        </w:tc>
        <w:tc>
          <w:tcPr>
            <w:tcW w:w="6327" w:type="dxa"/>
          </w:tcPr>
          <w:p w14:paraId="6D50D3F9" w14:textId="43BDB37F" w:rsidR="00206F92" w:rsidRDefault="00206F92" w:rsidP="00206F92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As in NR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Uu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link, it would be beneficial </w:t>
            </w:r>
            <w:r>
              <w:rPr>
                <w:rFonts w:ascii="Calibri" w:hAnsi="Calibri" w:cs="Calibri"/>
                <w:sz w:val="22"/>
              </w:rPr>
              <w:t xml:space="preserve">in terms of UE complexity </w:t>
            </w:r>
            <w:r>
              <w:rPr>
                <w:rFonts w:ascii="Calibri" w:hAnsi="Calibri" w:cs="Calibri" w:hint="eastAsia"/>
                <w:sz w:val="22"/>
              </w:rPr>
              <w:t xml:space="preserve">to have a single </w:t>
            </w:r>
            <w:r>
              <w:rPr>
                <w:rFonts w:ascii="Calibri" w:hAnsi="Calibri" w:cs="Calibri"/>
                <w:sz w:val="22"/>
              </w:rPr>
              <w:t>reference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configuration for CSI measurement. In this case, the UE may need to have CSI conversion rule from RV0 to RV j, where j=1, 2, 3. If Option 2 is supported, the UE may need to have more CSI conversion rules (e.g. RV </w:t>
            </w:r>
            <w:proofErr w:type="spellStart"/>
            <w:r>
              <w:rPr>
                <w:rFonts w:ascii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to RV j, where </w:t>
            </w:r>
            <w:proofErr w:type="spellStart"/>
            <w:r>
              <w:rPr>
                <w:rFonts w:ascii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=0, 1, 2, 3, j=0, 1, 2, 3, and </w:t>
            </w:r>
            <w:proofErr w:type="spellStart"/>
            <w:r>
              <w:rPr>
                <w:rFonts w:ascii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is not equal to j). </w:t>
            </w:r>
          </w:p>
        </w:tc>
      </w:tr>
      <w:tr w:rsidR="00206F92" w14:paraId="206B31BA" w14:textId="77777777" w:rsidTr="008A6EA1">
        <w:tc>
          <w:tcPr>
            <w:tcW w:w="1226" w:type="dxa"/>
          </w:tcPr>
          <w:p w14:paraId="535D74A5" w14:textId="3B53C8B3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1463" w:type="dxa"/>
          </w:tcPr>
          <w:p w14:paraId="4350C7AA" w14:textId="19EDC95C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0D08A9EA" w14:textId="77777777" w:rsidR="00206F92" w:rsidRDefault="00206F92" w:rsidP="00206F92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206F92" w14:paraId="6F44261E" w14:textId="77777777" w:rsidTr="008A6EA1">
        <w:tc>
          <w:tcPr>
            <w:tcW w:w="1226" w:type="dxa"/>
          </w:tcPr>
          <w:p w14:paraId="1C1E9B86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5D412C82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327" w:type="dxa"/>
          </w:tcPr>
          <w:p w14:paraId="28556659" w14:textId="77777777" w:rsidR="00206F92" w:rsidRDefault="00206F92" w:rsidP="00206F92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</w:tbl>
    <w:p w14:paraId="5880002F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4193DF7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Q3: What is the assumption on PSCCH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60EFE01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6D75D8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 xml:space="preserve">PSCCH occupies </w:t>
      </w:r>
      <w:proofErr w:type="spellStart"/>
      <w:r w:rsidRPr="006B607F">
        <w:rPr>
          <w:rFonts w:ascii="Calibri" w:hAnsi="Calibri" w:cs="Calibri"/>
          <w:sz w:val="22"/>
        </w:rPr>
        <w:t>timeResourcePSCCH</w:t>
      </w:r>
      <w:proofErr w:type="spellEnd"/>
      <w:r w:rsidRPr="006B607F">
        <w:rPr>
          <w:rFonts w:ascii="Calibri" w:hAnsi="Calibri" w:cs="Calibri"/>
          <w:sz w:val="22"/>
        </w:rPr>
        <w:t xml:space="preserve"> OFDM symbols and </w:t>
      </w:r>
      <w:proofErr w:type="spellStart"/>
      <w:r w:rsidRPr="006B607F">
        <w:rPr>
          <w:rFonts w:ascii="Calibri" w:hAnsi="Calibri" w:cs="Calibri"/>
          <w:sz w:val="22"/>
        </w:rPr>
        <w:t>frequencyResourcePSCCH</w:t>
      </w:r>
      <w:proofErr w:type="spellEnd"/>
      <w:r w:rsidRPr="006B607F">
        <w:rPr>
          <w:rFonts w:ascii="Calibri" w:hAnsi="Calibri" w:cs="Calibri"/>
          <w:sz w:val="22"/>
        </w:rPr>
        <w:t xml:space="preserve"> PRBs in the resource pool</w:t>
      </w:r>
    </w:p>
    <w:p w14:paraId="5D02A55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8EEDE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872"/>
        <w:gridCol w:w="6957"/>
      </w:tblGrid>
      <w:tr w:rsidR="006A6528" w14:paraId="74B07BB7" w14:textId="77777777" w:rsidTr="00920787">
        <w:tc>
          <w:tcPr>
            <w:tcW w:w="988" w:type="dxa"/>
          </w:tcPr>
          <w:p w14:paraId="0B4885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071" w:type="dxa"/>
          </w:tcPr>
          <w:p w14:paraId="783021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957" w:type="dxa"/>
          </w:tcPr>
          <w:p w14:paraId="698A2B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4A5D6A76" w14:textId="77777777" w:rsidTr="00920787">
        <w:tc>
          <w:tcPr>
            <w:tcW w:w="988" w:type="dxa"/>
          </w:tcPr>
          <w:p w14:paraId="3186FF23" w14:textId="77777777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071" w:type="dxa"/>
          </w:tcPr>
          <w:p w14:paraId="22F6ABAC" w14:textId="7777777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957" w:type="dxa"/>
          </w:tcPr>
          <w:p w14:paraId="6C24A3AC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54A7F48B" w14:textId="77777777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many assumptions. Regardless of outcome of this question, the UE needs to do that. </w:t>
            </w: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So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it seems that option 2 has no benefit.</w:t>
            </w:r>
          </w:p>
        </w:tc>
      </w:tr>
      <w:tr w:rsidR="006A6528" w14:paraId="3EB6E5AC" w14:textId="77777777" w:rsidTr="00920787">
        <w:tc>
          <w:tcPr>
            <w:tcW w:w="988" w:type="dxa"/>
          </w:tcPr>
          <w:p w14:paraId="7CCA154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071" w:type="dxa"/>
          </w:tcPr>
          <w:p w14:paraId="6F9EE13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957" w:type="dxa"/>
          </w:tcPr>
          <w:p w14:paraId="3D31E8A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6DFA41AF" w14:textId="77777777" w:rsidTr="00920787">
        <w:tc>
          <w:tcPr>
            <w:tcW w:w="988" w:type="dxa"/>
          </w:tcPr>
          <w:p w14:paraId="0995C843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071" w:type="dxa"/>
          </w:tcPr>
          <w:p w14:paraId="52305E79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957" w:type="dxa"/>
          </w:tcPr>
          <w:p w14:paraId="24A521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5770E4D" w14:textId="77777777" w:rsidTr="00920787">
        <w:tc>
          <w:tcPr>
            <w:tcW w:w="988" w:type="dxa"/>
          </w:tcPr>
          <w:p w14:paraId="34B6CCD0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071" w:type="dxa"/>
          </w:tcPr>
          <w:p w14:paraId="63DC1350" w14:textId="77777777" w:rsidR="006A6528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0CDDD668" w14:textId="77777777" w:rsidR="00B16FB4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 would seem there is no need for a fixed assumption here since the exact values are already know</w:t>
            </w:r>
            <w:r w:rsidR="00661F36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to both the reporting and triggering UEs.</w:t>
            </w:r>
            <w:r w:rsidR="00C83960">
              <w:rPr>
                <w:rFonts w:ascii="Calibri" w:hAnsi="Calibri" w:cs="Calibri"/>
                <w:sz w:val="22"/>
              </w:rPr>
              <w:t xml:space="preserve"> TX UE can still perform whatever adjustments it needs, and </w:t>
            </w:r>
            <w:proofErr w:type="gramStart"/>
            <w:r w:rsidR="00C83960">
              <w:rPr>
                <w:rFonts w:ascii="Calibri" w:hAnsi="Calibri" w:cs="Calibri"/>
                <w:sz w:val="22"/>
              </w:rPr>
              <w:t>they  will</w:t>
            </w:r>
            <w:proofErr w:type="gramEnd"/>
            <w:r w:rsidR="00C83960">
              <w:rPr>
                <w:rFonts w:ascii="Calibri" w:hAnsi="Calibri" w:cs="Calibri"/>
                <w:sz w:val="22"/>
              </w:rPr>
              <w:t xml:space="preserve"> be from a more accurate base.</w:t>
            </w:r>
          </w:p>
        </w:tc>
      </w:tr>
      <w:tr w:rsidR="00A020F1" w14:paraId="52BBDE44" w14:textId="77777777" w:rsidTr="00920787">
        <w:tc>
          <w:tcPr>
            <w:tcW w:w="988" w:type="dxa"/>
          </w:tcPr>
          <w:p w14:paraId="336C747E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071" w:type="dxa"/>
          </w:tcPr>
          <w:p w14:paraId="62BDDB6A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289762F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can also accept Option 1.</w:t>
            </w:r>
          </w:p>
        </w:tc>
      </w:tr>
      <w:tr w:rsidR="00A020F1" w14:paraId="721465ED" w14:textId="77777777" w:rsidTr="00920787">
        <w:tc>
          <w:tcPr>
            <w:tcW w:w="988" w:type="dxa"/>
          </w:tcPr>
          <w:p w14:paraId="0C4AB651" w14:textId="3E4D31B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071" w:type="dxa"/>
          </w:tcPr>
          <w:p w14:paraId="2940EC36" w14:textId="1E09EAA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3AB2A298" w14:textId="067944DD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A020F1" w14:paraId="04C290E4" w14:textId="77777777" w:rsidTr="00920787">
        <w:tc>
          <w:tcPr>
            <w:tcW w:w="988" w:type="dxa"/>
          </w:tcPr>
          <w:p w14:paraId="13972498" w14:textId="2B08EBE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071" w:type="dxa"/>
          </w:tcPr>
          <w:p w14:paraId="2863997C" w14:textId="5C2E73B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100401B7" w14:textId="4E9E0A5C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no unknown, so no point in making assumption</w:t>
            </w:r>
          </w:p>
        </w:tc>
      </w:tr>
      <w:tr w:rsidR="000E2E71" w14:paraId="45D61A7B" w14:textId="77777777" w:rsidTr="00920787">
        <w:tc>
          <w:tcPr>
            <w:tcW w:w="988" w:type="dxa"/>
          </w:tcPr>
          <w:p w14:paraId="4567A311" w14:textId="70AE6FDB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lastRenderedPageBreak/>
              <w:t>Samsung</w:t>
            </w:r>
          </w:p>
        </w:tc>
        <w:tc>
          <w:tcPr>
            <w:tcW w:w="1071" w:type="dxa"/>
          </w:tcPr>
          <w:p w14:paraId="33E79945" w14:textId="584D2F24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56EFBA97" w14:textId="19582155" w:rsidR="000E2E71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5856FC" w14:paraId="14800640" w14:textId="77777777" w:rsidTr="00920787">
        <w:tc>
          <w:tcPr>
            <w:tcW w:w="988" w:type="dxa"/>
          </w:tcPr>
          <w:p w14:paraId="19EE5C0B" w14:textId="5AB20AEB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071" w:type="dxa"/>
          </w:tcPr>
          <w:p w14:paraId="684DD9C6" w14:textId="7F098DC7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957" w:type="dxa"/>
          </w:tcPr>
          <w:p w14:paraId="0DA88196" w14:textId="18DDA835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It is possible that TX UE can change the transmission resource pool. A default assumption of PSCCH </w:t>
            </w:r>
            <w:r w:rsidR="00B93AD9">
              <w:rPr>
                <w:rFonts w:ascii="Calibri" w:eastAsia="SimSun" w:hAnsi="Calibri" w:cs="Calibri"/>
                <w:sz w:val="22"/>
                <w:lang w:eastAsia="zh-CN"/>
              </w:rPr>
              <w:t xml:space="preserve">resource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can be used for CSI reporting. How to modify it based on actual</w:t>
            </w:r>
            <w:r w:rsidR="00B93AD9">
              <w:rPr>
                <w:rFonts w:ascii="Calibri" w:eastAsia="SimSun" w:hAnsi="Calibri" w:cs="Calibri"/>
                <w:sz w:val="22"/>
                <w:lang w:eastAsia="zh-CN"/>
              </w:rPr>
              <w:t xml:space="preserve"> PSCCH resource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is up to TX UE</w:t>
            </w:r>
          </w:p>
        </w:tc>
      </w:tr>
      <w:tr w:rsidR="00D65DC9" w14:paraId="46C34C96" w14:textId="77777777" w:rsidTr="00920787">
        <w:tc>
          <w:tcPr>
            <w:tcW w:w="988" w:type="dxa"/>
          </w:tcPr>
          <w:p w14:paraId="33F5DD00" w14:textId="46E266A9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071" w:type="dxa"/>
          </w:tcPr>
          <w:p w14:paraId="7A2C1ECA" w14:textId="768938E8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957" w:type="dxa"/>
          </w:tcPr>
          <w:p w14:paraId="09A62AC4" w14:textId="0959227B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 xml:space="preserve">Following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having a fixed assumption implies lower UE implementation complexity</w:t>
            </w:r>
          </w:p>
        </w:tc>
      </w:tr>
      <w:tr w:rsidR="007F40DC" w14:paraId="370EF0CD" w14:textId="77777777" w:rsidTr="00920787">
        <w:tc>
          <w:tcPr>
            <w:tcW w:w="988" w:type="dxa"/>
          </w:tcPr>
          <w:p w14:paraId="1AB41C47" w14:textId="7EE00203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071" w:type="dxa"/>
          </w:tcPr>
          <w:p w14:paraId="0AAD8213" w14:textId="72BA3934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957" w:type="dxa"/>
          </w:tcPr>
          <w:p w14:paraId="3D63C1CF" w14:textId="6D317381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Both “</w:t>
            </w:r>
            <w:proofErr w:type="spellStart"/>
            <w:r w:rsidRPr="006B607F">
              <w:rPr>
                <w:rFonts w:ascii="Calibri" w:hAnsi="Calibri" w:cs="Calibri"/>
                <w:sz w:val="22"/>
              </w:rPr>
              <w:t>timeResourcePSCCH</w:t>
            </w:r>
            <w:proofErr w:type="spellEnd"/>
            <w:r>
              <w:rPr>
                <w:rFonts w:ascii="Calibri" w:hAnsi="Calibri" w:cs="Calibri"/>
                <w:sz w:val="22"/>
              </w:rPr>
              <w:t>” and “</w:t>
            </w:r>
            <w:proofErr w:type="spellStart"/>
            <w:r w:rsidRPr="006B607F">
              <w:rPr>
                <w:rFonts w:ascii="Calibri" w:hAnsi="Calibri" w:cs="Calibri"/>
                <w:sz w:val="22"/>
              </w:rPr>
              <w:t>frequencyResourcePSCCH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” are resource pool configuration, which is semi-static and easy to capture. </w:t>
            </w:r>
          </w:p>
        </w:tc>
      </w:tr>
      <w:tr w:rsidR="00EE00A2" w14:paraId="62F61812" w14:textId="77777777" w:rsidTr="00920787">
        <w:tc>
          <w:tcPr>
            <w:tcW w:w="988" w:type="dxa"/>
          </w:tcPr>
          <w:p w14:paraId="78554D6A" w14:textId="3B3FF8C6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1071" w:type="dxa"/>
          </w:tcPr>
          <w:p w14:paraId="7B87C57E" w14:textId="20379E5F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957" w:type="dxa"/>
          </w:tcPr>
          <w:p w14:paraId="22B05D40" w14:textId="10C35F35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CSI measurement in one pool can be reported at another pool, to avoid misunderstanding, all the assumptions are not pool specific.</w:t>
            </w:r>
          </w:p>
        </w:tc>
      </w:tr>
      <w:tr w:rsidR="00206F92" w14:paraId="5F3A49D6" w14:textId="77777777" w:rsidTr="00920787">
        <w:tc>
          <w:tcPr>
            <w:tcW w:w="988" w:type="dxa"/>
          </w:tcPr>
          <w:p w14:paraId="50C7A9A5" w14:textId="791B8CD6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071" w:type="dxa"/>
          </w:tcPr>
          <w:p w14:paraId="16C40D63" w14:textId="30F6DCF0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957" w:type="dxa"/>
          </w:tcPr>
          <w:p w14:paraId="0986ABF2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Unlike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link, t</w:t>
            </w:r>
            <w:r>
              <w:rPr>
                <w:rFonts w:ascii="Calibri" w:hAnsi="Calibri" w:cs="Calibri" w:hint="eastAsia"/>
                <w:sz w:val="22"/>
              </w:rPr>
              <w:t xml:space="preserve">he </w:t>
            </w:r>
            <w:r>
              <w:rPr>
                <w:rFonts w:ascii="Calibri" w:hAnsi="Calibri" w:cs="Calibri"/>
                <w:sz w:val="22"/>
              </w:rPr>
              <w:t xml:space="preserve">number of REs for PSCCH is determined in a semi-static manner. There is no need to have unnecessary CSI conversion rule for this. </w:t>
            </w:r>
          </w:p>
          <w:p w14:paraId="7A425EC3" w14:textId="0E7F24B4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 xml:space="preserve">For Option 1, if the PSCCH symbol duration is 3, then the UE may need have CSI conversion rule. </w:t>
            </w:r>
          </w:p>
        </w:tc>
      </w:tr>
      <w:tr w:rsidR="00206F92" w14:paraId="0181BB90" w14:textId="77777777" w:rsidTr="00920787">
        <w:tc>
          <w:tcPr>
            <w:tcW w:w="988" w:type="dxa"/>
          </w:tcPr>
          <w:p w14:paraId="1B79DFD7" w14:textId="1A7DF09B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1071" w:type="dxa"/>
          </w:tcPr>
          <w:p w14:paraId="2D8D02AA" w14:textId="178A95C5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957" w:type="dxa"/>
          </w:tcPr>
          <w:p w14:paraId="15ABF925" w14:textId="4FD703D7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A fixed assumption would be an easier implementation for CSI reference source.</w:t>
            </w:r>
          </w:p>
        </w:tc>
      </w:tr>
      <w:tr w:rsidR="00206F92" w14:paraId="0041315C" w14:textId="77777777" w:rsidTr="00920787">
        <w:tc>
          <w:tcPr>
            <w:tcW w:w="988" w:type="dxa"/>
          </w:tcPr>
          <w:p w14:paraId="764B3E53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071" w:type="dxa"/>
          </w:tcPr>
          <w:p w14:paraId="3FA2EF8A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957" w:type="dxa"/>
          </w:tcPr>
          <w:p w14:paraId="68CC4A09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373D324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41BE912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Q4: What is the assumption on the number of PSSCH and DM-RS symbols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46D36A5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37A2ADD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2</w:t>
      </w:r>
    </w:p>
    <w:p w14:paraId="76F514E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30F54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4: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 xml:space="preserve">5 if </w:t>
      </w:r>
      <w:proofErr w:type="spellStart"/>
      <w:r w:rsidRPr="00167A21">
        <w:t>periodPSFCHresource</w:t>
      </w:r>
      <w:proofErr w:type="spellEnd"/>
      <w:r>
        <w:t xml:space="preserve"> = 1. Otherwise,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>2.</w:t>
      </w:r>
    </w:p>
    <w:p w14:paraId="783DB61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7280B899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444"/>
        <w:gridCol w:w="6111"/>
      </w:tblGrid>
      <w:tr w:rsidR="006A6528" w14:paraId="703DD1A4" w14:textId="77777777" w:rsidTr="008A6EA1">
        <w:tc>
          <w:tcPr>
            <w:tcW w:w="1226" w:type="dxa"/>
          </w:tcPr>
          <w:p w14:paraId="4F36B0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029A5F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8D14B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2E559C37" w14:textId="77777777" w:rsidTr="008A6EA1">
        <w:tc>
          <w:tcPr>
            <w:tcW w:w="1226" w:type="dxa"/>
          </w:tcPr>
          <w:p w14:paraId="0EA07612" w14:textId="77777777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CDE3CD2" w14:textId="77777777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34D02B8B" w14:textId="77777777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31233283" w14:textId="77777777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6F48251D" w14:textId="77777777" w:rsidTr="008A6EA1">
        <w:tc>
          <w:tcPr>
            <w:tcW w:w="1226" w:type="dxa"/>
          </w:tcPr>
          <w:p w14:paraId="2556AE8B" w14:textId="77777777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972C5B1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316DDD0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where the assumption is (14-2-</w:t>
            </w:r>
            <w:proofErr w:type="gramStart"/>
            <w:r>
              <w:rPr>
                <w:rFonts w:ascii="Calibri" w:hAnsi="Calibri" w:cs="Calibri"/>
                <w:sz w:val="22"/>
              </w:rPr>
              <w:t>2)=</w:t>
            </w:r>
            <w:proofErr w:type="gramEnd"/>
            <w:r>
              <w:rPr>
                <w:rFonts w:ascii="Calibri" w:hAnsi="Calibri" w:cs="Calibri"/>
                <w:sz w:val="22"/>
              </w:rPr>
              <w:t>10</w:t>
            </w:r>
          </w:p>
        </w:tc>
      </w:tr>
      <w:tr w:rsidR="00453EE5" w14:paraId="645E9F5C" w14:textId="77777777" w:rsidTr="008A6EA1">
        <w:tc>
          <w:tcPr>
            <w:tcW w:w="1226" w:type="dxa"/>
          </w:tcPr>
          <w:p w14:paraId="3DC4BE59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3FC73D11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597E7BC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2AA157F1" w14:textId="77777777" w:rsidTr="008A6EA1">
        <w:tc>
          <w:tcPr>
            <w:tcW w:w="1226" w:type="dxa"/>
          </w:tcPr>
          <w:p w14:paraId="1D147D1E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Huawei,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3610A291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37397722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We do not yet understand why a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slot format</w:t>
            </w:r>
            <w:r w:rsidR="00CA1DD2">
              <w:rPr>
                <w:rFonts w:ascii="Calibri" w:eastAsia="MS Mincho" w:hAnsi="Calibri" w:cs="Calibri"/>
                <w:sz w:val="22"/>
                <w:lang w:eastAsia="ja-JP"/>
              </w:rPr>
              <w:t xml:space="preserve"> baseline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is of high relevance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sidelink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. </w:t>
            </w:r>
          </w:p>
          <w:p w14:paraId="329C20C1" w14:textId="77777777" w:rsidR="003D0598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The number of PSSCH and DM-RS symbols </w:t>
            </w:r>
            <w:r w:rsidR="00D86BC2" w:rsidRPr="00D86BC2">
              <w:rPr>
                <w:rFonts w:ascii="Calibri" w:eastAsia="MS Mincho" w:hAnsi="Calibri" w:cs="Calibri"/>
                <w:sz w:val="22"/>
                <w:lang w:eastAsia="ja-JP"/>
              </w:rPr>
              <w:t>depends on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whether the CSI reference resource includes PSFCH. If there is PSFCH, then the number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5, where 2 AGC symbols, 2 GAP symbols and 1 PSFCH symbol are considered. Otherwise, it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2.</w:t>
            </w:r>
          </w:p>
        </w:tc>
      </w:tr>
      <w:tr w:rsidR="00A020F1" w14:paraId="1F2064E7" w14:textId="77777777" w:rsidTr="008A6EA1">
        <w:tc>
          <w:tcPr>
            <w:tcW w:w="1226" w:type="dxa"/>
          </w:tcPr>
          <w:p w14:paraId="0AB78B80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3E6F63E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258437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can also accept Option 1. </w:t>
            </w:r>
          </w:p>
        </w:tc>
      </w:tr>
      <w:tr w:rsidR="00CB772C" w14:paraId="1D89E6C3" w14:textId="77777777" w:rsidTr="008A6EA1">
        <w:tc>
          <w:tcPr>
            <w:tcW w:w="1226" w:type="dxa"/>
          </w:tcPr>
          <w:p w14:paraId="38CBA864" w14:textId="4869203C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807E030" w14:textId="0D93844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13085CD" w14:textId="2EE35A2F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CB772C" w14:paraId="7B42C5FB" w14:textId="77777777" w:rsidTr="008A6EA1">
        <w:tc>
          <w:tcPr>
            <w:tcW w:w="1226" w:type="dxa"/>
          </w:tcPr>
          <w:p w14:paraId="4E667FC9" w14:textId="4A998990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lastRenderedPageBreak/>
              <w:t>Futurewei</w:t>
            </w:r>
            <w:proofErr w:type="spellEnd"/>
          </w:p>
        </w:tc>
        <w:tc>
          <w:tcPr>
            <w:tcW w:w="1463" w:type="dxa"/>
          </w:tcPr>
          <w:p w14:paraId="4D411DA8" w14:textId="425C30ED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1B957D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40274534" w14:textId="77777777" w:rsidTr="008A6EA1">
        <w:tc>
          <w:tcPr>
            <w:tcW w:w="1226" w:type="dxa"/>
          </w:tcPr>
          <w:p w14:paraId="6046BC17" w14:textId="4C4531A3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14AAA948" w14:textId="2844BEEC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722CEA59" w14:textId="5B320DC2" w:rsidR="000E2E71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6367D0EA" w14:textId="77777777" w:rsidTr="008A6EA1">
        <w:tc>
          <w:tcPr>
            <w:tcW w:w="1226" w:type="dxa"/>
          </w:tcPr>
          <w:p w14:paraId="5544D73C" w14:textId="429225FD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4D01F08A" w14:textId="312FCD2E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2</w:t>
            </w:r>
          </w:p>
        </w:tc>
        <w:tc>
          <w:tcPr>
            <w:tcW w:w="6327" w:type="dxa"/>
          </w:tcPr>
          <w:p w14:paraId="5E75AC82" w14:textId="77777777" w:rsidR="00B93AD9" w:rsidRDefault="00B93AD9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69378FF1" w14:textId="77777777" w:rsidTr="008A6EA1">
        <w:tc>
          <w:tcPr>
            <w:tcW w:w="1226" w:type="dxa"/>
          </w:tcPr>
          <w:p w14:paraId="0DEB55E5" w14:textId="703AA56F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184AF9AD" w14:textId="14E9878A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F592044" w14:textId="5E01887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having a fixed assumption implies lower UE implementation complexity </w:t>
            </w:r>
          </w:p>
        </w:tc>
      </w:tr>
      <w:tr w:rsidR="007F40DC" w14:paraId="7AB89F6D" w14:textId="77777777" w:rsidTr="008A6EA1">
        <w:tc>
          <w:tcPr>
            <w:tcW w:w="1226" w:type="dxa"/>
          </w:tcPr>
          <w:p w14:paraId="174CEE66" w14:textId="37F42D0A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7D626A82" w14:textId="2D70B65F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5</w:t>
            </w:r>
          </w:p>
        </w:tc>
        <w:tc>
          <w:tcPr>
            <w:tcW w:w="6327" w:type="dxa"/>
          </w:tcPr>
          <w:p w14:paraId="581116E7" w14:textId="678325A2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hAnsi="Calibri" w:cs="Calibri"/>
                <w:sz w:val="22"/>
              </w:rPr>
              <w:t>As long as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PSFCH resources are configured (i.e., “sl-PSFCH-Period-r16”</w:t>
            </w:r>
            <w:r w:rsidRPr="004D68D7">
              <w:rPr>
                <w:rFonts w:ascii="Calibri" w:hAnsi="Calibri" w:cs="Calibri"/>
                <w:sz w:val="22"/>
              </w:rPr>
              <w:t xml:space="preserve"> =</w:t>
            </w:r>
            <w:r>
              <w:rPr>
                <w:rFonts w:ascii="Calibri" w:hAnsi="Calibri" w:cs="Calibri"/>
                <w:sz w:val="22"/>
              </w:rPr>
              <w:t xml:space="preserve"> 1,2,4 slots), we could assume PSSCH symbol number is equal to 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5”. Hence, we prefer</w:t>
            </w:r>
          </w:p>
          <w:p w14:paraId="22A88532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  <w:p w14:paraId="37F14869" w14:textId="48BADCF0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2” if “sl-PSFCH-Period-r16”</w:t>
            </w:r>
            <w:r w:rsidRPr="004D68D7">
              <w:rPr>
                <w:rFonts w:ascii="Calibri" w:hAnsi="Calibri" w:cs="Calibri"/>
                <w:sz w:val="22"/>
              </w:rPr>
              <w:t xml:space="preserve"> = </w:t>
            </w:r>
            <w:r>
              <w:rPr>
                <w:rFonts w:ascii="Calibri" w:hAnsi="Calibri" w:cs="Calibri"/>
                <w:sz w:val="22"/>
              </w:rPr>
              <w:t>0; Otherwise, 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5”</w:t>
            </w:r>
          </w:p>
          <w:p w14:paraId="7D992278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  <w:p w14:paraId="439D0AEB" w14:textId="1564B79E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This approach is based on resource pool configuration and achieves the balance between implementation complexity and performance. </w:t>
            </w:r>
          </w:p>
        </w:tc>
      </w:tr>
      <w:tr w:rsidR="00EE00A2" w14:paraId="09B1634E" w14:textId="77777777" w:rsidTr="008A6EA1">
        <w:tc>
          <w:tcPr>
            <w:tcW w:w="1226" w:type="dxa"/>
          </w:tcPr>
          <w:p w14:paraId="44D09D3C" w14:textId="0CE8D263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Vivo</w:t>
            </w:r>
          </w:p>
        </w:tc>
        <w:tc>
          <w:tcPr>
            <w:tcW w:w="1463" w:type="dxa"/>
          </w:tcPr>
          <w:p w14:paraId="122CD76C" w14:textId="5ADBE98B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5D510ECB" w14:textId="419B6192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principle</w:t>
            </w:r>
          </w:p>
        </w:tc>
      </w:tr>
      <w:tr w:rsidR="00206F92" w14:paraId="7FB6AC6B" w14:textId="77777777" w:rsidTr="008A6EA1">
        <w:tc>
          <w:tcPr>
            <w:tcW w:w="1226" w:type="dxa"/>
          </w:tcPr>
          <w:p w14:paraId="689881E4" w14:textId="5C5987E8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463" w:type="dxa"/>
          </w:tcPr>
          <w:p w14:paraId="71BFB27C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4, or</w:t>
            </w:r>
          </w:p>
          <w:p w14:paraId="3DBBEA96" w14:textId="622F2BC4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D235667" w14:textId="46AEED9F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As in NR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Uu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link, it would be beneficial </w:t>
            </w:r>
            <w:r>
              <w:rPr>
                <w:rFonts w:ascii="Calibri" w:hAnsi="Calibri" w:cs="Calibri"/>
                <w:sz w:val="22"/>
              </w:rPr>
              <w:t xml:space="preserve">in terms of UE complexity </w:t>
            </w:r>
            <w:r>
              <w:rPr>
                <w:rFonts w:ascii="Calibri" w:hAnsi="Calibri" w:cs="Calibri" w:hint="eastAsia"/>
                <w:sz w:val="22"/>
              </w:rPr>
              <w:t xml:space="preserve">to have a single </w:t>
            </w:r>
            <w:r>
              <w:rPr>
                <w:rFonts w:ascii="Calibri" w:hAnsi="Calibri" w:cs="Calibri"/>
                <w:sz w:val="22"/>
              </w:rPr>
              <w:t>reference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configuration for CSI measurement. In this case, the UE may need to have CSI conversion rule from PSSCH transmission in non-PSFCH-slot to PSSCH transmission in PSFCH-slot. </w:t>
            </w:r>
          </w:p>
        </w:tc>
      </w:tr>
      <w:tr w:rsidR="00206F92" w14:paraId="37037446" w14:textId="77777777" w:rsidTr="008A6EA1">
        <w:tc>
          <w:tcPr>
            <w:tcW w:w="1226" w:type="dxa"/>
          </w:tcPr>
          <w:p w14:paraId="28AED8BD" w14:textId="3902AE25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1463" w:type="dxa"/>
          </w:tcPr>
          <w:p w14:paraId="56BD9211" w14:textId="3525AF91" w:rsidR="00206F92" w:rsidRDefault="0092078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  <w:r w:rsidR="007C69D7">
              <w:rPr>
                <w:rFonts w:ascii="Calibri" w:eastAsia="SimSun" w:hAnsi="Calibri" w:cs="Calibri"/>
                <w:sz w:val="22"/>
                <w:lang w:eastAsia="zh-CN"/>
              </w:rPr>
              <w:t xml:space="preserve"> or Option 2</w:t>
            </w:r>
          </w:p>
        </w:tc>
        <w:tc>
          <w:tcPr>
            <w:tcW w:w="6327" w:type="dxa"/>
          </w:tcPr>
          <w:p w14:paraId="419973FC" w14:textId="21DD7B97" w:rsidR="00206F92" w:rsidRDefault="007C69D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 simple design on the CSI reference resource should be </w:t>
            </w:r>
            <w:proofErr w:type="gramStart"/>
            <w:r>
              <w:rPr>
                <w:rFonts w:ascii="Calibri" w:hAnsi="Calibri" w:cs="Calibri"/>
                <w:sz w:val="22"/>
              </w:rPr>
              <w:t>sufficient</w:t>
            </w:r>
            <w:proofErr w:type="gram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206F92" w14:paraId="1EAD2A3A" w14:textId="77777777" w:rsidTr="008A6EA1">
        <w:tc>
          <w:tcPr>
            <w:tcW w:w="1226" w:type="dxa"/>
          </w:tcPr>
          <w:p w14:paraId="6A8F72BF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1C3200D3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327" w:type="dxa"/>
          </w:tcPr>
          <w:p w14:paraId="455666A9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6F92" w14:paraId="0C80B0BE" w14:textId="77777777" w:rsidTr="008A6EA1">
        <w:tc>
          <w:tcPr>
            <w:tcW w:w="1226" w:type="dxa"/>
          </w:tcPr>
          <w:p w14:paraId="57384AB2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25966E46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6327" w:type="dxa"/>
          </w:tcPr>
          <w:p w14:paraId="17114494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BB22BC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D45C22B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Q5: What is the assumption on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CSI-RS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4836956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710F846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7B5890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0FB074E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357"/>
        <w:gridCol w:w="6198"/>
      </w:tblGrid>
      <w:tr w:rsidR="006A6528" w14:paraId="5F6FDE52" w14:textId="77777777" w:rsidTr="008A6EA1">
        <w:tc>
          <w:tcPr>
            <w:tcW w:w="1226" w:type="dxa"/>
          </w:tcPr>
          <w:p w14:paraId="7F82BA9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53CC4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73B77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8D515C6" w14:textId="77777777" w:rsidTr="008A6EA1">
        <w:tc>
          <w:tcPr>
            <w:tcW w:w="1226" w:type="dxa"/>
          </w:tcPr>
          <w:p w14:paraId="61B0CA6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650B5DE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715DDC3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</w:tc>
      </w:tr>
      <w:tr w:rsidR="006A6528" w14:paraId="7A5EC83F" w14:textId="77777777" w:rsidTr="008A6EA1">
        <w:tc>
          <w:tcPr>
            <w:tcW w:w="1226" w:type="dxa"/>
          </w:tcPr>
          <w:p w14:paraId="61B11BF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28B37D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1EADE4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D644B88" w14:textId="77777777" w:rsidTr="008A6EA1">
        <w:tc>
          <w:tcPr>
            <w:tcW w:w="1226" w:type="dxa"/>
          </w:tcPr>
          <w:p w14:paraId="21351366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C35E2E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A4FAB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2F99F29" w14:textId="77777777" w:rsidTr="008A6EA1">
        <w:tc>
          <w:tcPr>
            <w:tcW w:w="1226" w:type="dxa"/>
          </w:tcPr>
          <w:p w14:paraId="7BB26BA2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06D80DC8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9562B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5433079" w14:textId="77777777" w:rsidTr="008A6EA1">
        <w:tc>
          <w:tcPr>
            <w:tcW w:w="1226" w:type="dxa"/>
          </w:tcPr>
          <w:p w14:paraId="1D5BD212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6696BEC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021A1A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78995723" w14:textId="77777777" w:rsidTr="008A6EA1">
        <w:tc>
          <w:tcPr>
            <w:tcW w:w="1226" w:type="dxa"/>
          </w:tcPr>
          <w:p w14:paraId="5DA7839F" w14:textId="476EA5BF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E7159A7" w14:textId="0425BF2C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D895546" w14:textId="41D8F44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</w:t>
            </w:r>
          </w:p>
        </w:tc>
      </w:tr>
      <w:tr w:rsidR="00A020F1" w14:paraId="659671FC" w14:textId="77777777" w:rsidTr="008A6EA1">
        <w:tc>
          <w:tcPr>
            <w:tcW w:w="1226" w:type="dxa"/>
          </w:tcPr>
          <w:p w14:paraId="2DB0CB75" w14:textId="53C5E686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27A1726" w14:textId="671D6A7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0D7103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128EC86B" w14:textId="77777777" w:rsidTr="008A6EA1">
        <w:tc>
          <w:tcPr>
            <w:tcW w:w="1226" w:type="dxa"/>
          </w:tcPr>
          <w:p w14:paraId="684EEC09" w14:textId="13CA80E2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lastRenderedPageBreak/>
              <w:t>Samsung</w:t>
            </w:r>
          </w:p>
        </w:tc>
        <w:tc>
          <w:tcPr>
            <w:tcW w:w="1463" w:type="dxa"/>
          </w:tcPr>
          <w:p w14:paraId="36C201EB" w14:textId="32CA86BA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4BD05662" w14:textId="2A46B19B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049BB8E4" w14:textId="77777777" w:rsidTr="008A6EA1">
        <w:tc>
          <w:tcPr>
            <w:tcW w:w="1226" w:type="dxa"/>
          </w:tcPr>
          <w:p w14:paraId="7399B955" w14:textId="476C4A8D" w:rsidR="00B93AD9" w:rsidRPr="00B93AD9" w:rsidRDefault="00B93AD9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6B67EDA8" w14:textId="7B35AAA7" w:rsidR="00B93AD9" w:rsidRPr="00B93AD9" w:rsidRDefault="00B93AD9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0D1548EF" w14:textId="77777777" w:rsidR="00B93AD9" w:rsidRDefault="00B93AD9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67CDB801" w14:textId="77777777" w:rsidTr="008A6EA1">
        <w:tc>
          <w:tcPr>
            <w:tcW w:w="1226" w:type="dxa"/>
          </w:tcPr>
          <w:p w14:paraId="5ECC914B" w14:textId="0B640762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68EEC2CF" w14:textId="177BE5D7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AB473DD" w14:textId="072D152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7F40DC" w14:paraId="1FE8C813" w14:textId="77777777" w:rsidTr="008A6EA1">
        <w:tc>
          <w:tcPr>
            <w:tcW w:w="1226" w:type="dxa"/>
          </w:tcPr>
          <w:p w14:paraId="51148B05" w14:textId="3A77A0B9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1C26124A" w14:textId="1A5DB945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B9861B1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EE00A2" w14:paraId="250B7A7B" w14:textId="77777777" w:rsidTr="008A6EA1">
        <w:tc>
          <w:tcPr>
            <w:tcW w:w="1226" w:type="dxa"/>
          </w:tcPr>
          <w:p w14:paraId="0DE2D4AF" w14:textId="7E16F251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1463" w:type="dxa"/>
          </w:tcPr>
          <w:p w14:paraId="520601E8" w14:textId="515B0DDA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B84144C" w14:textId="2D2F4AEC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</w:tc>
      </w:tr>
      <w:tr w:rsidR="00206F92" w14:paraId="29A64571" w14:textId="77777777" w:rsidTr="008A6EA1">
        <w:tc>
          <w:tcPr>
            <w:tcW w:w="1226" w:type="dxa"/>
          </w:tcPr>
          <w:p w14:paraId="5631A950" w14:textId="78087F0C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463" w:type="dxa"/>
          </w:tcPr>
          <w:p w14:paraId="4A3948CA" w14:textId="78FED688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hAnsi="Calibri" w:cs="Calibri" w:hint="eastAsia"/>
                <w:sz w:val="22"/>
              </w:rPr>
              <w:t>Option 1</w:t>
            </w:r>
          </w:p>
        </w:tc>
        <w:tc>
          <w:tcPr>
            <w:tcW w:w="6327" w:type="dxa"/>
          </w:tcPr>
          <w:p w14:paraId="12AA4859" w14:textId="63792441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As in NR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Uu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link, NZP CSI-RS does not need to be </w:t>
            </w:r>
            <w:r>
              <w:rPr>
                <w:rFonts w:ascii="Calibri" w:hAnsi="Calibri" w:cs="Calibri"/>
                <w:sz w:val="22"/>
              </w:rPr>
              <w:t>considered</w:t>
            </w:r>
            <w:r>
              <w:rPr>
                <w:rFonts w:ascii="Calibri" w:hAnsi="Calibri" w:cs="Calibri" w:hint="eastAsia"/>
                <w:sz w:val="22"/>
              </w:rPr>
              <w:t xml:space="preserve"> for CSI reference resource. </w:t>
            </w:r>
          </w:p>
        </w:tc>
      </w:tr>
      <w:tr w:rsidR="00206F92" w14:paraId="2428206B" w14:textId="77777777" w:rsidTr="008A6EA1">
        <w:tc>
          <w:tcPr>
            <w:tcW w:w="1226" w:type="dxa"/>
          </w:tcPr>
          <w:p w14:paraId="00F3D78C" w14:textId="35AAB992" w:rsidR="00206F92" w:rsidRDefault="007C69D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1463" w:type="dxa"/>
          </w:tcPr>
          <w:p w14:paraId="25A0CC69" w14:textId="27052D61" w:rsidR="00206F92" w:rsidRDefault="007C69D7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4CE949D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06F92" w14:paraId="6E7C1E50" w14:textId="77777777" w:rsidTr="008A6EA1">
        <w:tc>
          <w:tcPr>
            <w:tcW w:w="1226" w:type="dxa"/>
          </w:tcPr>
          <w:p w14:paraId="5109AC5F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7B268F20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327" w:type="dxa"/>
          </w:tcPr>
          <w:p w14:paraId="114DBDEE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06F92" w14:paraId="5515D529" w14:textId="77777777" w:rsidTr="008A6EA1">
        <w:tc>
          <w:tcPr>
            <w:tcW w:w="1226" w:type="dxa"/>
          </w:tcPr>
          <w:p w14:paraId="31D166F3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4967503E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6327" w:type="dxa"/>
          </w:tcPr>
          <w:p w14:paraId="1B7E3DCE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</w:tbl>
    <w:p w14:paraId="579FC67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78E5924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1AFE88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31CB63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62B7B9E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</w:t>
      </w:r>
      <w:proofErr w:type="gramStart"/>
      <w:r>
        <w:rPr>
          <w:rFonts w:ascii="Calibri" w:hAnsi="Calibri" w:cs="Calibri"/>
          <w:sz w:val="22"/>
        </w:rPr>
        <w:t>: :</w:t>
      </w:r>
      <w:proofErr w:type="gramEnd"/>
      <w:r>
        <w:rPr>
          <w:rFonts w:ascii="Calibri" w:hAnsi="Calibri" w:cs="Calibri"/>
          <w:sz w:val="22"/>
        </w:rPr>
        <w:t xml:space="preserve">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3D6368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29AF95D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6753"/>
      </w:tblGrid>
      <w:tr w:rsidR="006A6528" w14:paraId="37DB87BF" w14:textId="77777777" w:rsidTr="00206F92">
        <w:tc>
          <w:tcPr>
            <w:tcW w:w="1271" w:type="dxa"/>
          </w:tcPr>
          <w:p w14:paraId="501402B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992" w:type="dxa"/>
          </w:tcPr>
          <w:p w14:paraId="2AB812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753" w:type="dxa"/>
          </w:tcPr>
          <w:p w14:paraId="72B8D54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6CB7BC99" w14:textId="77777777" w:rsidTr="00206F92">
        <w:tc>
          <w:tcPr>
            <w:tcW w:w="1271" w:type="dxa"/>
          </w:tcPr>
          <w:p w14:paraId="7BF37AA2" w14:textId="77777777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992" w:type="dxa"/>
          </w:tcPr>
          <w:p w14:paraId="46B4874C" w14:textId="77777777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753" w:type="dxa"/>
          </w:tcPr>
          <w:p w14:paraId="16B73E90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0EE7C686" w14:textId="77777777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1FA27717" w14:textId="77777777" w:rsidTr="00206F92">
        <w:tc>
          <w:tcPr>
            <w:tcW w:w="1271" w:type="dxa"/>
          </w:tcPr>
          <w:p w14:paraId="5FCB2314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992" w:type="dxa"/>
          </w:tcPr>
          <w:p w14:paraId="0F0DACE1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1AADFBD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A634632" w14:textId="77777777" w:rsidTr="00206F92">
        <w:tc>
          <w:tcPr>
            <w:tcW w:w="1271" w:type="dxa"/>
          </w:tcPr>
          <w:p w14:paraId="36BF71F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992" w:type="dxa"/>
          </w:tcPr>
          <w:p w14:paraId="6984DF6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297C8E1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640F216" w14:textId="77777777" w:rsidTr="00206F92">
        <w:tc>
          <w:tcPr>
            <w:tcW w:w="1271" w:type="dxa"/>
          </w:tcPr>
          <w:p w14:paraId="3D88B718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Huawei, </w:t>
            </w:r>
            <w:proofErr w:type="spellStart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40E4DFC5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753" w:type="dxa"/>
          </w:tcPr>
          <w:p w14:paraId="2769706B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Since 2nd SCI is also transmitted in PSSCH, there is no need to consider its overhead. </w:t>
            </w:r>
          </w:p>
          <w:p w14:paraId="130A8946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What does “re use NR </w:t>
            </w:r>
            <w:proofErr w:type="spellStart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” mean, when there is no concept of 2nd SCI?</w:t>
            </w:r>
          </w:p>
        </w:tc>
      </w:tr>
      <w:tr w:rsidR="00A020F1" w14:paraId="0D42814A" w14:textId="77777777" w:rsidTr="00206F92">
        <w:tc>
          <w:tcPr>
            <w:tcW w:w="1271" w:type="dxa"/>
          </w:tcPr>
          <w:p w14:paraId="5493FD8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992" w:type="dxa"/>
          </w:tcPr>
          <w:p w14:paraId="4C72CF9B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6B934EC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772C" w14:paraId="778763A3" w14:textId="77777777" w:rsidTr="00206F92">
        <w:tc>
          <w:tcPr>
            <w:tcW w:w="1271" w:type="dxa"/>
          </w:tcPr>
          <w:p w14:paraId="4B66A88F" w14:textId="050D743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992" w:type="dxa"/>
          </w:tcPr>
          <w:p w14:paraId="3C5D4406" w14:textId="702F80F2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61077E5B" w14:textId="3C2AF508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 Although 2</w:t>
            </w:r>
            <w:r w:rsidRPr="00CB772C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stage SCI is always present, it requires additional effort to account for least possible configuration, thus no OH is preferred in this case</w:t>
            </w:r>
          </w:p>
        </w:tc>
      </w:tr>
      <w:tr w:rsidR="00CB772C" w14:paraId="4042849D" w14:textId="77777777" w:rsidTr="00206F92">
        <w:tc>
          <w:tcPr>
            <w:tcW w:w="1271" w:type="dxa"/>
          </w:tcPr>
          <w:p w14:paraId="20066AB7" w14:textId="28492A1B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992" w:type="dxa"/>
          </w:tcPr>
          <w:p w14:paraId="3138A3C1" w14:textId="4485454C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64EF0292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5CEB5ACF" w14:textId="77777777" w:rsidTr="00206F92">
        <w:tc>
          <w:tcPr>
            <w:tcW w:w="1271" w:type="dxa"/>
          </w:tcPr>
          <w:p w14:paraId="3A31B537" w14:textId="66FD7E25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992" w:type="dxa"/>
          </w:tcPr>
          <w:p w14:paraId="2001C38B" w14:textId="34F38740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3</w:t>
            </w:r>
          </w:p>
        </w:tc>
        <w:tc>
          <w:tcPr>
            <w:tcW w:w="6753" w:type="dxa"/>
          </w:tcPr>
          <w:p w14:paraId="7EB766B0" w14:textId="4C078E31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70CF08DD" w14:textId="77777777" w:rsidTr="00206F92">
        <w:tc>
          <w:tcPr>
            <w:tcW w:w="1271" w:type="dxa"/>
          </w:tcPr>
          <w:p w14:paraId="369234C2" w14:textId="5E2F6907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992" w:type="dxa"/>
          </w:tcPr>
          <w:p w14:paraId="21FED796" w14:textId="24C7C6B9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753" w:type="dxa"/>
          </w:tcPr>
          <w:p w14:paraId="48A1588E" w14:textId="77777777" w:rsidR="00B93AD9" w:rsidRDefault="00B93AD9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50B06A78" w14:textId="77777777" w:rsidTr="00206F92">
        <w:tc>
          <w:tcPr>
            <w:tcW w:w="1271" w:type="dxa"/>
          </w:tcPr>
          <w:p w14:paraId="2445BF73" w14:textId="4608C284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992" w:type="dxa"/>
          </w:tcPr>
          <w:p w14:paraId="22CE69DC" w14:textId="591B199E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63BFD08C" w14:textId="7FB2B02A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</w:p>
        </w:tc>
      </w:tr>
      <w:tr w:rsidR="007F40DC" w14:paraId="71A11EE2" w14:textId="77777777" w:rsidTr="00206F92">
        <w:tc>
          <w:tcPr>
            <w:tcW w:w="1271" w:type="dxa"/>
          </w:tcPr>
          <w:p w14:paraId="0B216C48" w14:textId="43C485E3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992" w:type="dxa"/>
          </w:tcPr>
          <w:p w14:paraId="1C43C4B9" w14:textId="04A266FF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6EDEBA61" w14:textId="77777777" w:rsidR="007F40DC" w:rsidRDefault="007F40DC" w:rsidP="007F180A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EE00A2" w14:paraId="20651C44" w14:textId="77777777" w:rsidTr="00206F92">
        <w:tc>
          <w:tcPr>
            <w:tcW w:w="1271" w:type="dxa"/>
          </w:tcPr>
          <w:p w14:paraId="031BC2BC" w14:textId="09202CA0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992" w:type="dxa"/>
          </w:tcPr>
          <w:p w14:paraId="5B0A64C9" w14:textId="325CADA6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38C95F98" w14:textId="287E83A3" w:rsidR="00EE00A2" w:rsidRDefault="00EE00A2" w:rsidP="00EE00A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</w:p>
        </w:tc>
      </w:tr>
      <w:tr w:rsidR="00206F92" w14:paraId="583AC6BD" w14:textId="77777777" w:rsidTr="00206F92">
        <w:tc>
          <w:tcPr>
            <w:tcW w:w="1271" w:type="dxa"/>
          </w:tcPr>
          <w:p w14:paraId="11AF5A24" w14:textId="37986174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992" w:type="dxa"/>
          </w:tcPr>
          <w:p w14:paraId="0F21D400" w14:textId="6BDF79CD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1</w:t>
            </w:r>
          </w:p>
        </w:tc>
        <w:tc>
          <w:tcPr>
            <w:tcW w:w="6753" w:type="dxa"/>
          </w:tcPr>
          <w:p w14:paraId="1FCEB677" w14:textId="7750A56E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hAnsi="Calibri" w:cs="Calibri"/>
                <w:sz w:val="22"/>
              </w:rPr>
              <w:t>I</w:t>
            </w:r>
            <w:r>
              <w:rPr>
                <w:rFonts w:ascii="Calibri" w:hAnsi="Calibri" w:cs="Calibri" w:hint="eastAsia"/>
                <w:sz w:val="22"/>
              </w:rPr>
              <w:t xml:space="preserve">t would be beneficial </w:t>
            </w:r>
            <w:r>
              <w:rPr>
                <w:rFonts w:ascii="Calibri" w:hAnsi="Calibri" w:cs="Calibri"/>
                <w:sz w:val="22"/>
              </w:rPr>
              <w:t xml:space="preserve">in terms of UE complexity </w:t>
            </w:r>
            <w:r>
              <w:rPr>
                <w:rFonts w:ascii="Calibri" w:hAnsi="Calibri" w:cs="Calibri" w:hint="eastAsia"/>
                <w:sz w:val="22"/>
              </w:rPr>
              <w:t xml:space="preserve">to have a single </w:t>
            </w:r>
            <w:r>
              <w:rPr>
                <w:rFonts w:ascii="Calibri" w:hAnsi="Calibri" w:cs="Calibri"/>
                <w:sz w:val="22"/>
              </w:rPr>
              <w:t>reference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configuration for CSI measurement. For simplicity, no 2</w:t>
            </w:r>
            <w:r w:rsidRPr="009F486F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SCI overhead could be considered. </w:t>
            </w:r>
          </w:p>
        </w:tc>
      </w:tr>
      <w:tr w:rsidR="00206F92" w14:paraId="7F7828A0" w14:textId="77777777" w:rsidTr="00206F92">
        <w:tc>
          <w:tcPr>
            <w:tcW w:w="1271" w:type="dxa"/>
          </w:tcPr>
          <w:p w14:paraId="44DDACD8" w14:textId="7C900AA3" w:rsidR="00206F92" w:rsidRDefault="007C69D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Nokia, NSB</w:t>
            </w:r>
          </w:p>
        </w:tc>
        <w:tc>
          <w:tcPr>
            <w:tcW w:w="992" w:type="dxa"/>
          </w:tcPr>
          <w:p w14:paraId="073CA8D9" w14:textId="1FA9E791" w:rsidR="00206F92" w:rsidRDefault="007C69D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753" w:type="dxa"/>
          </w:tcPr>
          <w:p w14:paraId="3D264029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06F92" w14:paraId="089C6FC2" w14:textId="77777777" w:rsidTr="00206F92">
        <w:tc>
          <w:tcPr>
            <w:tcW w:w="1271" w:type="dxa"/>
          </w:tcPr>
          <w:p w14:paraId="7A3A80D5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992" w:type="dxa"/>
          </w:tcPr>
          <w:p w14:paraId="316D6BA8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753" w:type="dxa"/>
          </w:tcPr>
          <w:p w14:paraId="4DC7E4AC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206F92" w14:paraId="1BC5BF50" w14:textId="77777777" w:rsidTr="00206F92">
        <w:tc>
          <w:tcPr>
            <w:tcW w:w="1271" w:type="dxa"/>
          </w:tcPr>
          <w:p w14:paraId="332B6638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992" w:type="dxa"/>
          </w:tcPr>
          <w:p w14:paraId="22FD4FEE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753" w:type="dxa"/>
          </w:tcPr>
          <w:p w14:paraId="6AF03247" w14:textId="77777777" w:rsidR="00206F92" w:rsidRDefault="00206F92" w:rsidP="00206F92">
            <w:pPr>
              <w:widowControl/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</w:tbl>
    <w:p w14:paraId="52E6524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8EE4B9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 xml:space="preserve">the </w:t>
      </w:r>
      <w:proofErr w:type="spellStart"/>
      <w:r w:rsidRPr="007E5FAE">
        <w:rPr>
          <w:rFonts w:ascii="Calibri" w:hAnsi="Calibri" w:cs="Calibri"/>
          <w:strike/>
          <w:color w:val="FF0000"/>
          <w:sz w:val="22"/>
        </w:rPr>
        <w:t>sidelink</w:t>
      </w:r>
      <w:proofErr w:type="spellEnd"/>
      <w:r w:rsidRPr="007E5FAE">
        <w:rPr>
          <w:rFonts w:ascii="Calibri" w:hAnsi="Calibri" w:cs="Calibri"/>
          <w:strike/>
          <w:color w:val="FF0000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18D616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</w:t>
      </w:r>
      <w:proofErr w:type="spellStart"/>
      <w:r>
        <w:rPr>
          <w:rFonts w:ascii="Calibri" w:hAnsi="Calibri" w:cs="Calibri"/>
          <w:sz w:val="22"/>
        </w:rPr>
        <w:t>confiugraiton</w:t>
      </w:r>
      <w:proofErr w:type="spellEnd"/>
    </w:p>
    <w:p w14:paraId="682CECE0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1E8847A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6D31E2A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343"/>
        <w:gridCol w:w="6212"/>
      </w:tblGrid>
      <w:tr w:rsidR="006A6528" w14:paraId="0E1AA532" w14:textId="77777777" w:rsidTr="008A6EA1">
        <w:tc>
          <w:tcPr>
            <w:tcW w:w="1226" w:type="dxa"/>
          </w:tcPr>
          <w:p w14:paraId="2DD10CB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7E19F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B57A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1D557AE7" w14:textId="77777777" w:rsidTr="005B3116">
        <w:tc>
          <w:tcPr>
            <w:tcW w:w="1226" w:type="dxa"/>
          </w:tcPr>
          <w:p w14:paraId="2F402FE7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C7A885C" w14:textId="77777777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3CE0A4A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First of all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>, the question would be about DM-RS, not 2nd-stage SCI overhead.</w:t>
            </w:r>
          </w:p>
          <w:p w14:paraId="626D7CB1" w14:textId="77777777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</w:t>
            </w:r>
            <w:proofErr w:type="spellStart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, where assumption of the number of DM-RS is based on the configurations.</w:t>
            </w:r>
          </w:p>
        </w:tc>
      </w:tr>
      <w:tr w:rsidR="006A6528" w14:paraId="01DF8F87" w14:textId="77777777" w:rsidTr="008A6EA1">
        <w:tc>
          <w:tcPr>
            <w:tcW w:w="1226" w:type="dxa"/>
          </w:tcPr>
          <w:p w14:paraId="7358B945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DC8859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00BA3067" w14:textId="77777777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If the question refers to PSSCH DMRS overhead, then we propose to 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without containing DMRS, i.e. no overhead is assumed.</w:t>
            </w:r>
          </w:p>
        </w:tc>
      </w:tr>
      <w:tr w:rsidR="006A6528" w14:paraId="5499D8C6" w14:textId="77777777" w:rsidTr="008A6EA1">
        <w:tc>
          <w:tcPr>
            <w:tcW w:w="1226" w:type="dxa"/>
          </w:tcPr>
          <w:p w14:paraId="7891D2AE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D4C6219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65C0E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0B46" w14:paraId="2AC85969" w14:textId="77777777" w:rsidTr="008A6EA1">
        <w:tc>
          <w:tcPr>
            <w:tcW w:w="1226" w:type="dxa"/>
          </w:tcPr>
          <w:p w14:paraId="2D1E15B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763516DA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6DBA9A8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/>
                <w:sz w:val="22"/>
              </w:rPr>
              <w:t>Using the indicated PSSCH DMRS time-domain pattern helps to provide accurate CSI result. The TX UE can easily adjust the MCS according to the DMRS pattern of the following transmissions.</w:t>
            </w:r>
          </w:p>
        </w:tc>
      </w:tr>
      <w:tr w:rsidR="00A020F1" w14:paraId="1BBB1889" w14:textId="77777777" w:rsidTr="008A6EA1">
        <w:tc>
          <w:tcPr>
            <w:tcW w:w="1226" w:type="dxa"/>
          </w:tcPr>
          <w:p w14:paraId="631AD58D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77F7C35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CCC02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48260812" w14:textId="77777777" w:rsidTr="008A6EA1">
        <w:tc>
          <w:tcPr>
            <w:tcW w:w="1226" w:type="dxa"/>
          </w:tcPr>
          <w:p w14:paraId="73A8EEE6" w14:textId="61B636C4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2E1D110" w14:textId="0BC8DBDB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C1E0EAF" w14:textId="6F7CBD43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</w:t>
            </w:r>
          </w:p>
        </w:tc>
      </w:tr>
      <w:tr w:rsidR="00A020F1" w14:paraId="2ECF651C" w14:textId="77777777" w:rsidTr="008A6EA1">
        <w:tc>
          <w:tcPr>
            <w:tcW w:w="1226" w:type="dxa"/>
          </w:tcPr>
          <w:p w14:paraId="761072BA" w14:textId="6E35954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00E41C1" w14:textId="72DD5B9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DFD7070" w14:textId="0E0A706A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D47F3A0" w14:textId="77777777" w:rsidTr="008A6EA1">
        <w:tc>
          <w:tcPr>
            <w:tcW w:w="1226" w:type="dxa"/>
          </w:tcPr>
          <w:p w14:paraId="6566B6B7" w14:textId="076D1138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07C78A0" w14:textId="312F87AE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322C6C6A" w14:textId="7D986741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FA72D8" w14:paraId="60EB9022" w14:textId="77777777" w:rsidTr="008A6EA1">
        <w:tc>
          <w:tcPr>
            <w:tcW w:w="1226" w:type="dxa"/>
          </w:tcPr>
          <w:p w14:paraId="1EC20B19" w14:textId="39628DD2" w:rsidR="00FA72D8" w:rsidRPr="00FA72D8" w:rsidRDefault="00FA72D8" w:rsidP="00FF0B4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153070E3" w14:textId="63CEEBB6" w:rsidR="00FA72D8" w:rsidRPr="00FA72D8" w:rsidRDefault="00FA72D8" w:rsidP="00FF0B4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7E676DC8" w14:textId="77777777" w:rsidR="00FA72D8" w:rsidRDefault="00FA72D8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19CC16A7" w14:textId="77777777" w:rsidTr="008A6EA1">
        <w:tc>
          <w:tcPr>
            <w:tcW w:w="1226" w:type="dxa"/>
          </w:tcPr>
          <w:p w14:paraId="7076504C" w14:textId="2BCA8A51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05F359F7" w14:textId="14291B5F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63CF1100" w14:textId="080BCC1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Agree with Sharp this also needs to follow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definition, i.e., no overhead for DMRS</w:t>
            </w:r>
          </w:p>
        </w:tc>
      </w:tr>
      <w:tr w:rsidR="007F40DC" w14:paraId="0156CA6F" w14:textId="77777777" w:rsidTr="008A6EA1">
        <w:tc>
          <w:tcPr>
            <w:tcW w:w="1226" w:type="dxa"/>
          </w:tcPr>
          <w:p w14:paraId="1DE730D0" w14:textId="457EC74E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49486CB6" w14:textId="79AE24F8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A7F5117" w14:textId="77777777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EE00A2" w14:paraId="3ED961AB" w14:textId="77777777" w:rsidTr="008A6EA1">
        <w:tc>
          <w:tcPr>
            <w:tcW w:w="1226" w:type="dxa"/>
          </w:tcPr>
          <w:p w14:paraId="3CACCBBE" w14:textId="5BAD1DAF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v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ivo</w:t>
            </w:r>
          </w:p>
        </w:tc>
        <w:tc>
          <w:tcPr>
            <w:tcW w:w="1463" w:type="dxa"/>
          </w:tcPr>
          <w:p w14:paraId="4C110606" w14:textId="1B58A45C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32A61279" w14:textId="77777777" w:rsidR="00EE00A2" w:rsidRDefault="00EE00A2" w:rsidP="00EE00A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CSI measurement in one pool can be reported at another pool, to avoid misunderstanding, all the assumptions are not pool specific.</w:t>
            </w:r>
          </w:p>
          <w:p w14:paraId="4420F164" w14:textId="281F7683" w:rsidR="00EE00A2" w:rsidRDefault="00EE00A2" w:rsidP="00EE00A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Sharp and QC, i.e., no overhead for DMRS</w:t>
            </w:r>
          </w:p>
        </w:tc>
      </w:tr>
      <w:tr w:rsidR="00206F92" w14:paraId="2E132408" w14:textId="77777777" w:rsidTr="008A6EA1">
        <w:tc>
          <w:tcPr>
            <w:tcW w:w="1226" w:type="dxa"/>
          </w:tcPr>
          <w:p w14:paraId="641A55FD" w14:textId="7C2B389B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</w:rPr>
              <w:t>LG</w:t>
            </w:r>
            <w:r>
              <w:rPr>
                <w:rFonts w:ascii="Calibri" w:hAnsi="Calibri" w:cs="Calibri"/>
                <w:sz w:val="22"/>
              </w:rPr>
              <w:t xml:space="preserve"> Electronics</w:t>
            </w:r>
          </w:p>
        </w:tc>
        <w:tc>
          <w:tcPr>
            <w:tcW w:w="1463" w:type="dxa"/>
          </w:tcPr>
          <w:p w14:paraId="6161C3FE" w14:textId="21278A32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Option 1 </w:t>
            </w:r>
          </w:p>
        </w:tc>
        <w:tc>
          <w:tcPr>
            <w:tcW w:w="6327" w:type="dxa"/>
          </w:tcPr>
          <w:p w14:paraId="04ED6B9F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</w:t>
            </w:r>
            <w:r>
              <w:rPr>
                <w:rFonts w:ascii="Calibri" w:hAnsi="Calibri" w:cs="Calibri" w:hint="eastAsia"/>
                <w:sz w:val="22"/>
              </w:rPr>
              <w:t xml:space="preserve">t would be beneficial </w:t>
            </w:r>
            <w:r>
              <w:rPr>
                <w:rFonts w:ascii="Calibri" w:hAnsi="Calibri" w:cs="Calibri"/>
                <w:sz w:val="22"/>
              </w:rPr>
              <w:t xml:space="preserve">in terms of UE complexity </w:t>
            </w:r>
            <w:r>
              <w:rPr>
                <w:rFonts w:ascii="Calibri" w:hAnsi="Calibri" w:cs="Calibri" w:hint="eastAsia"/>
                <w:sz w:val="22"/>
              </w:rPr>
              <w:t xml:space="preserve">to have a single </w:t>
            </w:r>
            <w:r>
              <w:rPr>
                <w:rFonts w:ascii="Calibri" w:hAnsi="Calibri" w:cs="Calibri"/>
                <w:sz w:val="22"/>
              </w:rPr>
              <w:t>reference</w:t>
            </w:r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configuration for CSI measurement. </w:t>
            </w:r>
          </w:p>
          <w:p w14:paraId="234662DE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For the reference, in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link, PDSCH DMRS pattern is determined in a semi-static manner, so the higher layer parameters for DMRS configuration is directly reused to define CSI reference resource as follows: </w:t>
            </w:r>
          </w:p>
          <w:p w14:paraId="5E4BA9A6" w14:textId="77777777" w:rsidR="00206F92" w:rsidRPr="0048482F" w:rsidRDefault="00206F92" w:rsidP="00206F92">
            <w:pPr>
              <w:pStyle w:val="B1"/>
              <w:rPr>
                <w:color w:val="000000"/>
                <w:lang w:val="en-US"/>
              </w:rPr>
            </w:pPr>
            <w:r w:rsidRPr="0048482F">
              <w:rPr>
                <w:color w:val="000000"/>
                <w:lang w:val="en-US"/>
              </w:rPr>
              <w:t>-</w:t>
            </w:r>
            <w:r w:rsidRPr="0048482F">
              <w:rPr>
                <w:color w:val="000000"/>
                <w:lang w:val="en-US"/>
              </w:rPr>
              <w:tab/>
              <w:t xml:space="preserve">Assume the same number of </w:t>
            </w:r>
            <w:proofErr w:type="gramStart"/>
            <w:r w:rsidRPr="0048482F">
              <w:rPr>
                <w:color w:val="000000"/>
                <w:lang w:val="en-US"/>
              </w:rPr>
              <w:t>front loaded</w:t>
            </w:r>
            <w:proofErr w:type="gramEnd"/>
            <w:r w:rsidRPr="0048482F">
              <w:rPr>
                <w:color w:val="000000"/>
                <w:lang w:val="en-US"/>
              </w:rPr>
              <w:t xml:space="preserve"> DM-RS symbols as the maximum front-loaded symbols configured by the higher layer parameter</w:t>
            </w:r>
            <w:r w:rsidRPr="0048482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641575">
              <w:rPr>
                <w:i/>
              </w:rPr>
              <w:t>maxLength</w:t>
            </w:r>
            <w:proofErr w:type="spellEnd"/>
            <w:r w:rsidRPr="00641575">
              <w:rPr>
                <w:i/>
                <w:lang w:val="en-GB"/>
              </w:rPr>
              <w:t xml:space="preserve"> </w:t>
            </w:r>
            <w:r w:rsidRPr="00641575">
              <w:rPr>
                <w:lang w:val="en-GB"/>
              </w:rPr>
              <w:t>in</w:t>
            </w:r>
            <w:r w:rsidRPr="00641575">
              <w:rPr>
                <w:i/>
                <w:lang w:val="en-GB"/>
              </w:rPr>
              <w:t xml:space="preserve"> </w:t>
            </w:r>
            <w:r w:rsidRPr="00F35584">
              <w:rPr>
                <w:i/>
              </w:rPr>
              <w:t>DMRS-</w:t>
            </w:r>
            <w:proofErr w:type="spellStart"/>
            <w:r w:rsidRPr="00F35584">
              <w:rPr>
                <w:i/>
              </w:rPr>
              <w:t>DownlinkConfig</w:t>
            </w:r>
            <w:proofErr w:type="spellEnd"/>
            <w:r w:rsidRPr="0048482F">
              <w:rPr>
                <w:i/>
                <w:color w:val="000000"/>
                <w:lang w:val="en-US"/>
              </w:rPr>
              <w:t>.</w:t>
            </w:r>
            <w:r w:rsidRPr="0048482F">
              <w:rPr>
                <w:color w:val="000000"/>
                <w:lang w:val="en-US"/>
              </w:rPr>
              <w:t xml:space="preserve"> </w:t>
            </w:r>
          </w:p>
          <w:p w14:paraId="17B83EB1" w14:textId="77777777" w:rsidR="00206F92" w:rsidRPr="0048482F" w:rsidRDefault="00206F92" w:rsidP="00206F92">
            <w:pPr>
              <w:pStyle w:val="B1"/>
              <w:rPr>
                <w:color w:val="000000"/>
                <w:lang w:val="en-US"/>
              </w:rPr>
            </w:pPr>
            <w:r w:rsidRPr="0048482F">
              <w:rPr>
                <w:color w:val="000000"/>
                <w:lang w:val="en-US"/>
              </w:rPr>
              <w:t>-</w:t>
            </w:r>
            <w:r w:rsidRPr="0048482F">
              <w:rPr>
                <w:color w:val="000000"/>
                <w:lang w:val="en-US"/>
              </w:rPr>
              <w:tab/>
              <w:t xml:space="preserve">Assume the same number of additional DM-RS symbols as the additional symbols configured by the higher layer parameter </w:t>
            </w:r>
            <w:proofErr w:type="spellStart"/>
            <w:r w:rsidRPr="00D03FC4">
              <w:rPr>
                <w:i/>
                <w:color w:val="000000"/>
              </w:rPr>
              <w:t>dmrs-AdditionalPosition</w:t>
            </w:r>
            <w:proofErr w:type="spellEnd"/>
            <w:r w:rsidRPr="0048482F">
              <w:rPr>
                <w:color w:val="000000"/>
                <w:lang w:val="en-US"/>
              </w:rPr>
              <w:t>.</w:t>
            </w:r>
          </w:p>
          <w:p w14:paraId="1249C9AC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R</w:t>
            </w:r>
            <w:r>
              <w:rPr>
                <w:rFonts w:ascii="Calibri" w:hAnsi="Calibri" w:cs="Calibri"/>
                <w:sz w:val="22"/>
              </w:rPr>
              <w:t xml:space="preserve">egarding whether data part and DMRS part can be </w:t>
            </w:r>
            <w:proofErr w:type="spellStart"/>
            <w:r>
              <w:rPr>
                <w:rFonts w:ascii="Calibri" w:hAnsi="Calibri" w:cs="Calibri"/>
                <w:sz w:val="22"/>
              </w:rPr>
              <w:t>FDMed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or not, unlike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link, when the number of </w:t>
            </w:r>
            <w:proofErr w:type="gramStart"/>
            <w:r>
              <w:rPr>
                <w:rFonts w:ascii="Calibri" w:hAnsi="Calibri" w:cs="Calibri"/>
                <w:sz w:val="22"/>
              </w:rPr>
              <w:t>layer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is 1, PSSCH data part </w:t>
            </w:r>
            <w:r>
              <w:rPr>
                <w:rFonts w:ascii="Calibri" w:hAnsi="Calibri" w:cs="Calibri"/>
                <w:sz w:val="22"/>
              </w:rPr>
              <w:lastRenderedPageBreak/>
              <w:t xml:space="preserve">and PSSCH DMRS will be always </w:t>
            </w:r>
            <w:proofErr w:type="spellStart"/>
            <w:r>
              <w:rPr>
                <w:rFonts w:ascii="Calibri" w:hAnsi="Calibri" w:cs="Calibri"/>
                <w:sz w:val="22"/>
              </w:rPr>
              <w:t>FDMed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so following assumption is not needed: </w:t>
            </w:r>
          </w:p>
          <w:p w14:paraId="7EA8D57D" w14:textId="33CA75E5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 w:rsidRPr="0048482F">
              <w:rPr>
                <w:color w:val="000000"/>
              </w:rPr>
              <w:t>-</w:t>
            </w:r>
            <w:r w:rsidRPr="0048482F">
              <w:rPr>
                <w:color w:val="000000"/>
              </w:rPr>
              <w:tab/>
              <w:t>Assume the PDSCH symbols are not containing DM-RS.</w:t>
            </w:r>
          </w:p>
        </w:tc>
      </w:tr>
      <w:tr w:rsidR="00206F92" w14:paraId="7F310D19" w14:textId="77777777" w:rsidTr="008A6EA1">
        <w:tc>
          <w:tcPr>
            <w:tcW w:w="1226" w:type="dxa"/>
          </w:tcPr>
          <w:p w14:paraId="5270E95D" w14:textId="3485682B" w:rsidR="00206F92" w:rsidRDefault="007C69D7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lastRenderedPageBreak/>
              <w:t>Nokia, NSB</w:t>
            </w:r>
          </w:p>
        </w:tc>
        <w:tc>
          <w:tcPr>
            <w:tcW w:w="1463" w:type="dxa"/>
          </w:tcPr>
          <w:p w14:paraId="50B57EA8" w14:textId="66821885" w:rsidR="00206F92" w:rsidRDefault="007C69D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DC8E61F" w14:textId="12132A56" w:rsidR="00206F92" w:rsidRDefault="007C69D7" w:rsidP="007C69D7">
            <w:pPr>
              <w:widowControl/>
              <w:jc w:val="left"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2 provides more dynamic PSSCH DMRS configuration than Option 1. This could provide better CSI measurements for various SL link quality.</w:t>
            </w:r>
          </w:p>
        </w:tc>
      </w:tr>
      <w:tr w:rsidR="00206F92" w14:paraId="09EA5F64" w14:textId="77777777" w:rsidTr="008A6EA1">
        <w:tc>
          <w:tcPr>
            <w:tcW w:w="1226" w:type="dxa"/>
          </w:tcPr>
          <w:p w14:paraId="0CD69157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1E925D0C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0084FCD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  <w:tr w:rsidR="00206F92" w14:paraId="780F58FA" w14:textId="77777777" w:rsidTr="008A6EA1">
        <w:tc>
          <w:tcPr>
            <w:tcW w:w="1226" w:type="dxa"/>
          </w:tcPr>
          <w:p w14:paraId="1F5DBFD0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  <w:tc>
          <w:tcPr>
            <w:tcW w:w="1463" w:type="dxa"/>
          </w:tcPr>
          <w:p w14:paraId="6A944CD3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5438AE" w14:textId="77777777" w:rsidR="00206F92" w:rsidRDefault="00206F92" w:rsidP="00206F92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</w:p>
        </w:tc>
      </w:tr>
    </w:tbl>
    <w:p w14:paraId="7C5A282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9C330B8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Q8: Do you think there are other aspects RAN1 needs to consider in defining assumptions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resource?</w:t>
      </w:r>
    </w:p>
    <w:p w14:paraId="4030C08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268FD4" w14:textId="77777777" w:rsidTr="008A6EA1">
        <w:tc>
          <w:tcPr>
            <w:tcW w:w="1226" w:type="dxa"/>
          </w:tcPr>
          <w:p w14:paraId="295627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9447E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B176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285EB280" w14:textId="77777777" w:rsidTr="008A6EA1">
        <w:tc>
          <w:tcPr>
            <w:tcW w:w="1226" w:type="dxa"/>
          </w:tcPr>
          <w:p w14:paraId="4468823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8578B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864DA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743A8C70" w14:textId="77777777" w:rsidTr="008A6EA1">
        <w:tc>
          <w:tcPr>
            <w:tcW w:w="1226" w:type="dxa"/>
          </w:tcPr>
          <w:p w14:paraId="53F2AB5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1FA5314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F61565A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assumption on precoding matrix needs specifying, as in the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reference resource definition.</w:t>
            </w:r>
          </w:p>
        </w:tc>
      </w:tr>
      <w:tr w:rsidR="006A6528" w14:paraId="543CA979" w14:textId="77777777" w:rsidTr="008A6EA1">
        <w:tc>
          <w:tcPr>
            <w:tcW w:w="1226" w:type="dxa"/>
          </w:tcPr>
          <w:p w14:paraId="052AAB6A" w14:textId="359A6C6C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FEA5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1C141E" w14:textId="4ECF1565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Huawei/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  <w:r w:rsidR="00887350">
              <w:rPr>
                <w:rFonts w:ascii="Calibri" w:hAnsi="Calibri" w:cs="Calibri"/>
                <w:sz w:val="22"/>
              </w:rPr>
              <w:t xml:space="preserve"> regarding the precoder</w:t>
            </w:r>
          </w:p>
        </w:tc>
      </w:tr>
      <w:tr w:rsidR="006A6528" w14:paraId="5DCF54BA" w14:textId="77777777" w:rsidTr="008A6EA1">
        <w:tc>
          <w:tcPr>
            <w:tcW w:w="1226" w:type="dxa"/>
          </w:tcPr>
          <w:p w14:paraId="363E7A59" w14:textId="55D40AC6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5E877AF" w14:textId="46A4FC2A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24435C4" w14:textId="70364482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6A6528" w14:paraId="1AD148DE" w14:textId="77777777" w:rsidTr="008A6EA1">
        <w:tc>
          <w:tcPr>
            <w:tcW w:w="1226" w:type="dxa"/>
          </w:tcPr>
          <w:p w14:paraId="75F24A12" w14:textId="3565DE98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6B1080F5" w14:textId="47EF708F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Yes</w:t>
            </w:r>
          </w:p>
        </w:tc>
        <w:tc>
          <w:tcPr>
            <w:tcW w:w="6327" w:type="dxa"/>
          </w:tcPr>
          <w:p w14:paraId="733030E9" w14:textId="080E2942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7F180A" w14:paraId="2CEF3081" w14:textId="77777777" w:rsidTr="008A6EA1">
        <w:tc>
          <w:tcPr>
            <w:tcW w:w="1226" w:type="dxa"/>
          </w:tcPr>
          <w:p w14:paraId="69E5279D" w14:textId="63C27343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172DB05E" w14:textId="35CCD032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4ED3C311" w14:textId="5C454E08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Assumption for the PSSCH power to NZP CSI-RS power needs to be specified as well</w:t>
            </w:r>
            <w:r w:rsidR="00655044">
              <w:rPr>
                <w:rFonts w:ascii="Calibri" w:hAnsi="Calibri" w:cs="Calibri"/>
                <w:sz w:val="22"/>
              </w:rPr>
              <w:t>.</w:t>
            </w:r>
          </w:p>
        </w:tc>
      </w:tr>
      <w:tr w:rsidR="00206F92" w14:paraId="40CAFC15" w14:textId="77777777" w:rsidTr="008A6EA1">
        <w:tc>
          <w:tcPr>
            <w:tcW w:w="1226" w:type="dxa"/>
          </w:tcPr>
          <w:p w14:paraId="6F2489B8" w14:textId="2C13BC48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LG Ele</w:t>
            </w:r>
            <w:r>
              <w:rPr>
                <w:rFonts w:ascii="Calibri" w:hAnsi="Calibri" w:cs="Calibri"/>
                <w:sz w:val="22"/>
              </w:rPr>
              <w:t>ctronics</w:t>
            </w:r>
          </w:p>
        </w:tc>
        <w:tc>
          <w:tcPr>
            <w:tcW w:w="1463" w:type="dxa"/>
          </w:tcPr>
          <w:p w14:paraId="67C45546" w14:textId="0C2ADADE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No</w:t>
            </w:r>
            <w:r>
              <w:rPr>
                <w:rFonts w:ascii="Calibri" w:hAnsi="Calibri" w:cs="Calibri"/>
                <w:sz w:val="22"/>
              </w:rPr>
              <w:t>t necessary</w:t>
            </w:r>
          </w:p>
        </w:tc>
        <w:tc>
          <w:tcPr>
            <w:tcW w:w="6327" w:type="dxa"/>
          </w:tcPr>
          <w:p w14:paraId="72083AF7" w14:textId="631B3FC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NR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already supports only identity matrix for precoding matrix. In addition, wideband precoding for PSSCH is only option for NR </w:t>
            </w:r>
            <w:proofErr w:type="spellStart"/>
            <w:r>
              <w:rPr>
                <w:rFonts w:ascii="Calibri" w:hAnsi="Calibri" w:cs="Calibri"/>
                <w:sz w:val="22"/>
              </w:rPr>
              <w:t>sidelink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For clarification, we are fine to have it as in Q1. </w:t>
            </w:r>
          </w:p>
        </w:tc>
      </w:tr>
      <w:tr w:rsidR="00206F92" w14:paraId="3F624E01" w14:textId="77777777" w:rsidTr="008A6EA1">
        <w:tc>
          <w:tcPr>
            <w:tcW w:w="1226" w:type="dxa"/>
          </w:tcPr>
          <w:p w14:paraId="137B6E6E" w14:textId="40800560" w:rsidR="00206F92" w:rsidRDefault="00EB57A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Nokia, NSB</w:t>
            </w:r>
          </w:p>
        </w:tc>
        <w:tc>
          <w:tcPr>
            <w:tcW w:w="1463" w:type="dxa"/>
          </w:tcPr>
          <w:p w14:paraId="01482D88" w14:textId="5333A310" w:rsidR="00206F92" w:rsidRDefault="00EB57A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49077D64" w14:textId="658769B4" w:rsidR="00206F92" w:rsidRDefault="00EB57A7" w:rsidP="00206F92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Precoding, even we only have up to 2Tx.</w:t>
            </w:r>
            <w:bookmarkStart w:id="0" w:name="_GoBack"/>
            <w:bookmarkEnd w:id="0"/>
          </w:p>
        </w:tc>
      </w:tr>
      <w:tr w:rsidR="00206F92" w14:paraId="5AC84F3F" w14:textId="77777777" w:rsidTr="008A6EA1">
        <w:tc>
          <w:tcPr>
            <w:tcW w:w="1226" w:type="dxa"/>
          </w:tcPr>
          <w:p w14:paraId="1E1B334D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8BC7D3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7D9BA1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06F92" w14:paraId="7D51C5E3" w14:textId="77777777" w:rsidTr="008A6EA1">
        <w:tc>
          <w:tcPr>
            <w:tcW w:w="1226" w:type="dxa"/>
          </w:tcPr>
          <w:p w14:paraId="297523E3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EE8712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2C07B95" w14:textId="77777777" w:rsidR="00206F92" w:rsidRDefault="00206F92" w:rsidP="00206F92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635904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 w:rsidSect="000D6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A8C7" w14:textId="77777777" w:rsidR="0058018B" w:rsidRDefault="0058018B" w:rsidP="00590E43">
      <w:r>
        <w:separator/>
      </w:r>
    </w:p>
  </w:endnote>
  <w:endnote w:type="continuationSeparator" w:id="0">
    <w:p w14:paraId="48680EB0" w14:textId="77777777" w:rsidR="0058018B" w:rsidRDefault="0058018B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F053B" w14:textId="77777777" w:rsidR="0058018B" w:rsidRDefault="0058018B" w:rsidP="00590E43">
      <w:r>
        <w:separator/>
      </w:r>
    </w:p>
  </w:footnote>
  <w:footnote w:type="continuationSeparator" w:id="0">
    <w:p w14:paraId="1B4664EB" w14:textId="77777777" w:rsidR="0058018B" w:rsidRDefault="0058018B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33828"/>
    <w:rsid w:val="00057D0C"/>
    <w:rsid w:val="00096C98"/>
    <w:rsid w:val="000A2334"/>
    <w:rsid w:val="000A51CD"/>
    <w:rsid w:val="000B2934"/>
    <w:rsid w:val="000D6626"/>
    <w:rsid w:val="000E2E71"/>
    <w:rsid w:val="000F3F44"/>
    <w:rsid w:val="00107338"/>
    <w:rsid w:val="001127C3"/>
    <w:rsid w:val="00135B8D"/>
    <w:rsid w:val="00157B27"/>
    <w:rsid w:val="001D7FAB"/>
    <w:rsid w:val="00206F92"/>
    <w:rsid w:val="00213705"/>
    <w:rsid w:val="002429AB"/>
    <w:rsid w:val="0029261C"/>
    <w:rsid w:val="002B5263"/>
    <w:rsid w:val="002E2C00"/>
    <w:rsid w:val="00311A9A"/>
    <w:rsid w:val="003312D3"/>
    <w:rsid w:val="00362458"/>
    <w:rsid w:val="00394919"/>
    <w:rsid w:val="003A51D5"/>
    <w:rsid w:val="003C0571"/>
    <w:rsid w:val="003C14A6"/>
    <w:rsid w:val="003D0598"/>
    <w:rsid w:val="003D276E"/>
    <w:rsid w:val="00404206"/>
    <w:rsid w:val="00420472"/>
    <w:rsid w:val="00437B27"/>
    <w:rsid w:val="00442AE9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018B"/>
    <w:rsid w:val="005818BD"/>
    <w:rsid w:val="005856FC"/>
    <w:rsid w:val="00590E43"/>
    <w:rsid w:val="005A0CE5"/>
    <w:rsid w:val="005A3863"/>
    <w:rsid w:val="005C699C"/>
    <w:rsid w:val="00655044"/>
    <w:rsid w:val="00661F36"/>
    <w:rsid w:val="006A070C"/>
    <w:rsid w:val="006A6528"/>
    <w:rsid w:val="00701ACC"/>
    <w:rsid w:val="00733B65"/>
    <w:rsid w:val="0075324F"/>
    <w:rsid w:val="00765D9B"/>
    <w:rsid w:val="007A133E"/>
    <w:rsid w:val="007A3033"/>
    <w:rsid w:val="007C69D7"/>
    <w:rsid w:val="007E0E3F"/>
    <w:rsid w:val="007E5FAE"/>
    <w:rsid w:val="007F180A"/>
    <w:rsid w:val="007F40DC"/>
    <w:rsid w:val="00831DCB"/>
    <w:rsid w:val="00863038"/>
    <w:rsid w:val="008815FE"/>
    <w:rsid w:val="00887350"/>
    <w:rsid w:val="008B1D31"/>
    <w:rsid w:val="008C11B8"/>
    <w:rsid w:val="008D6C72"/>
    <w:rsid w:val="009127E7"/>
    <w:rsid w:val="00920787"/>
    <w:rsid w:val="009211D0"/>
    <w:rsid w:val="0096668D"/>
    <w:rsid w:val="00986389"/>
    <w:rsid w:val="00994122"/>
    <w:rsid w:val="00997CE3"/>
    <w:rsid w:val="009A0D76"/>
    <w:rsid w:val="009F088D"/>
    <w:rsid w:val="009F4838"/>
    <w:rsid w:val="00A020F1"/>
    <w:rsid w:val="00A240C0"/>
    <w:rsid w:val="00A36524"/>
    <w:rsid w:val="00AC407A"/>
    <w:rsid w:val="00B16FB4"/>
    <w:rsid w:val="00B21DD8"/>
    <w:rsid w:val="00B63AF7"/>
    <w:rsid w:val="00B7389E"/>
    <w:rsid w:val="00B93AD9"/>
    <w:rsid w:val="00BC5859"/>
    <w:rsid w:val="00C83960"/>
    <w:rsid w:val="00C92431"/>
    <w:rsid w:val="00CA1DD2"/>
    <w:rsid w:val="00CB2710"/>
    <w:rsid w:val="00CB772C"/>
    <w:rsid w:val="00CD7567"/>
    <w:rsid w:val="00CE6166"/>
    <w:rsid w:val="00D27FB1"/>
    <w:rsid w:val="00D3711A"/>
    <w:rsid w:val="00D65DC9"/>
    <w:rsid w:val="00D86BC2"/>
    <w:rsid w:val="00E52A1B"/>
    <w:rsid w:val="00EB4ED8"/>
    <w:rsid w:val="00EB57A7"/>
    <w:rsid w:val="00EE00A2"/>
    <w:rsid w:val="00EE684D"/>
    <w:rsid w:val="00F63212"/>
    <w:rsid w:val="00F836EA"/>
    <w:rsid w:val="00FA72D8"/>
    <w:rsid w:val="00FE488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7827"/>
  <w15:docId w15:val="{90BC705B-FB6F-4EB8-90DB-38C928B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0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0F1"/>
    <w:rPr>
      <w:rFonts w:ascii="Tahoma" w:eastAsia="Batang" w:hAnsi="Tahoma" w:cs="Tahoma"/>
      <w:sz w:val="16"/>
      <w:szCs w:val="16"/>
    </w:rPr>
  </w:style>
  <w:style w:type="paragraph" w:customStyle="1" w:styleId="0Maintext">
    <w:name w:val="0 Main text"/>
    <w:basedOn w:val="Normal"/>
    <w:link w:val="0MaintextChar"/>
    <w:qFormat/>
    <w:rsid w:val="000E2E71"/>
    <w:pPr>
      <w:widowControl/>
      <w:wordWrap/>
      <w:autoSpaceDE/>
      <w:autoSpaceDN/>
      <w:spacing w:before="100" w:beforeAutospacing="1" w:after="100" w:afterAutospacing="1"/>
      <w:ind w:firstLine="360"/>
    </w:pPr>
    <w:rPr>
      <w:rFonts w:ascii="Times New Roman" w:eastAsia="Malgun Gothic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0E2E71"/>
    <w:rPr>
      <w:rFonts w:ascii="Times New Roman" w:eastAsia="Malgun Gothic" w:hAnsi="Times New Roman" w:cs="Batang"/>
      <w:kern w:val="0"/>
      <w:szCs w:val="20"/>
      <w:lang w:val="en-GB" w:eastAsia="en-US"/>
    </w:rPr>
  </w:style>
  <w:style w:type="paragraph" w:customStyle="1" w:styleId="B1">
    <w:name w:val="B1"/>
    <w:basedOn w:val="Normal"/>
    <w:link w:val="B1Zchn"/>
    <w:qFormat/>
    <w:rsid w:val="00206F92"/>
    <w:pPr>
      <w:widowControl/>
      <w:wordWrap/>
      <w:autoSpaceDE/>
      <w:autoSpaceDN/>
      <w:spacing w:after="180"/>
      <w:ind w:left="568" w:hanging="284"/>
      <w:jc w:val="left"/>
    </w:pPr>
    <w:rPr>
      <w:rFonts w:ascii="Times New Roman" w:eastAsia="SimSu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206F92"/>
    <w:rPr>
      <w:rFonts w:ascii="Times New Roman" w:eastAsia="SimSun" w:hAnsi="Times New Roman" w:cs="Times New Roman"/>
      <w:kern w:val="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Tan, Jun (Nokia - US/Naperville)</cp:lastModifiedBy>
  <cp:revision>7</cp:revision>
  <dcterms:created xsi:type="dcterms:W3CDTF">2020-08-18T03:21:00Z</dcterms:created>
  <dcterms:modified xsi:type="dcterms:W3CDTF">2020-08-19T01:31:00Z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D:\3GPPMeeting102-e\PHY procedure\SL PHY procedure thread #02 v008_Intel_FTW.docx</vt:lpwstr>
  </property>
</Properties>
</file>