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EEB84" w14:textId="665EE61A"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1B2716">
        <w:rPr>
          <w:rFonts w:ascii="Arial" w:hAnsi="Arial" w:cs="Arial"/>
          <w:b/>
          <w:kern w:val="2"/>
          <w:lang w:eastAsia="zh-CN"/>
        </w:rPr>
        <w:t>10</w:t>
      </w:r>
      <w:r w:rsidR="001C599F">
        <w:rPr>
          <w:rFonts w:ascii="Arial" w:hAnsi="Arial" w:cs="Arial"/>
          <w:b/>
          <w:kern w:val="2"/>
          <w:lang w:eastAsia="zh-CN"/>
        </w:rPr>
        <w:t>2</w:t>
      </w:r>
      <w:r w:rsidR="000D0659">
        <w:rPr>
          <w:rFonts w:ascii="Arial" w:hAnsi="Arial" w:cs="Arial"/>
          <w:b/>
          <w:kern w:val="2"/>
          <w:lang w:eastAsia="zh-CN"/>
        </w:rPr>
        <w:t>-</w:t>
      </w:r>
      <w:r w:rsidR="001C599F">
        <w:rPr>
          <w:rFonts w:ascii="Arial" w:hAnsi="Arial" w:cs="Arial"/>
          <w:b/>
          <w:kern w:val="2"/>
          <w:lang w:eastAsia="zh-CN"/>
        </w:rPr>
        <w:t>e</w:t>
      </w:r>
      <w:r w:rsidR="00972929" w:rsidRPr="00D74B92">
        <w:rPr>
          <w:rFonts w:ascii="Arial" w:hAnsi="Arial" w:cs="Arial"/>
          <w:b/>
          <w:kern w:val="2"/>
          <w:lang w:eastAsia="zh-CN"/>
        </w:rPr>
        <w:tab/>
      </w:r>
      <w:r w:rsidR="00685FD4" w:rsidRPr="00D74B92">
        <w:rPr>
          <w:rFonts w:ascii="Arial" w:hAnsi="Arial" w:cs="Arial"/>
          <w:b/>
          <w:kern w:val="2"/>
          <w:lang w:eastAsia="zh-CN"/>
        </w:rPr>
        <w:t>R</w:t>
      </w:r>
      <w:r w:rsidR="00FF2E73" w:rsidRPr="00D74B92">
        <w:rPr>
          <w:rFonts w:ascii="Arial" w:hAnsi="Arial" w:cs="Arial"/>
          <w:b/>
          <w:kern w:val="2"/>
          <w:lang w:eastAsia="zh-CN"/>
        </w:rPr>
        <w:t>1</w:t>
      </w:r>
      <w:r w:rsidR="009C0564" w:rsidRPr="00D74B92">
        <w:rPr>
          <w:rFonts w:ascii="Arial" w:hAnsi="Arial" w:cs="Arial"/>
          <w:b/>
          <w:kern w:val="2"/>
          <w:lang w:eastAsia="zh-CN"/>
        </w:rPr>
        <w:t>-</w:t>
      </w:r>
      <w:r w:rsidR="001B2716">
        <w:rPr>
          <w:rFonts w:ascii="Arial" w:hAnsi="Arial" w:cs="Arial"/>
          <w:b/>
          <w:kern w:val="2"/>
          <w:lang w:eastAsia="zh-CN"/>
        </w:rPr>
        <w:t>20</w:t>
      </w:r>
      <w:r w:rsidR="007A02A2">
        <w:rPr>
          <w:rFonts w:ascii="Arial" w:hAnsi="Arial" w:cs="Arial"/>
          <w:b/>
          <w:kern w:val="2"/>
          <w:lang w:eastAsia="zh-CN"/>
        </w:rPr>
        <w:t>0</w:t>
      </w:r>
      <w:r w:rsidR="00C37F9B">
        <w:rPr>
          <w:rFonts w:ascii="Arial" w:hAnsi="Arial" w:cs="Arial"/>
          <w:b/>
          <w:kern w:val="2"/>
          <w:lang w:eastAsia="zh-CN"/>
        </w:rPr>
        <w:t>5283</w:t>
      </w:r>
    </w:p>
    <w:p w14:paraId="2A9D85E6" w14:textId="4AD677CB" w:rsidR="009C0564" w:rsidRPr="007F5EC6" w:rsidRDefault="00113C9C" w:rsidP="00DA0712">
      <w:pPr>
        <w:jc w:val="left"/>
        <w:rPr>
          <w:rFonts w:ascii="Arial" w:hAnsi="Arial" w:cs="Arial"/>
          <w:b/>
          <w:kern w:val="2"/>
          <w:lang w:eastAsia="zh-CN"/>
        </w:rPr>
      </w:pPr>
      <w:r>
        <w:rPr>
          <w:rFonts w:ascii="Arial" w:hAnsi="Arial" w:cs="Arial"/>
          <w:b/>
          <w:kern w:val="2"/>
          <w:lang w:eastAsia="zh-CN"/>
        </w:rPr>
        <w:t xml:space="preserve">e-Meeting, </w:t>
      </w:r>
      <w:r w:rsidR="001C599F">
        <w:rPr>
          <w:rFonts w:ascii="Arial" w:hAnsi="Arial" w:cs="Arial"/>
          <w:b/>
          <w:kern w:val="2"/>
          <w:lang w:eastAsia="zh-CN"/>
        </w:rPr>
        <w:t>August 17-28</w:t>
      </w:r>
      <w:r>
        <w:rPr>
          <w:rFonts w:ascii="Arial" w:hAnsi="Arial" w:cs="Arial"/>
          <w:b/>
          <w:kern w:val="2"/>
          <w:lang w:eastAsia="zh-CN"/>
        </w:rPr>
        <w:t xml:space="preserve">, </w:t>
      </w:r>
      <w:r w:rsidR="00E07679" w:rsidRPr="00D74B92">
        <w:rPr>
          <w:rFonts w:ascii="Arial" w:hAnsi="Arial" w:cs="Arial"/>
          <w:b/>
          <w:kern w:val="2"/>
          <w:lang w:eastAsia="zh-CN"/>
        </w:rPr>
        <w:t>20</w:t>
      </w:r>
      <w:r w:rsidR="001B2716">
        <w:rPr>
          <w:rFonts w:ascii="Arial" w:hAnsi="Arial" w:cs="Arial"/>
          <w:b/>
          <w:kern w:val="2"/>
          <w:lang w:eastAsia="zh-CN"/>
        </w:rPr>
        <w:t>20</w:t>
      </w:r>
    </w:p>
    <w:p w14:paraId="7826937B" w14:textId="6CFE6A88" w:rsidR="009C0564" w:rsidRPr="00D74B92" w:rsidRDefault="009C0564" w:rsidP="00633878">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B4A48">
        <w:rPr>
          <w:rFonts w:ascii="Arial" w:hAnsi="Arial" w:cs="Arial"/>
          <w:b/>
          <w:lang w:eastAsia="zh-CN"/>
        </w:rPr>
        <w:t>8.</w:t>
      </w:r>
      <w:r w:rsidR="00633878">
        <w:rPr>
          <w:rFonts w:ascii="Arial" w:hAnsi="Arial" w:cs="Arial"/>
          <w:b/>
          <w:lang w:eastAsia="zh-CN"/>
        </w:rPr>
        <w:t>5</w:t>
      </w:r>
      <w:r w:rsidR="00CB4A48">
        <w:rPr>
          <w:rFonts w:ascii="Arial" w:hAnsi="Arial" w:cs="Arial"/>
          <w:b/>
          <w:lang w:eastAsia="zh-CN"/>
        </w:rPr>
        <w:t>.1</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1B220964" w14:textId="77777777" w:rsidR="001C599F"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1C599F" w:rsidRPr="001C599F">
        <w:rPr>
          <w:rFonts w:ascii="Arial" w:hAnsi="Arial" w:cs="Arial"/>
          <w:b/>
          <w:lang w:eastAsia="zh-CN"/>
        </w:rPr>
        <w:t>Remaining Issues on Evaluation Assumptions</w:t>
      </w:r>
    </w:p>
    <w:p w14:paraId="62BCD72B" w14:textId="787AD3F3"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47F9B" w14:textId="3285DFBC" w:rsidR="00AE3CF4" w:rsidRPr="009D675A" w:rsidRDefault="001C5EEC" w:rsidP="00CB4A48">
      <w:pPr>
        <w:spacing w:beforeLines="50" w:before="120"/>
      </w:pPr>
      <w:bookmarkStart w:id="2" w:name="_Hlk46823115"/>
      <w:r>
        <w:rPr>
          <w:lang w:val="en-GB"/>
        </w:rPr>
        <w:t xml:space="preserve">In </w:t>
      </w:r>
      <w:r w:rsidR="00AE3CF4" w:rsidRPr="009B1429">
        <w:rPr>
          <w:lang w:val="en-GB"/>
        </w:rPr>
        <w:t xml:space="preserve">RAN1#101-e, the </w:t>
      </w:r>
      <w:proofErr w:type="spellStart"/>
      <w:r w:rsidR="00AE3CF4" w:rsidRPr="008102BA">
        <w:rPr>
          <w:lang w:val="en-GB"/>
        </w:rPr>
        <w:t>InF</w:t>
      </w:r>
      <w:proofErr w:type="spellEnd"/>
      <w:r w:rsidR="00AE3CF4" w:rsidRPr="008102BA">
        <w:rPr>
          <w:lang w:val="en-GB"/>
        </w:rPr>
        <w:t xml:space="preserve">-SH and </w:t>
      </w:r>
      <w:proofErr w:type="spellStart"/>
      <w:r w:rsidR="00AE3CF4" w:rsidRPr="008102BA">
        <w:rPr>
          <w:lang w:val="en-GB"/>
        </w:rPr>
        <w:t>InF</w:t>
      </w:r>
      <w:proofErr w:type="spellEnd"/>
      <w:r w:rsidR="00AE3CF4" w:rsidRPr="008102BA">
        <w:rPr>
          <w:lang w:val="en-GB"/>
        </w:rPr>
        <w:t xml:space="preserve">-DH </w:t>
      </w:r>
      <w:r w:rsidR="00AE3CF4" w:rsidRPr="009D675A">
        <w:rPr>
          <w:lang w:val="en-GB"/>
        </w:rPr>
        <w:t xml:space="preserve">have been agreed </w:t>
      </w:r>
      <w:r w:rsidR="00945EDF" w:rsidRPr="009D675A">
        <w:rPr>
          <w:lang w:val="en-GB"/>
        </w:rPr>
        <w:t xml:space="preserve">as </w:t>
      </w:r>
      <w:r w:rsidR="00AE3CF4" w:rsidRPr="009D675A">
        <w:rPr>
          <w:lang w:val="en-GB"/>
        </w:rPr>
        <w:t xml:space="preserve">the baseline </w:t>
      </w:r>
      <w:r>
        <w:rPr>
          <w:lang w:val="en-GB"/>
        </w:rPr>
        <w:t xml:space="preserve">IIOT </w:t>
      </w:r>
      <w:r w:rsidR="00AE3CF4" w:rsidRPr="009D675A">
        <w:rPr>
          <w:lang w:val="en-GB"/>
        </w:rPr>
        <w:t xml:space="preserve">scenarios for the purpose of </w:t>
      </w:r>
      <w:r w:rsidR="00AE3CF4" w:rsidRPr="009D675A">
        <w:t xml:space="preserve">defining the </w:t>
      </w:r>
      <w:r w:rsidR="00E24C75">
        <w:t xml:space="preserve">associated </w:t>
      </w:r>
      <w:r w:rsidR="00AE3CF4" w:rsidRPr="009D675A">
        <w:t xml:space="preserve">channel models, parameters and modelling techniques </w:t>
      </w:r>
      <w:r w:rsidR="00E24C75">
        <w:t xml:space="preserve">needed to perform </w:t>
      </w:r>
      <w:r w:rsidR="00AE3CF4" w:rsidRPr="009D675A">
        <w:t xml:space="preserve">the </w:t>
      </w:r>
      <w:r w:rsidR="00E24C75">
        <w:t xml:space="preserve">studies and positioning </w:t>
      </w:r>
      <w:r w:rsidR="00AE3CF4" w:rsidRPr="009D675A">
        <w:t>performance evaluations</w:t>
      </w:r>
      <w:r w:rsidR="009D675A" w:rsidRPr="009D675A">
        <w:t xml:space="preserve"> [1]</w:t>
      </w:r>
      <w:r w:rsidR="006E093F">
        <w:t xml:space="preserve"> [2]</w:t>
      </w:r>
      <w:r w:rsidR="00AE3CF4" w:rsidRPr="009D675A">
        <w:t>. A</w:t>
      </w:r>
      <w:r w:rsidR="00945EDF" w:rsidRPr="009D675A">
        <w:t xml:space="preserve"> summary o</w:t>
      </w:r>
      <w:r w:rsidR="00AE3CF4" w:rsidRPr="009D675A">
        <w:t xml:space="preserve">f the </w:t>
      </w:r>
      <w:r w:rsidR="00F64338" w:rsidRPr="009D675A">
        <w:t xml:space="preserve">essential </w:t>
      </w:r>
      <w:r w:rsidR="00AE3CF4" w:rsidRPr="009D675A">
        <w:t>agree</w:t>
      </w:r>
      <w:r w:rsidR="009B1429" w:rsidRPr="009D675A">
        <w:t xml:space="preserve">ments </w:t>
      </w:r>
      <w:r w:rsidR="00945EDF" w:rsidRPr="009D675A">
        <w:t xml:space="preserve">is given below. </w:t>
      </w:r>
      <w:r w:rsidR="009B1429" w:rsidRPr="009D675A">
        <w:t xml:space="preserve"> </w:t>
      </w:r>
    </w:p>
    <w:p w14:paraId="362DC347" w14:textId="635E8BB8" w:rsidR="00BC3779" w:rsidRPr="009D675A" w:rsidRDefault="00BC3779" w:rsidP="00FD023D">
      <w:pPr>
        <w:pStyle w:val="ListParagraph"/>
        <w:numPr>
          <w:ilvl w:val="0"/>
          <w:numId w:val="13"/>
        </w:numPr>
        <w:spacing w:beforeLines="50" w:before="120"/>
        <w:rPr>
          <w:rFonts w:ascii="Times New Roman" w:hAnsi="Times New Roman"/>
          <w:bCs/>
          <w:lang w:eastAsia="x-none"/>
        </w:rPr>
      </w:pPr>
      <w:r w:rsidRPr="009D675A">
        <w:rPr>
          <w:rFonts w:ascii="Times New Roman" w:hAnsi="Times New Roman"/>
          <w:bCs/>
        </w:rPr>
        <w:t>Common parameters for specific and common for all scenarios for both FR1 and FR2</w:t>
      </w:r>
      <w:r w:rsidR="002C3550" w:rsidRPr="009D675A">
        <w:rPr>
          <w:rFonts w:ascii="Times New Roman" w:hAnsi="Times New Roman"/>
          <w:bCs/>
        </w:rPr>
        <w:t>.</w:t>
      </w:r>
    </w:p>
    <w:p w14:paraId="17610310" w14:textId="77777777" w:rsidR="00945EDF" w:rsidRPr="009D675A" w:rsidRDefault="00BC3779" w:rsidP="008712DA">
      <w:pPr>
        <w:pStyle w:val="ListParagraph"/>
        <w:numPr>
          <w:ilvl w:val="0"/>
          <w:numId w:val="13"/>
        </w:numPr>
        <w:rPr>
          <w:rFonts w:ascii="Times New Roman" w:hAnsi="Times New Roman"/>
          <w:lang w:eastAsia="x-none"/>
        </w:rPr>
      </w:pPr>
      <w:r w:rsidRPr="008102BA">
        <w:rPr>
          <w:rFonts w:ascii="Times New Roman" w:hAnsi="Times New Roman"/>
          <w:lang w:eastAsia="x-none"/>
        </w:rPr>
        <w:t>Absolute-time-of arrival model</w:t>
      </w:r>
      <w:r w:rsidRPr="009D675A">
        <w:rPr>
          <w:rFonts w:ascii="Times New Roman" w:hAnsi="Times New Roman"/>
          <w:lang w:eastAsia="x-none"/>
        </w:rPr>
        <w:t xml:space="preserve"> </w:t>
      </w:r>
      <w:r w:rsidR="00945EDF" w:rsidRPr="009D675A">
        <w:rPr>
          <w:rFonts w:ascii="Times New Roman" w:hAnsi="Times New Roman"/>
          <w:lang w:eastAsia="x-none"/>
        </w:rPr>
        <w:t xml:space="preserve">as </w:t>
      </w:r>
      <w:r w:rsidRPr="009D675A">
        <w:rPr>
          <w:rFonts w:ascii="Times New Roman" w:hAnsi="Times New Roman"/>
          <w:lang w:eastAsia="x-none"/>
        </w:rPr>
        <w:t>defined in TR 38.901</w:t>
      </w:r>
      <w:r w:rsidR="00945EDF" w:rsidRPr="009D675A">
        <w:rPr>
          <w:rFonts w:ascii="Times New Roman" w:hAnsi="Times New Roman"/>
          <w:lang w:eastAsia="x-none"/>
        </w:rPr>
        <w:t xml:space="preserve"> is adopted </w:t>
      </w:r>
      <w:r w:rsidRPr="008102BA">
        <w:rPr>
          <w:rFonts w:ascii="Times New Roman" w:hAnsi="Times New Roman"/>
          <w:lang w:eastAsia="x-none"/>
        </w:rPr>
        <w:t>without modification</w:t>
      </w:r>
      <w:r w:rsidR="00945EDF" w:rsidRPr="009D675A">
        <w:rPr>
          <w:rFonts w:ascii="Times New Roman" w:hAnsi="Times New Roman"/>
          <w:lang w:eastAsia="x-none"/>
        </w:rPr>
        <w:t>.</w:t>
      </w:r>
    </w:p>
    <w:p w14:paraId="0A233A6D" w14:textId="77777777" w:rsidR="00F64338" w:rsidRPr="009D675A" w:rsidRDefault="00945EDF" w:rsidP="00F64338">
      <w:pPr>
        <w:pStyle w:val="ListParagraph"/>
        <w:numPr>
          <w:ilvl w:val="0"/>
          <w:numId w:val="13"/>
        </w:numPr>
        <w:spacing w:beforeLines="50" w:before="120" w:after="0"/>
        <w:rPr>
          <w:rFonts w:ascii="Times New Roman" w:hAnsi="Times New Roman"/>
          <w:lang w:eastAsia="x-none"/>
        </w:rPr>
      </w:pPr>
      <w:r w:rsidRPr="009D675A">
        <w:rPr>
          <w:rFonts w:ascii="Times New Roman" w:hAnsi="Times New Roman"/>
          <w:lang w:eastAsia="x-none"/>
        </w:rPr>
        <w:t>T</w:t>
      </w:r>
      <w:r w:rsidR="00BC3779" w:rsidRPr="009D675A">
        <w:rPr>
          <w:rFonts w:ascii="Times New Roman" w:hAnsi="Times New Roman"/>
          <w:lang w:eastAsia="x-none"/>
        </w:rPr>
        <w:t xml:space="preserve">he blockage model </w:t>
      </w:r>
      <w:r w:rsidRPr="009D675A">
        <w:rPr>
          <w:rFonts w:ascii="Times New Roman" w:hAnsi="Times New Roman"/>
          <w:lang w:eastAsia="x-none"/>
        </w:rPr>
        <w:t xml:space="preserve">as defined in TR 38.901 will not be </w:t>
      </w:r>
      <w:r w:rsidR="00BC3779" w:rsidRPr="009D675A">
        <w:rPr>
          <w:rFonts w:ascii="Times New Roman" w:hAnsi="Times New Roman"/>
          <w:lang w:eastAsia="x-none"/>
        </w:rPr>
        <w:t xml:space="preserve">considered. </w:t>
      </w:r>
    </w:p>
    <w:p w14:paraId="625F0E30" w14:textId="14D6A922" w:rsidR="00F64338" w:rsidRPr="009D675A" w:rsidRDefault="00F64338" w:rsidP="00F64338">
      <w:pPr>
        <w:pStyle w:val="ListParagraph"/>
        <w:numPr>
          <w:ilvl w:val="0"/>
          <w:numId w:val="13"/>
        </w:numPr>
        <w:spacing w:beforeLines="50" w:before="120" w:after="0"/>
        <w:rPr>
          <w:rFonts w:ascii="Times New Roman" w:hAnsi="Times New Roman"/>
          <w:lang w:eastAsia="x-none"/>
        </w:rPr>
      </w:pPr>
      <w:r w:rsidRPr="009D675A">
        <w:rPr>
          <w:rFonts w:ascii="Times New Roman" w:hAnsi="Times New Roman"/>
        </w:rPr>
        <w:t xml:space="preserve">UE antenna height can be uniformly distributed within [0.5, X2] m, where X2 = 2m for </w:t>
      </w:r>
      <w:proofErr w:type="spellStart"/>
      <w:r w:rsidRPr="009D675A">
        <w:rPr>
          <w:rFonts w:ascii="Times New Roman" w:hAnsi="Times New Roman"/>
        </w:rPr>
        <w:t>InF</w:t>
      </w:r>
      <w:proofErr w:type="spellEnd"/>
      <w:r w:rsidRPr="009D675A">
        <w:rPr>
          <w:rFonts w:ascii="Times New Roman" w:hAnsi="Times New Roman"/>
        </w:rPr>
        <w:t>-SH and X2=</w:t>
      </w:r>
      <w:r w:rsidRPr="009D675A">
        <w:rPr>
          <w:rFonts w:ascii="Times New Roman" w:hAnsi="Times New Roman"/>
        </w:rPr>
        <w:fldChar w:fldCharType="begin"/>
      </w:r>
      <w:r w:rsidRPr="009D675A">
        <w:rPr>
          <w:rFonts w:ascii="Times New Roman" w:hAnsi="Times New Roman"/>
        </w:rPr>
        <w:instrText xml:space="preserve"> QUOTE </w:instrText>
      </w:r>
      <w:r w:rsidR="000D2746">
        <w:rPr>
          <w:rFonts w:ascii="Times New Roman" w:hAnsi="Times New Roman"/>
          <w:position w:val="-4"/>
        </w:rPr>
        <w:pict w14:anchorId="238FD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5pt;height:9.5pt" equationxml="&lt;">
            <v:imagedata r:id="rId8" o:title="" chromakey="white"/>
          </v:shape>
        </w:pict>
      </w:r>
      <w:r w:rsidRPr="009D675A">
        <w:rPr>
          <w:rFonts w:ascii="Times New Roman" w:hAnsi="Times New Roman"/>
        </w:rPr>
        <w:instrText xml:space="preserve"> </w:instrText>
      </w:r>
      <w:r w:rsidRPr="009D675A">
        <w:rPr>
          <w:rFonts w:ascii="Times New Roman" w:hAnsi="Times New Roman"/>
        </w:rPr>
        <w:fldChar w:fldCharType="separate"/>
      </w:r>
      <w:r w:rsidR="000D2746">
        <w:rPr>
          <w:rFonts w:ascii="Times New Roman" w:hAnsi="Times New Roman"/>
          <w:position w:val="-4"/>
        </w:rPr>
        <w:pict w14:anchorId="5F6CA627">
          <v:shape id="_x0000_i1026" type="#_x0000_t75" style="width:7.45pt;height:9.5pt" equationxml="&lt;">
            <v:imagedata r:id="rId8" o:title="" chromakey="white"/>
          </v:shape>
        </w:pict>
      </w:r>
      <w:r w:rsidRPr="009D675A">
        <w:rPr>
          <w:rFonts w:ascii="Times New Roman" w:hAnsi="Times New Roman"/>
        </w:rPr>
        <w:fldChar w:fldCharType="end"/>
      </w:r>
      <w:r w:rsidRPr="009D675A">
        <w:rPr>
          <w:rFonts w:ascii="Times New Roman" w:hAnsi="Times New Roman"/>
        </w:rPr>
        <w:t xml:space="preserve"> for </w:t>
      </w:r>
      <w:proofErr w:type="spellStart"/>
      <w:r w:rsidRPr="009D675A">
        <w:rPr>
          <w:rFonts w:ascii="Times New Roman" w:hAnsi="Times New Roman"/>
        </w:rPr>
        <w:t>InF</w:t>
      </w:r>
      <w:proofErr w:type="spellEnd"/>
      <w:r w:rsidRPr="009D675A">
        <w:rPr>
          <w:rFonts w:ascii="Times New Roman" w:hAnsi="Times New Roman"/>
        </w:rPr>
        <w:t xml:space="preserve">-DH. </w:t>
      </w:r>
    </w:p>
    <w:p w14:paraId="73B03774" w14:textId="3F47C636" w:rsidR="00F64338" w:rsidRPr="009D675A" w:rsidRDefault="00F64338" w:rsidP="00F64338">
      <w:pPr>
        <w:pStyle w:val="ListParagraph"/>
        <w:numPr>
          <w:ilvl w:val="0"/>
          <w:numId w:val="13"/>
        </w:numPr>
        <w:spacing w:beforeLines="50" w:before="120" w:after="0"/>
        <w:rPr>
          <w:rFonts w:ascii="Times New Roman" w:hAnsi="Times New Roman"/>
          <w:lang w:eastAsia="x-none"/>
        </w:rPr>
      </w:pPr>
      <w:r w:rsidRPr="009D675A">
        <w:rPr>
          <w:rFonts w:ascii="Times New Roman" w:hAnsi="Times New Roman"/>
        </w:rPr>
        <w:t xml:space="preserve">For evaluating </w:t>
      </w:r>
      <w:r w:rsidRPr="009D675A">
        <w:rPr>
          <w:rFonts w:ascii="Times New Roman" w:eastAsia="Times New Roman" w:hAnsi="Times New Roman"/>
        </w:rPr>
        <w:t>vertical positioning</w:t>
      </w:r>
      <w:r w:rsidRPr="009D675A">
        <w:rPr>
          <w:rFonts w:ascii="Times New Roman" w:hAnsi="Times New Roman"/>
        </w:rPr>
        <w:t xml:space="preserve"> performance, gNB antenna height can also be set to two fixed heights, which is either {4, 8}m, or {</w:t>
      </w:r>
      <w:r w:rsidRPr="009D675A">
        <w:rPr>
          <w:rFonts w:ascii="Times New Roman" w:eastAsia="Times New Roman" w:hAnsi="Times New Roman"/>
        </w:rPr>
        <w:t>max (4,</w:t>
      </w:r>
      <w:r w:rsidRPr="009D675A">
        <w:rPr>
          <w:rFonts w:ascii="Times New Roman" w:hAnsi="Times New Roman"/>
        </w:rPr>
        <w:fldChar w:fldCharType="begin"/>
      </w:r>
      <w:r w:rsidRPr="009D675A">
        <w:rPr>
          <w:rFonts w:ascii="Times New Roman" w:eastAsia="Times New Roman" w:hAnsi="Times New Roman"/>
        </w:rPr>
        <w:instrText xml:space="preserve"> QUOTE </w:instrText>
      </w:r>
      <w:r w:rsidR="000D2746">
        <w:rPr>
          <w:rFonts w:ascii="Times New Roman" w:hAnsi="Times New Roman"/>
          <w:position w:val="-4"/>
        </w:rPr>
        <w:pict w14:anchorId="662F161C">
          <v:shape id="_x0000_i1027" type="#_x0000_t75" style="width:7.45pt;height:9.5pt" equationxml="&lt;">
            <v:imagedata r:id="rId8" o:title="" chromakey="white"/>
          </v:shape>
        </w:pict>
      </w:r>
      <w:r w:rsidRPr="009D675A">
        <w:rPr>
          <w:rFonts w:ascii="Times New Roman" w:eastAsia="Times New Roman" w:hAnsi="Times New Roman"/>
        </w:rPr>
        <w:instrText xml:space="preserve"> </w:instrText>
      </w:r>
      <w:r w:rsidRPr="009D675A">
        <w:rPr>
          <w:rFonts w:ascii="Times New Roman" w:hAnsi="Times New Roman"/>
        </w:rPr>
        <w:fldChar w:fldCharType="separate"/>
      </w:r>
      <w:r w:rsidR="00EF6DA5">
        <w:rPr>
          <w:rFonts w:ascii="Times New Roman" w:hAnsi="Times New Roman"/>
          <w:position w:val="-4"/>
        </w:rPr>
        <w:pict w14:anchorId="37701840">
          <v:shape id="_x0000_i1028" type="#_x0000_t75" style="width:7.45pt;height:9.5pt" equationxml="&lt;">
            <v:imagedata r:id="rId8" o:title="" chromakey="white"/>
          </v:shape>
        </w:pict>
      </w:r>
      <w:r w:rsidRPr="009D675A">
        <w:rPr>
          <w:rFonts w:ascii="Times New Roman" w:hAnsi="Times New Roman"/>
        </w:rPr>
        <w:fldChar w:fldCharType="end"/>
      </w:r>
      <w:r w:rsidRPr="009D675A">
        <w:rPr>
          <w:rFonts w:ascii="Times New Roman" w:eastAsia="Times New Roman" w:hAnsi="Times New Roman"/>
        </w:rPr>
        <w:t>), 8}</w:t>
      </w:r>
      <w:r w:rsidR="009D675A">
        <w:rPr>
          <w:rFonts w:ascii="Times New Roman" w:eastAsia="Times New Roman" w:hAnsi="Times New Roman"/>
        </w:rPr>
        <w:t xml:space="preserve"> </w:t>
      </w:r>
      <w:r w:rsidRPr="009D675A">
        <w:rPr>
          <w:rFonts w:ascii="Times New Roman" w:eastAsia="Times New Roman" w:hAnsi="Times New Roman"/>
        </w:rPr>
        <w:t>m.</w:t>
      </w:r>
    </w:p>
    <w:bookmarkEnd w:id="2"/>
    <w:p w14:paraId="5B181FDC" w14:textId="77777777" w:rsidR="00F64338" w:rsidRPr="009D675A" w:rsidRDefault="00F64338" w:rsidP="00F64338">
      <w:pPr>
        <w:spacing w:beforeLines="50" w:before="120" w:after="0"/>
        <w:rPr>
          <w:lang w:eastAsia="x-none"/>
        </w:rPr>
      </w:pPr>
      <w:r w:rsidRPr="009D675A">
        <w:rPr>
          <w:lang w:eastAsia="x-none"/>
        </w:rPr>
        <w:t xml:space="preserve">For the performance evaluations, it was agreed: </w:t>
      </w:r>
    </w:p>
    <w:p w14:paraId="69D1DA9C" w14:textId="77777777" w:rsidR="00F64338" w:rsidRPr="009D675A" w:rsidRDefault="00F64338" w:rsidP="00F64338">
      <w:pPr>
        <w:pStyle w:val="ListParagraph"/>
        <w:numPr>
          <w:ilvl w:val="0"/>
          <w:numId w:val="13"/>
        </w:numPr>
        <w:spacing w:beforeLines="50" w:before="120" w:after="0"/>
        <w:rPr>
          <w:rFonts w:ascii="Times New Roman" w:hAnsi="Times New Roman"/>
          <w:lang w:eastAsia="x-none"/>
        </w:rPr>
      </w:pPr>
      <w:r w:rsidRPr="009D675A">
        <w:rPr>
          <w:rFonts w:ascii="Times New Roman" w:hAnsi="Times New Roman"/>
          <w:lang w:eastAsia="x-none"/>
        </w:rPr>
        <w:t xml:space="preserve">The CDFs of positioning errors are used as performance metrics in NR positioning evaluation with at least the following percentiles 50%, 67%, 80%, 90%. These CDF values are derived based on the UEs inside the convex hull of the horizontal BS deployment area. Using </w:t>
      </w:r>
      <w:r w:rsidRPr="008102BA">
        <w:rPr>
          <w:rFonts w:ascii="Times New Roman" w:hAnsi="Times New Roman"/>
          <w:lang w:eastAsia="x-none"/>
        </w:rPr>
        <w:t>all the UEs is considered optional</w:t>
      </w:r>
      <w:r w:rsidRPr="009D675A">
        <w:rPr>
          <w:rFonts w:ascii="Times New Roman" w:hAnsi="Times New Roman"/>
          <w:lang w:eastAsia="x-none"/>
        </w:rPr>
        <w:t xml:space="preserve">. </w:t>
      </w:r>
    </w:p>
    <w:p w14:paraId="478B2EC3" w14:textId="427027FF" w:rsidR="00F64338" w:rsidRPr="009D675A" w:rsidRDefault="00F64338" w:rsidP="00F64338">
      <w:pPr>
        <w:pStyle w:val="ListParagraph"/>
        <w:numPr>
          <w:ilvl w:val="0"/>
          <w:numId w:val="13"/>
        </w:numPr>
        <w:spacing w:after="0" w:line="240" w:lineRule="auto"/>
        <w:contextualSpacing w:val="0"/>
        <w:rPr>
          <w:rFonts w:ascii="Times New Roman" w:hAnsi="Times New Roman"/>
          <w:szCs w:val="20"/>
          <w:lang w:eastAsia="zh-CN"/>
        </w:rPr>
      </w:pPr>
      <w:r w:rsidRPr="009D675A">
        <w:rPr>
          <w:rFonts w:ascii="Times New Roman" w:hAnsi="Times New Roman"/>
          <w:szCs w:val="20"/>
          <w:lang w:eastAsia="zh-CN"/>
        </w:rPr>
        <w:t xml:space="preserve">The target positioning requirements for </w:t>
      </w:r>
      <w:r w:rsidRPr="009D675A">
        <w:rPr>
          <w:rFonts w:ascii="Times New Roman" w:hAnsi="Times New Roman"/>
          <w:b/>
          <w:bCs/>
          <w:szCs w:val="20"/>
          <w:lang w:eastAsia="zh-CN"/>
        </w:rPr>
        <w:t>IIoT use cases</w:t>
      </w:r>
      <w:r w:rsidRPr="009D675A">
        <w:rPr>
          <w:rFonts w:ascii="Times New Roman" w:hAnsi="Times New Roman"/>
          <w:szCs w:val="20"/>
          <w:lang w:eastAsia="zh-CN"/>
        </w:rPr>
        <w:t xml:space="preserve"> are:</w:t>
      </w:r>
    </w:p>
    <w:p w14:paraId="764A5909" w14:textId="5ED7EEC3" w:rsidR="00F64338" w:rsidRPr="009D675A" w:rsidRDefault="00F64338" w:rsidP="00DB1006">
      <w:pPr>
        <w:pStyle w:val="ListParagraph"/>
        <w:numPr>
          <w:ilvl w:val="1"/>
          <w:numId w:val="13"/>
        </w:numPr>
        <w:tabs>
          <w:tab w:val="left" w:pos="1004"/>
        </w:tabs>
        <w:spacing w:after="0" w:line="256" w:lineRule="auto"/>
        <w:rPr>
          <w:rFonts w:ascii="Times New Roman" w:hAnsi="Times New Roman"/>
          <w:szCs w:val="20"/>
        </w:rPr>
      </w:pPr>
      <w:r w:rsidRPr="009D675A">
        <w:rPr>
          <w:rFonts w:ascii="Times New Roman" w:hAnsi="Times New Roman"/>
          <w:szCs w:val="20"/>
        </w:rPr>
        <w:t>Horizontal position accuracy (&lt; X m) for [90%] of UEs</w:t>
      </w:r>
      <w:r w:rsidR="00DB1006" w:rsidRPr="009D675A">
        <w:rPr>
          <w:rFonts w:ascii="Times New Roman" w:hAnsi="Times New Roman"/>
          <w:szCs w:val="20"/>
        </w:rPr>
        <w:t xml:space="preserve">: </w:t>
      </w:r>
      <w:r w:rsidRPr="009D675A">
        <w:rPr>
          <w:rFonts w:ascii="Times New Roman" w:hAnsi="Times New Roman"/>
          <w:szCs w:val="20"/>
        </w:rPr>
        <w:t>X = [0.2 or 0.5] m</w:t>
      </w:r>
    </w:p>
    <w:p w14:paraId="3C1EA404" w14:textId="5188B3FC" w:rsidR="00F64338" w:rsidRPr="009D675A" w:rsidRDefault="00F64338" w:rsidP="00DB1006">
      <w:pPr>
        <w:pStyle w:val="ListParagraph"/>
        <w:numPr>
          <w:ilvl w:val="1"/>
          <w:numId w:val="13"/>
        </w:numPr>
        <w:tabs>
          <w:tab w:val="left" w:pos="1004"/>
        </w:tabs>
        <w:spacing w:after="0" w:line="256" w:lineRule="auto"/>
        <w:rPr>
          <w:rFonts w:ascii="Times New Roman" w:hAnsi="Times New Roman"/>
          <w:szCs w:val="20"/>
        </w:rPr>
      </w:pPr>
      <w:r w:rsidRPr="009D675A">
        <w:rPr>
          <w:rFonts w:ascii="Times New Roman" w:hAnsi="Times New Roman"/>
          <w:szCs w:val="20"/>
        </w:rPr>
        <w:t>Vertical position accuracy (&lt; Y m) for [90%] of UEs</w:t>
      </w:r>
      <w:r w:rsidR="00DB1006" w:rsidRPr="009D675A">
        <w:rPr>
          <w:rFonts w:ascii="Times New Roman" w:hAnsi="Times New Roman"/>
          <w:szCs w:val="20"/>
        </w:rPr>
        <w:t xml:space="preserve">: </w:t>
      </w:r>
      <w:r w:rsidRPr="009D675A">
        <w:rPr>
          <w:rFonts w:ascii="Times New Roman" w:hAnsi="Times New Roman"/>
          <w:szCs w:val="20"/>
        </w:rPr>
        <w:t>Y = [0.2 or 1] m</w:t>
      </w:r>
    </w:p>
    <w:p w14:paraId="7E86F1EF" w14:textId="77777777" w:rsidR="00F64338" w:rsidRPr="009D675A" w:rsidRDefault="00F64338" w:rsidP="00F64338">
      <w:pPr>
        <w:pStyle w:val="ListParagraph"/>
        <w:numPr>
          <w:ilvl w:val="1"/>
          <w:numId w:val="13"/>
        </w:numPr>
        <w:tabs>
          <w:tab w:val="left" w:pos="1004"/>
        </w:tabs>
        <w:spacing w:after="0" w:line="256" w:lineRule="auto"/>
        <w:rPr>
          <w:rFonts w:ascii="Times New Roman" w:hAnsi="Times New Roman"/>
          <w:szCs w:val="20"/>
        </w:rPr>
      </w:pPr>
      <w:r w:rsidRPr="009D675A">
        <w:rPr>
          <w:rFonts w:ascii="Times New Roman" w:hAnsi="Times New Roman"/>
          <w:szCs w:val="20"/>
        </w:rPr>
        <w:t>End-to-end latency for position estimation of UE (&lt; [10ms, 20ms, or 100ms])</w:t>
      </w:r>
    </w:p>
    <w:p w14:paraId="19FC5EC7" w14:textId="77777777" w:rsidR="00F64338" w:rsidRPr="009B1429" w:rsidRDefault="00F64338" w:rsidP="00F64338">
      <w:pPr>
        <w:pStyle w:val="ListParagraph"/>
        <w:numPr>
          <w:ilvl w:val="1"/>
          <w:numId w:val="13"/>
        </w:numPr>
        <w:tabs>
          <w:tab w:val="left" w:pos="1004"/>
        </w:tabs>
        <w:spacing w:after="0" w:line="256" w:lineRule="auto"/>
        <w:rPr>
          <w:rFonts w:ascii="Times New Roman" w:hAnsi="Times New Roman"/>
          <w:szCs w:val="20"/>
        </w:rPr>
      </w:pPr>
      <w:r w:rsidRPr="009B1429">
        <w:rPr>
          <w:rFonts w:ascii="Times New Roman" w:hAnsi="Times New Roman"/>
          <w:szCs w:val="20"/>
        </w:rPr>
        <w:t>FFS: Physical layer latency for position estimation of UE (&lt; [10ms])</w:t>
      </w:r>
    </w:p>
    <w:p w14:paraId="01CCC300" w14:textId="77777777" w:rsidR="00F64338" w:rsidRPr="009B1429" w:rsidRDefault="00F64338" w:rsidP="00F64338">
      <w:pPr>
        <w:pStyle w:val="ListParagraph"/>
        <w:numPr>
          <w:ilvl w:val="1"/>
          <w:numId w:val="13"/>
        </w:numPr>
        <w:spacing w:after="0" w:line="240" w:lineRule="auto"/>
        <w:contextualSpacing w:val="0"/>
        <w:rPr>
          <w:rFonts w:ascii="Times New Roman" w:hAnsi="Times New Roman"/>
          <w:szCs w:val="20"/>
        </w:rPr>
      </w:pPr>
      <w:r w:rsidRPr="009B1429">
        <w:rPr>
          <w:rFonts w:ascii="Times New Roman" w:hAnsi="Times New Roman"/>
          <w:szCs w:val="20"/>
          <w:lang w:eastAsia="zh-CN"/>
        </w:rPr>
        <w:t>Note: Target positioning requirements may not necessarily be reached for all scenarios</w:t>
      </w:r>
    </w:p>
    <w:p w14:paraId="27618E26" w14:textId="0C0C6BA8" w:rsidR="00F64338" w:rsidRPr="009B1429" w:rsidRDefault="00F64338" w:rsidP="00F64338">
      <w:pPr>
        <w:pStyle w:val="ListParagraph"/>
        <w:numPr>
          <w:ilvl w:val="0"/>
          <w:numId w:val="13"/>
        </w:numPr>
        <w:spacing w:after="0" w:line="240" w:lineRule="auto"/>
        <w:contextualSpacing w:val="0"/>
        <w:rPr>
          <w:rFonts w:ascii="Times New Roman" w:hAnsi="Times New Roman"/>
          <w:szCs w:val="20"/>
        </w:rPr>
      </w:pPr>
      <w:r>
        <w:rPr>
          <w:rFonts w:ascii="Times New Roman" w:hAnsi="Times New Roman"/>
          <w:szCs w:val="20"/>
          <w:lang w:eastAsia="zh-CN"/>
        </w:rPr>
        <w:t xml:space="preserve">The </w:t>
      </w:r>
      <w:r w:rsidRPr="009B1429">
        <w:rPr>
          <w:rFonts w:ascii="Times New Roman" w:hAnsi="Times New Roman"/>
          <w:szCs w:val="20"/>
          <w:lang w:eastAsia="zh-CN"/>
        </w:rPr>
        <w:t xml:space="preserve">target positioning requirements for </w:t>
      </w:r>
      <w:r w:rsidRPr="009B1429">
        <w:rPr>
          <w:rFonts w:ascii="Times New Roman" w:hAnsi="Times New Roman"/>
          <w:b/>
          <w:szCs w:val="20"/>
        </w:rPr>
        <w:t>commercial use cases</w:t>
      </w:r>
      <w:r w:rsidRPr="009B1429">
        <w:rPr>
          <w:rFonts w:ascii="Times New Roman" w:hAnsi="Times New Roman"/>
          <w:szCs w:val="20"/>
        </w:rPr>
        <w:t xml:space="preserve"> </w:t>
      </w:r>
      <w:r w:rsidRPr="009B1429">
        <w:rPr>
          <w:rFonts w:ascii="Times New Roman" w:hAnsi="Times New Roman"/>
          <w:szCs w:val="20"/>
          <w:lang w:eastAsia="zh-CN"/>
        </w:rPr>
        <w:t>are</w:t>
      </w:r>
      <w:r>
        <w:rPr>
          <w:rFonts w:ascii="Times New Roman" w:hAnsi="Times New Roman"/>
          <w:szCs w:val="20"/>
          <w:lang w:eastAsia="zh-CN"/>
        </w:rPr>
        <w:t xml:space="preserve">: </w:t>
      </w:r>
    </w:p>
    <w:p w14:paraId="649715A8" w14:textId="77777777" w:rsidR="00F64338" w:rsidRPr="009B1429" w:rsidRDefault="00F64338" w:rsidP="00F64338">
      <w:pPr>
        <w:pStyle w:val="ListParagraph"/>
        <w:numPr>
          <w:ilvl w:val="1"/>
          <w:numId w:val="13"/>
        </w:numPr>
        <w:tabs>
          <w:tab w:val="left" w:pos="1004"/>
        </w:tabs>
        <w:spacing w:after="0" w:line="256" w:lineRule="auto"/>
        <w:rPr>
          <w:rFonts w:ascii="Times New Roman" w:hAnsi="Times New Roman"/>
          <w:szCs w:val="20"/>
          <w:lang w:eastAsia="zh-CN"/>
        </w:rPr>
      </w:pPr>
      <w:r w:rsidRPr="009B1429">
        <w:rPr>
          <w:rFonts w:ascii="Times New Roman" w:hAnsi="Times New Roman"/>
          <w:szCs w:val="20"/>
        </w:rPr>
        <w:t>Horizontal position accuracy (&lt; 1 m) for [90%] of UEs</w:t>
      </w:r>
    </w:p>
    <w:p w14:paraId="1326B450" w14:textId="77777777" w:rsidR="00F64338" w:rsidRPr="009B1429" w:rsidRDefault="00F64338" w:rsidP="00F64338">
      <w:pPr>
        <w:pStyle w:val="ListParagraph"/>
        <w:numPr>
          <w:ilvl w:val="1"/>
          <w:numId w:val="13"/>
        </w:numPr>
        <w:tabs>
          <w:tab w:val="left" w:pos="1004"/>
        </w:tabs>
        <w:spacing w:after="0" w:line="256" w:lineRule="auto"/>
        <w:rPr>
          <w:rFonts w:ascii="Times New Roman" w:hAnsi="Times New Roman"/>
          <w:szCs w:val="20"/>
          <w:lang w:eastAsia="zh-CN"/>
        </w:rPr>
      </w:pPr>
      <w:r w:rsidRPr="009B1429">
        <w:rPr>
          <w:rFonts w:ascii="Times New Roman" w:hAnsi="Times New Roman"/>
          <w:szCs w:val="20"/>
        </w:rPr>
        <w:t>Vertical position accuracy (&lt; [2 or 3] m) for [90%] of UEs</w:t>
      </w:r>
    </w:p>
    <w:p w14:paraId="4EE01237" w14:textId="77777777" w:rsidR="00F64338" w:rsidRPr="009B1429" w:rsidRDefault="00F64338" w:rsidP="00F64338">
      <w:pPr>
        <w:pStyle w:val="ListParagraph"/>
        <w:numPr>
          <w:ilvl w:val="1"/>
          <w:numId w:val="13"/>
        </w:numPr>
        <w:tabs>
          <w:tab w:val="left" w:pos="1004"/>
        </w:tabs>
        <w:spacing w:after="0" w:line="256" w:lineRule="auto"/>
        <w:rPr>
          <w:rFonts w:ascii="Times New Roman" w:hAnsi="Times New Roman"/>
          <w:szCs w:val="20"/>
          <w:lang w:eastAsia="zh-CN"/>
        </w:rPr>
      </w:pPr>
      <w:r w:rsidRPr="009B1429">
        <w:rPr>
          <w:rFonts w:ascii="Times New Roman" w:hAnsi="Times New Roman"/>
          <w:szCs w:val="20"/>
        </w:rPr>
        <w:t>End-to-end latency for position estimation of UE (&lt; [100 ms])</w:t>
      </w:r>
    </w:p>
    <w:p w14:paraId="0527A7D1" w14:textId="77777777" w:rsidR="00F64338" w:rsidRPr="009B1429" w:rsidRDefault="00F64338" w:rsidP="00F64338">
      <w:pPr>
        <w:pStyle w:val="ListParagraph"/>
        <w:numPr>
          <w:ilvl w:val="1"/>
          <w:numId w:val="13"/>
        </w:numPr>
        <w:tabs>
          <w:tab w:val="left" w:pos="1004"/>
        </w:tabs>
        <w:spacing w:after="0" w:line="256" w:lineRule="auto"/>
        <w:rPr>
          <w:rFonts w:ascii="Times New Roman" w:hAnsi="Times New Roman"/>
          <w:szCs w:val="20"/>
          <w:lang w:eastAsia="zh-CN"/>
        </w:rPr>
      </w:pPr>
      <w:r w:rsidRPr="009B1429">
        <w:rPr>
          <w:rFonts w:ascii="Times New Roman" w:hAnsi="Times New Roman"/>
          <w:szCs w:val="20"/>
        </w:rPr>
        <w:t>FFS: Physical layer latency for position estimation of UE (&lt; [10 ms])</w:t>
      </w:r>
    </w:p>
    <w:p w14:paraId="4128B8F9" w14:textId="73DD7764" w:rsidR="00BC3779" w:rsidRPr="00F64338" w:rsidRDefault="00F64338" w:rsidP="00F64338">
      <w:pPr>
        <w:pStyle w:val="ListParagraph"/>
        <w:numPr>
          <w:ilvl w:val="1"/>
          <w:numId w:val="13"/>
        </w:numPr>
        <w:spacing w:after="0" w:line="240" w:lineRule="auto"/>
        <w:contextualSpacing w:val="0"/>
        <w:rPr>
          <w:rFonts w:ascii="Times New Roman" w:hAnsi="Times New Roman"/>
          <w:szCs w:val="20"/>
          <w:lang w:eastAsia="zh-CN"/>
        </w:rPr>
      </w:pPr>
      <w:r w:rsidRPr="00F64338">
        <w:rPr>
          <w:rFonts w:ascii="Times New Roman" w:hAnsi="Times New Roman"/>
          <w:szCs w:val="20"/>
          <w:lang w:eastAsia="zh-CN"/>
        </w:rPr>
        <w:t>In Rel-17 SI, for the evaluation of positioning enhancements for commercial use cases, no baseline scenario is defined. UMi, UMa and IOO scenario(s) defined in TR 38.855 can be considered as optional scenarios without modifications to existing configuration parameters. FFS: absolute time of arrival model for UMi, UMa and IOO scenarios</w:t>
      </w:r>
      <w:r>
        <w:rPr>
          <w:rFonts w:ascii="Times New Roman" w:hAnsi="Times New Roman"/>
          <w:szCs w:val="20"/>
          <w:lang w:eastAsia="zh-CN"/>
        </w:rPr>
        <w:t>.</w:t>
      </w:r>
    </w:p>
    <w:p w14:paraId="4650D000" w14:textId="67DA9B4C" w:rsidR="00BC3779" w:rsidRPr="009B1429" w:rsidRDefault="00367C9F" w:rsidP="00BC3779">
      <w:pPr>
        <w:spacing w:beforeLines="50" w:before="120"/>
      </w:pPr>
      <w:r>
        <w:t xml:space="preserve">There also </w:t>
      </w:r>
      <w:r w:rsidR="00945EDF">
        <w:t xml:space="preserve">various </w:t>
      </w:r>
      <w:r w:rsidR="00BC3779" w:rsidRPr="009B1429">
        <w:t>parameters</w:t>
      </w:r>
      <w:r>
        <w:t xml:space="preserve"> and assumptions </w:t>
      </w:r>
      <w:r w:rsidR="00945EDF">
        <w:t xml:space="preserve">that are not mandatory to be implemented </w:t>
      </w:r>
      <w:r w:rsidR="002416AE">
        <w:t xml:space="preserve">and are </w:t>
      </w:r>
      <w:r w:rsidR="00945EDF">
        <w:t>left up to companies’</w:t>
      </w:r>
      <w:r w:rsidR="002416AE">
        <w:t xml:space="preserve"> evaluation</w:t>
      </w:r>
      <w:r w:rsidR="00945EDF">
        <w:t xml:space="preserve"> choices. They are</w:t>
      </w:r>
      <w:r w:rsidR="00BC3779" w:rsidRPr="009B1429">
        <w:t>:</w:t>
      </w:r>
    </w:p>
    <w:p w14:paraId="32CBC8ED" w14:textId="262CECB5" w:rsidR="00BC3779" w:rsidRPr="009B1429" w:rsidRDefault="00BC3779" w:rsidP="00BC3779">
      <w:pPr>
        <w:pStyle w:val="ListParagraph"/>
        <w:numPr>
          <w:ilvl w:val="0"/>
          <w:numId w:val="13"/>
        </w:numPr>
        <w:spacing w:beforeLines="50" w:before="120" w:after="0"/>
        <w:rPr>
          <w:rFonts w:ascii="Times New Roman" w:hAnsi="Times New Roman"/>
          <w:lang w:eastAsia="x-none"/>
        </w:rPr>
      </w:pPr>
      <w:r w:rsidRPr="009B1429">
        <w:rPr>
          <w:rFonts w:ascii="Times New Roman" w:hAnsi="Times New Roman"/>
          <w:lang w:eastAsia="x-none"/>
        </w:rPr>
        <w:t>UE antenna configuration with 4 UE panels</w:t>
      </w:r>
      <w:r w:rsidR="00F64338">
        <w:rPr>
          <w:rFonts w:ascii="Times New Roman" w:hAnsi="Times New Roman"/>
          <w:lang w:eastAsia="x-none"/>
        </w:rPr>
        <w:t xml:space="preserve"> where </w:t>
      </w:r>
      <w:r w:rsidRPr="009B1429">
        <w:rPr>
          <w:rFonts w:ascii="Times New Roman" w:hAnsi="Times New Roman"/>
          <w:lang w:eastAsia="x-none"/>
        </w:rPr>
        <w:t>the antenna elements of the same polarization of the same panel is virtualized into one TXRU</w:t>
      </w:r>
      <w:r w:rsidR="00F64338">
        <w:rPr>
          <w:rFonts w:ascii="Times New Roman" w:hAnsi="Times New Roman"/>
          <w:lang w:eastAsia="x-none"/>
        </w:rPr>
        <w:t>.</w:t>
      </w:r>
    </w:p>
    <w:p w14:paraId="6FCEE3C7" w14:textId="601B1FE2" w:rsidR="006E7333" w:rsidRPr="00F64338" w:rsidRDefault="006E7333" w:rsidP="00F64338">
      <w:pPr>
        <w:pStyle w:val="ListParagraph"/>
        <w:numPr>
          <w:ilvl w:val="0"/>
          <w:numId w:val="13"/>
        </w:numPr>
        <w:spacing w:line="256" w:lineRule="auto"/>
        <w:rPr>
          <w:rFonts w:ascii="Times New Roman" w:hAnsi="Times New Roman"/>
          <w:szCs w:val="20"/>
        </w:rPr>
      </w:pPr>
      <w:r w:rsidRPr="00F64338">
        <w:rPr>
          <w:rFonts w:ascii="Times New Roman" w:hAnsi="Times New Roman"/>
          <w:szCs w:val="20"/>
        </w:rPr>
        <w:t>UE mobility can be considered in evaluation with the consideration of the spatial consistency procedure defined in TR 38.901.</w:t>
      </w:r>
      <w:r w:rsidR="00F64338" w:rsidRPr="00F64338">
        <w:rPr>
          <w:rFonts w:ascii="Times New Roman" w:hAnsi="Times New Roman"/>
          <w:szCs w:val="20"/>
        </w:rPr>
        <w:t xml:space="preserve"> </w:t>
      </w:r>
      <w:r w:rsidRPr="00F64338">
        <w:rPr>
          <w:rFonts w:ascii="Times New Roman" w:hAnsi="Times New Roman"/>
          <w:szCs w:val="20"/>
        </w:rPr>
        <w:t>FFS: the details of the mobility models</w:t>
      </w:r>
    </w:p>
    <w:p w14:paraId="5AAA69ED" w14:textId="77777777" w:rsidR="006E7333" w:rsidRPr="009B1429" w:rsidRDefault="006E7333" w:rsidP="006E7333">
      <w:pPr>
        <w:pStyle w:val="ListParagraph"/>
        <w:numPr>
          <w:ilvl w:val="0"/>
          <w:numId w:val="23"/>
        </w:numPr>
        <w:spacing w:after="0"/>
        <w:rPr>
          <w:rFonts w:ascii="Times New Roman" w:hAnsi="Times New Roman"/>
          <w:szCs w:val="20"/>
          <w:lang w:eastAsia="zh-CN"/>
        </w:rPr>
      </w:pPr>
      <w:r w:rsidRPr="009B1429">
        <w:rPr>
          <w:rFonts w:ascii="Times New Roman" w:hAnsi="Times New Roman"/>
          <w:szCs w:val="20"/>
          <w:lang w:eastAsia="zh-CN"/>
        </w:rPr>
        <w:t>UE power consumption for NR positioning can be optionally evaluated in the SI.</w:t>
      </w:r>
    </w:p>
    <w:p w14:paraId="3C3C50C2" w14:textId="379B1ADE" w:rsidR="006E7333" w:rsidRDefault="006E7333" w:rsidP="006E7333">
      <w:pPr>
        <w:pStyle w:val="ListParagraph"/>
        <w:numPr>
          <w:ilvl w:val="0"/>
          <w:numId w:val="23"/>
        </w:numPr>
        <w:rPr>
          <w:rFonts w:ascii="Times New Roman" w:hAnsi="Times New Roman"/>
          <w:szCs w:val="20"/>
          <w:lang w:eastAsia="zh-CN"/>
        </w:rPr>
      </w:pPr>
      <w:r w:rsidRPr="009B1429">
        <w:rPr>
          <w:rFonts w:ascii="Times New Roman" w:hAnsi="Times New Roman"/>
          <w:szCs w:val="20"/>
          <w:lang w:eastAsia="zh-CN"/>
        </w:rPr>
        <w:lastRenderedPageBreak/>
        <w:t>The UE/gNB RX and TX timing error, in FR1/FR2, can be modeled as a truncated Gaussian distribution with zero mean and standard deviation of T1 ns, with truncation of the distribution to the [-T2, T2] range, and with T2=2*T1</w:t>
      </w:r>
      <w:r w:rsidR="00F64338">
        <w:rPr>
          <w:rFonts w:ascii="Times New Roman" w:hAnsi="Times New Roman"/>
          <w:szCs w:val="20"/>
          <w:lang w:eastAsia="zh-CN"/>
        </w:rPr>
        <w:t xml:space="preserve">. </w:t>
      </w:r>
    </w:p>
    <w:p w14:paraId="659922AD" w14:textId="77777777" w:rsidR="00F64338" w:rsidRPr="009B1429" w:rsidRDefault="00F64338" w:rsidP="00F64338">
      <w:pPr>
        <w:pStyle w:val="ListParagraph"/>
        <w:numPr>
          <w:ilvl w:val="0"/>
          <w:numId w:val="23"/>
        </w:numPr>
        <w:rPr>
          <w:rFonts w:ascii="Times New Roman" w:hAnsi="Times New Roman"/>
          <w:szCs w:val="20"/>
          <w:lang w:eastAsia="zh-CN"/>
        </w:rPr>
      </w:pPr>
      <w:r w:rsidRPr="009B1429">
        <w:rPr>
          <w:rFonts w:ascii="Times New Roman" w:hAnsi="Times New Roman"/>
        </w:rPr>
        <w:t xml:space="preserve">Network efficiency and UE efficiency can be evaluated at least </w:t>
      </w:r>
      <w:r w:rsidRPr="009B1429">
        <w:rPr>
          <w:rFonts w:ascii="Times New Roman" w:hAnsi="Times New Roman"/>
          <w:lang w:eastAsia="zh-CN"/>
        </w:rPr>
        <w:t xml:space="preserve">in an analytical manner. It is </w:t>
      </w:r>
      <w:r w:rsidRPr="009B1429">
        <w:rPr>
          <w:rFonts w:ascii="Times New Roman" w:hAnsi="Times New Roman"/>
        </w:rPr>
        <w:t xml:space="preserve">FFS on the definition of efficiency metric (e.g., the positioning performance (accuracy, latency) vs. </w:t>
      </w:r>
      <w:r w:rsidRPr="009B1429">
        <w:rPr>
          <w:rFonts w:ascii="Times New Roman" w:hAnsi="Times New Roman"/>
          <w:szCs w:val="20"/>
          <w:lang w:eastAsia="zh-CN"/>
        </w:rPr>
        <w:t>Physical layer latency can be evaluated through analysis and, optionally, numerical evaluation.</w:t>
      </w:r>
    </w:p>
    <w:p w14:paraId="323141FD" w14:textId="2400B204" w:rsidR="00F64338" w:rsidRPr="00F64338" w:rsidRDefault="00F64338" w:rsidP="00F64338">
      <w:pPr>
        <w:pStyle w:val="ListParagraph"/>
        <w:numPr>
          <w:ilvl w:val="0"/>
          <w:numId w:val="23"/>
        </w:numPr>
        <w:spacing w:beforeLines="50" w:before="120" w:after="0" w:line="240" w:lineRule="auto"/>
        <w:contextualSpacing w:val="0"/>
        <w:rPr>
          <w:rFonts w:ascii="Times New Roman" w:hAnsi="Times New Roman"/>
          <w:lang w:eastAsia="x-none"/>
        </w:rPr>
      </w:pPr>
      <w:r w:rsidRPr="00F64338">
        <w:rPr>
          <w:rFonts w:ascii="Times New Roman" w:hAnsi="Times New Roman"/>
          <w:szCs w:val="20"/>
          <w:lang w:eastAsia="zh-CN"/>
        </w:rPr>
        <w:t xml:space="preserve">Higher layer positioning latency can be evaluated in this SI. However, there are some remaining FFS on: how to evaluate higher-layer positioning latency, which higher-layers should be included in the evaluation, </w:t>
      </w:r>
      <w:r w:rsidRPr="00F64338">
        <w:rPr>
          <w:rFonts w:ascii="Times New Roman" w:hAnsi="Times New Roman"/>
        </w:rPr>
        <w:t xml:space="preserve">PRS/SRS </w:t>
      </w:r>
      <w:r w:rsidRPr="00F64338">
        <w:rPr>
          <w:rFonts w:ascii="Times New Roman" w:eastAsia="Times New Roman" w:hAnsi="Times New Roman"/>
          <w:lang w:eastAsia="zh-CN"/>
        </w:rPr>
        <w:t xml:space="preserve">resource utilization </w:t>
      </w:r>
      <w:r w:rsidRPr="00F64338">
        <w:rPr>
          <w:rFonts w:ascii="Times New Roman" w:eastAsia="Malgun Gothic" w:hAnsi="Times New Roman"/>
          <w:lang w:eastAsia="ko-KR"/>
        </w:rPr>
        <w:t>etc.</w:t>
      </w:r>
    </w:p>
    <w:p w14:paraId="5462827A" w14:textId="77777777" w:rsidR="00F64338" w:rsidRPr="00F64338" w:rsidRDefault="00F64338" w:rsidP="00F64338">
      <w:pPr>
        <w:rPr>
          <w:szCs w:val="20"/>
          <w:lang w:eastAsia="zh-CN"/>
        </w:rPr>
      </w:pPr>
    </w:p>
    <w:p w14:paraId="1F7AECFC" w14:textId="48410089" w:rsidR="004A4C41" w:rsidRPr="009B1429" w:rsidRDefault="00CB4A48" w:rsidP="009B1429">
      <w:pPr>
        <w:spacing w:beforeLines="50" w:before="120"/>
        <w:rPr>
          <w:lang w:val="en-GB"/>
        </w:rPr>
      </w:pPr>
      <w:r w:rsidRPr="009B1429">
        <w:rPr>
          <w:lang w:val="en-GB"/>
        </w:rPr>
        <w:t>In this contribution</w:t>
      </w:r>
      <w:r w:rsidR="00006FF4" w:rsidRPr="009B1429">
        <w:rPr>
          <w:lang w:val="en-GB"/>
        </w:rPr>
        <w:t xml:space="preserve">, </w:t>
      </w:r>
      <w:r w:rsidR="009B1429">
        <w:rPr>
          <w:lang w:val="en-GB"/>
        </w:rPr>
        <w:t xml:space="preserve">we provide our views on </w:t>
      </w:r>
      <w:r w:rsidR="002416AE">
        <w:rPr>
          <w:lang w:val="en-GB"/>
        </w:rPr>
        <w:t xml:space="preserve">some </w:t>
      </w:r>
      <w:r w:rsidR="009215DD">
        <w:rPr>
          <w:lang w:val="en-GB"/>
        </w:rPr>
        <w:t xml:space="preserve">of </w:t>
      </w:r>
      <w:r w:rsidR="00EF5C82" w:rsidRPr="009B1429">
        <w:rPr>
          <w:lang w:val="en-GB"/>
        </w:rPr>
        <w:t xml:space="preserve">the </w:t>
      </w:r>
      <w:r w:rsidR="009B1429">
        <w:rPr>
          <w:lang w:val="en-GB"/>
        </w:rPr>
        <w:t xml:space="preserve">remaining </w:t>
      </w:r>
      <w:r w:rsidR="002416AE">
        <w:rPr>
          <w:lang w:val="en-GB"/>
        </w:rPr>
        <w:t xml:space="preserve">FFS </w:t>
      </w:r>
      <w:r w:rsidR="009B1429">
        <w:rPr>
          <w:lang w:val="en-GB"/>
        </w:rPr>
        <w:t>issues</w:t>
      </w:r>
      <w:r w:rsidR="009215DD">
        <w:rPr>
          <w:lang w:val="en-GB"/>
        </w:rPr>
        <w:t xml:space="preserve"> noted above</w:t>
      </w:r>
      <w:r w:rsidR="009B1429">
        <w:rPr>
          <w:lang w:val="en-GB"/>
        </w:rPr>
        <w:t xml:space="preserve">. </w:t>
      </w:r>
    </w:p>
    <w:p w14:paraId="0AABC6BA" w14:textId="77777777" w:rsidR="004A4C41" w:rsidRDefault="004A4C41" w:rsidP="00CB4A48">
      <w:pPr>
        <w:spacing w:beforeLines="50" w:before="120"/>
        <w:rPr>
          <w:lang w:val="en-GB"/>
        </w:rPr>
      </w:pPr>
    </w:p>
    <w:p w14:paraId="35954F20" w14:textId="193F0A0A" w:rsidR="00816E9B" w:rsidRPr="00D74B92" w:rsidRDefault="00817C94" w:rsidP="00493C77">
      <w:pPr>
        <w:pStyle w:val="Heading1"/>
      </w:pPr>
      <w:r>
        <w:t xml:space="preserve">Discussions </w:t>
      </w:r>
      <w:r w:rsidR="00CB4A48">
        <w:t xml:space="preserve"> </w:t>
      </w:r>
    </w:p>
    <w:p w14:paraId="2A399A0D" w14:textId="6D16F50F" w:rsidR="001E7B77" w:rsidRDefault="001E7B77" w:rsidP="008F3998">
      <w:pPr>
        <w:rPr>
          <w:lang w:val="en-IN"/>
        </w:rPr>
      </w:pPr>
      <w:bookmarkStart w:id="3" w:name="_Ref129681832"/>
      <w:r>
        <w:rPr>
          <w:lang w:val="en-IN"/>
        </w:rPr>
        <w:t xml:space="preserve">For the </w:t>
      </w:r>
      <w:r w:rsidR="008F3998" w:rsidRPr="008F3998">
        <w:rPr>
          <w:lang w:val="en-IN"/>
        </w:rPr>
        <w:t xml:space="preserve">commercial use cases, no baseline scenario </w:t>
      </w:r>
      <w:r>
        <w:rPr>
          <w:lang w:val="en-IN"/>
        </w:rPr>
        <w:t xml:space="preserve">has been agreed. Instead, the </w:t>
      </w:r>
      <w:r w:rsidR="008F3998" w:rsidRPr="008F3998">
        <w:rPr>
          <w:lang w:val="en-IN"/>
        </w:rPr>
        <w:t xml:space="preserve">UMi, UMa and IOO scenario(s) </w:t>
      </w:r>
      <w:r w:rsidR="002253BE">
        <w:rPr>
          <w:lang w:val="en-IN"/>
        </w:rPr>
        <w:t xml:space="preserve">as </w:t>
      </w:r>
      <w:r w:rsidR="008F3998" w:rsidRPr="008F3998">
        <w:rPr>
          <w:lang w:val="en-IN"/>
        </w:rPr>
        <w:t xml:space="preserve">defined in TR 38.855 can be considered as optional scenarios without modifications </w:t>
      </w:r>
      <w:r w:rsidR="002253BE">
        <w:rPr>
          <w:lang w:val="en-IN"/>
        </w:rPr>
        <w:t>of its</w:t>
      </w:r>
      <w:r w:rsidR="008F3998" w:rsidRPr="008F3998">
        <w:rPr>
          <w:lang w:val="en-IN"/>
        </w:rPr>
        <w:t xml:space="preserve"> existing configuration parameters. </w:t>
      </w:r>
      <w:r>
        <w:rPr>
          <w:lang w:val="en-IN"/>
        </w:rPr>
        <w:t xml:space="preserve">These are the same </w:t>
      </w:r>
      <w:r w:rsidRPr="008F3998">
        <w:rPr>
          <w:lang w:val="en-IN"/>
        </w:rPr>
        <w:t>UMi, UMa and IOO</w:t>
      </w:r>
      <w:r>
        <w:rPr>
          <w:lang w:val="en-IN"/>
        </w:rPr>
        <w:t xml:space="preserve"> scenarios that have been </w:t>
      </w:r>
      <w:r w:rsidR="002253BE">
        <w:rPr>
          <w:lang w:val="en-IN"/>
        </w:rPr>
        <w:t xml:space="preserve">considered </w:t>
      </w:r>
      <w:r>
        <w:rPr>
          <w:lang w:val="en-IN"/>
        </w:rPr>
        <w:t>during the Rel-16 WI on NR positioning. NLOS paths in these deployments are not as prevalent as compared to IIOT scenarios. In fact, especially in UMi and U</w:t>
      </w:r>
      <w:r w:rsidR="00A06FDA">
        <w:rPr>
          <w:lang w:val="en-IN"/>
        </w:rPr>
        <w:t>M</w:t>
      </w:r>
      <w:r>
        <w:rPr>
          <w:lang w:val="en-IN"/>
        </w:rPr>
        <w:t xml:space="preserve">a, higher probability of having LOS </w:t>
      </w:r>
      <w:r w:rsidR="00433F8D">
        <w:rPr>
          <w:lang w:val="en-IN"/>
        </w:rPr>
        <w:t>links</w:t>
      </w:r>
      <w:r>
        <w:rPr>
          <w:lang w:val="en-IN"/>
        </w:rPr>
        <w:t xml:space="preserve"> allows for the positioning estimation methods to mitigate the degradation due to NLOS </w:t>
      </w:r>
      <w:r w:rsidR="00433F8D">
        <w:rPr>
          <w:lang w:val="en-IN"/>
        </w:rPr>
        <w:t>first path</w:t>
      </w:r>
      <w:r>
        <w:rPr>
          <w:lang w:val="en-IN"/>
        </w:rPr>
        <w:t xml:space="preserve">. </w:t>
      </w:r>
    </w:p>
    <w:p w14:paraId="3524C8D2" w14:textId="38493598" w:rsidR="002253BE" w:rsidRDefault="001E7B77" w:rsidP="008F3998">
      <w:pPr>
        <w:rPr>
          <w:lang w:eastAsia="zh-CN"/>
        </w:rPr>
      </w:pPr>
      <w:r>
        <w:rPr>
          <w:lang w:eastAsia="ja-JP"/>
        </w:rPr>
        <w:t xml:space="preserve">In other words, the </w:t>
      </w:r>
      <w:r w:rsidR="00D16F29">
        <w:rPr>
          <w:lang w:eastAsia="zh-CN"/>
        </w:rPr>
        <w:t xml:space="preserve">largest </w:t>
      </w:r>
      <w:r>
        <w:rPr>
          <w:lang w:eastAsia="zh-CN"/>
        </w:rPr>
        <w:t xml:space="preserve">peak of the positioning detection correlation has much higher probability that it </w:t>
      </w:r>
      <w:bookmarkStart w:id="4" w:name="_GoBack"/>
      <w:bookmarkEnd w:id="4"/>
      <w:r>
        <w:rPr>
          <w:lang w:eastAsia="zh-CN"/>
        </w:rPr>
        <w:t>corresponds to the line of sight (LoS) propagation between the transmitter and receiver</w:t>
      </w:r>
      <w:r w:rsidR="00CF5F24">
        <w:rPr>
          <w:lang w:eastAsia="zh-CN"/>
        </w:rPr>
        <w:t xml:space="preserve">. The </w:t>
      </w:r>
      <w:r>
        <w:rPr>
          <w:lang w:eastAsia="zh-CN"/>
        </w:rPr>
        <w:t xml:space="preserve">distance calculated based on </w:t>
      </w:r>
      <w:r w:rsidR="002253BE">
        <w:rPr>
          <w:lang w:eastAsia="zh-CN"/>
        </w:rPr>
        <w:t xml:space="preserve">the </w:t>
      </w:r>
      <w:r>
        <w:rPr>
          <w:lang w:eastAsia="zh-CN"/>
        </w:rPr>
        <w:t xml:space="preserve">TOA </w:t>
      </w:r>
      <w:r w:rsidR="00CF5F24">
        <w:rPr>
          <w:lang w:eastAsia="zh-CN"/>
        </w:rPr>
        <w:t xml:space="preserve">has </w:t>
      </w:r>
      <w:r w:rsidR="002253BE">
        <w:rPr>
          <w:lang w:eastAsia="zh-CN"/>
        </w:rPr>
        <w:t xml:space="preserve">therefore </w:t>
      </w:r>
      <w:r w:rsidR="00CF5F24">
        <w:rPr>
          <w:lang w:eastAsia="zh-CN"/>
        </w:rPr>
        <w:t xml:space="preserve">less </w:t>
      </w:r>
      <w:r w:rsidR="002253BE">
        <w:rPr>
          <w:lang w:eastAsia="zh-CN"/>
        </w:rPr>
        <w:t xml:space="preserve">error due to </w:t>
      </w:r>
      <w:r>
        <w:rPr>
          <w:lang w:eastAsia="zh-CN"/>
        </w:rPr>
        <w:t>overestimat</w:t>
      </w:r>
      <w:r w:rsidR="00CF5F24">
        <w:rPr>
          <w:lang w:eastAsia="zh-CN"/>
        </w:rPr>
        <w:t xml:space="preserve">ing </w:t>
      </w:r>
      <w:r>
        <w:rPr>
          <w:lang w:eastAsia="zh-CN"/>
        </w:rPr>
        <w:t>the real distance between transmitter and receiver</w:t>
      </w:r>
      <w:r w:rsidR="002253BE">
        <w:rPr>
          <w:lang w:eastAsia="zh-CN"/>
        </w:rPr>
        <w:t xml:space="preserve">.  </w:t>
      </w:r>
    </w:p>
    <w:p w14:paraId="29DAF46F" w14:textId="3786AE5A" w:rsidR="002253BE" w:rsidRDefault="002253BE" w:rsidP="008F3998">
      <w:pPr>
        <w:rPr>
          <w:lang w:eastAsia="zh-CN"/>
        </w:rPr>
      </w:pPr>
      <w:r w:rsidRPr="009F3656">
        <w:rPr>
          <w:lang w:val="en-IN"/>
        </w:rPr>
        <w:t xml:space="preserve">From Table 7.6.9-1 of TR38.901, </w:t>
      </w:r>
      <m:oMath>
        <m:r>
          <m:rPr>
            <m:sty m:val="p"/>
          </m:rPr>
          <w:rPr>
            <w:rFonts w:ascii="Cambria Math" w:hAnsi="Cambria Math"/>
          </w:rPr>
          <m:t>Δτ</m:t>
        </m:r>
      </m:oMath>
      <w:r w:rsidRPr="009F3656">
        <w:t xml:space="preserve"> models the </w:t>
      </w:r>
      <w:r w:rsidRPr="009F3656">
        <w:rPr>
          <w:lang w:eastAsia="ja-JP"/>
        </w:rPr>
        <w:t xml:space="preserve">incurred mean positive bias in the time of arrival that occurs for the NLOS </w:t>
      </w:r>
      <w:r>
        <w:rPr>
          <w:lang w:eastAsia="ja-JP"/>
        </w:rPr>
        <w:t>CIR</w:t>
      </w:r>
      <w:r w:rsidRPr="009F3656">
        <w:rPr>
          <w:lang w:eastAsia="ja-JP"/>
        </w:rPr>
        <w:t xml:space="preserve"> due to the additional reflections </w:t>
      </w:r>
      <w:r>
        <w:rPr>
          <w:lang w:eastAsia="ja-JP"/>
        </w:rPr>
        <w:t xml:space="preserve">resulting in </w:t>
      </w:r>
      <w:r w:rsidRPr="009F3656">
        <w:rPr>
          <w:lang w:eastAsia="ja-JP"/>
        </w:rPr>
        <w:t>longer propagation delay</w:t>
      </w:r>
      <w:r>
        <w:rPr>
          <w:lang w:eastAsia="ja-JP"/>
        </w:rPr>
        <w:t xml:space="preserve"> for the first path</w:t>
      </w:r>
      <w:r w:rsidRPr="009F3656">
        <w:rPr>
          <w:lang w:eastAsia="ja-JP"/>
        </w:rPr>
        <w:t xml:space="preserve">.  </w:t>
      </w:r>
      <m:oMath>
        <m:r>
          <m:rPr>
            <m:sty m:val="p"/>
          </m:rPr>
          <w:rPr>
            <w:rFonts w:ascii="Cambria Math" w:hAnsi="Cambria Math"/>
          </w:rPr>
          <m:t>Δτ</m:t>
        </m:r>
      </m:oMath>
      <w:r w:rsidRPr="009F3656">
        <w:t xml:space="preserve"> is </w:t>
      </w:r>
      <w:r w:rsidRPr="009F3656">
        <w:rPr>
          <w:lang w:eastAsia="ko-KR"/>
        </w:rPr>
        <w:t xml:space="preserve">upper bounded by </w:t>
      </w:r>
      <m:oMath>
        <m:r>
          <m:rPr>
            <m:sty m:val="p"/>
          </m:rPr>
          <w:rPr>
            <w:rFonts w:ascii="Cambria Math" w:hAnsi="Cambria Math"/>
          </w:rPr>
          <m:t>2L/c</m:t>
        </m:r>
      </m:oMath>
      <w:r w:rsidRPr="009F3656">
        <w:t xml:space="preserve">, where </w:t>
      </w:r>
      <m:oMath>
        <m:r>
          <m:rPr>
            <m:sty m:val="p"/>
          </m:rPr>
          <w:rPr>
            <w:rFonts w:ascii="Cambria Math" w:hAnsi="Cambria Math"/>
          </w:rPr>
          <m:t>L</m:t>
        </m:r>
      </m:oMath>
      <w:r w:rsidRPr="009F3656">
        <w:t xml:space="preserve"> is the largest dimension of the factory hall, i.e. </w:t>
      </w:r>
      <m:oMath>
        <m:r>
          <m:rPr>
            <m:sty m:val="p"/>
          </m:rPr>
          <w:rPr>
            <w:rFonts w:ascii="Cambria Math" w:hAnsi="Cambria Math"/>
          </w:rPr>
          <m:t>L</m:t>
        </m:r>
      </m:oMath>
      <w:r w:rsidRPr="009F3656">
        <w:t xml:space="preserve"> = max(length, width, height).</w:t>
      </w:r>
      <w:r>
        <w:t xml:space="preserve"> To reuse this NLOS offset, t</w:t>
      </w:r>
      <w:r w:rsidRPr="009F3656">
        <w:t>his upper bound</w:t>
      </w:r>
      <w:r>
        <w:t xml:space="preserve"> needs to be adapted for the open environment found in </w:t>
      </w:r>
      <w:proofErr w:type="spellStart"/>
      <w:r w:rsidRPr="009F3656">
        <w:t>UMi</w:t>
      </w:r>
      <w:proofErr w:type="spellEnd"/>
      <w:r w:rsidRPr="009F3656">
        <w:t xml:space="preserve">, </w:t>
      </w:r>
      <w:proofErr w:type="spellStart"/>
      <w:r w:rsidRPr="009F3656">
        <w:t>UMa</w:t>
      </w:r>
      <w:proofErr w:type="spellEnd"/>
      <w:r w:rsidRPr="009F3656">
        <w:t xml:space="preserve"> and IOO</w:t>
      </w:r>
      <w:r>
        <w:t xml:space="preserve">. It needs to ensure </w:t>
      </w:r>
      <w:r w:rsidRPr="009F3656">
        <w:t>that there would not be over-compensati</w:t>
      </w:r>
      <w:r>
        <w:t>on of</w:t>
      </w:r>
      <w:r w:rsidRPr="009F3656">
        <w:t xml:space="preserve"> the NLOS paths delay. </w:t>
      </w:r>
    </w:p>
    <w:p w14:paraId="62FBAD64" w14:textId="051CF8E3" w:rsidR="005D519D" w:rsidRDefault="005D519D" w:rsidP="005D519D">
      <w:pPr>
        <w:rPr>
          <w:lang w:eastAsia="zh-CN"/>
        </w:rPr>
      </w:pPr>
      <w:r w:rsidRPr="009F3656">
        <w:rPr>
          <w:b/>
          <w:bCs/>
          <w:i/>
          <w:iCs/>
          <w:lang w:eastAsia="zh-CN"/>
        </w:rPr>
        <w:t>Observation 1</w:t>
      </w:r>
      <w:r w:rsidRPr="009F3656">
        <w:rPr>
          <w:b/>
          <w:bCs/>
          <w:lang w:eastAsia="zh-CN"/>
        </w:rPr>
        <w:t>:</w:t>
      </w:r>
      <w:r>
        <w:rPr>
          <w:lang w:eastAsia="zh-CN"/>
        </w:rPr>
        <w:t xml:space="preserve"> For </w:t>
      </w:r>
      <w:r w:rsidR="002253BE">
        <w:rPr>
          <w:lang w:eastAsia="zh-CN"/>
        </w:rPr>
        <w:t xml:space="preserve">the commercial use cases and scenarios </w:t>
      </w:r>
      <w:proofErr w:type="spellStart"/>
      <w:r>
        <w:rPr>
          <w:lang w:eastAsia="zh-CN"/>
        </w:rPr>
        <w:t>UMi</w:t>
      </w:r>
      <w:proofErr w:type="spellEnd"/>
      <w:r>
        <w:rPr>
          <w:lang w:eastAsia="zh-CN"/>
        </w:rPr>
        <w:t>, UMA and IOO</w:t>
      </w:r>
      <w:r w:rsidR="002253BE">
        <w:rPr>
          <w:lang w:eastAsia="zh-CN"/>
        </w:rPr>
        <w:t xml:space="preserve">, </w:t>
      </w:r>
      <w:r>
        <w:rPr>
          <w:lang w:eastAsia="zh-CN"/>
        </w:rPr>
        <w:t xml:space="preserve">the effects of NLOS on the positioning estimations </w:t>
      </w:r>
      <w:r w:rsidR="006218EB">
        <w:rPr>
          <w:lang w:eastAsia="zh-CN"/>
        </w:rPr>
        <w:t>are expected to be less significant compared to IIOT scenarios due to the expected greater probability of LOS paths.</w:t>
      </w:r>
    </w:p>
    <w:p w14:paraId="778060F3" w14:textId="77777777" w:rsidR="005D519D" w:rsidRDefault="005D519D" w:rsidP="005D519D">
      <w:pPr>
        <w:rPr>
          <w:lang w:eastAsia="zh-CN"/>
        </w:rPr>
      </w:pPr>
    </w:p>
    <w:p w14:paraId="0EC33725" w14:textId="77777777" w:rsidR="009F3656" w:rsidRPr="00645B30" w:rsidRDefault="009F3656" w:rsidP="009F3656">
      <w:pPr>
        <w:pStyle w:val="TH"/>
        <w:rPr>
          <w:i/>
          <w:iCs/>
          <w:lang w:eastAsia="ko-KR"/>
        </w:rPr>
      </w:pPr>
      <w:r w:rsidRPr="00645B30">
        <w:rPr>
          <w:i/>
          <w:iCs/>
        </w:rPr>
        <w:t>Table 7.</w:t>
      </w:r>
      <w:r w:rsidRPr="00645B30">
        <w:rPr>
          <w:i/>
          <w:iCs/>
          <w:lang w:eastAsia="ko-KR"/>
        </w:rPr>
        <w:t>6.9</w:t>
      </w:r>
      <w:r w:rsidRPr="00645B30">
        <w:rPr>
          <w:i/>
          <w:iCs/>
        </w:rPr>
        <w:t>-</w:t>
      </w:r>
      <w:r w:rsidRPr="00645B30">
        <w:rPr>
          <w:rFonts w:hint="eastAsia"/>
          <w:i/>
          <w:iCs/>
          <w:lang w:eastAsia="ko-KR"/>
        </w:rPr>
        <w:t>1</w:t>
      </w:r>
      <w:r w:rsidRPr="00645B30">
        <w:rPr>
          <w:i/>
          <w:iCs/>
        </w:rPr>
        <w:t>: Parameters for the absolute time of arrival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1401"/>
        <w:gridCol w:w="2798"/>
        <w:gridCol w:w="2798"/>
      </w:tblGrid>
      <w:tr w:rsidR="009F3656" w:rsidRPr="00645B30" w14:paraId="36FA7165" w14:textId="77777777" w:rsidTr="006D7142">
        <w:trPr>
          <w:jc w:val="center"/>
        </w:trPr>
        <w:tc>
          <w:tcPr>
            <w:tcW w:w="0" w:type="auto"/>
            <w:gridSpan w:val="2"/>
            <w:shd w:val="clear" w:color="auto" w:fill="E0E0E0"/>
            <w:vAlign w:val="center"/>
          </w:tcPr>
          <w:p w14:paraId="722732A5" w14:textId="77777777" w:rsidR="009F3656" w:rsidRPr="00645B30" w:rsidRDefault="009F3656" w:rsidP="006D7142">
            <w:pPr>
              <w:pStyle w:val="TAH"/>
              <w:rPr>
                <w:i/>
                <w:iCs/>
                <w:lang w:eastAsia="ko-KR"/>
              </w:rPr>
            </w:pPr>
            <w:r w:rsidRPr="00645B30">
              <w:rPr>
                <w:rFonts w:hint="eastAsia"/>
                <w:i/>
                <w:iCs/>
                <w:lang w:eastAsia="ko-KR"/>
              </w:rPr>
              <w:t>Scenarios</w:t>
            </w:r>
          </w:p>
        </w:tc>
        <w:tc>
          <w:tcPr>
            <w:tcW w:w="3095" w:type="dxa"/>
            <w:shd w:val="clear" w:color="auto" w:fill="E0E0E0"/>
            <w:vAlign w:val="center"/>
          </w:tcPr>
          <w:p w14:paraId="64CEEA96" w14:textId="77777777" w:rsidR="009F3656" w:rsidRPr="00645B30" w:rsidRDefault="009F3656" w:rsidP="006D7142">
            <w:pPr>
              <w:pStyle w:val="TAH"/>
              <w:rPr>
                <w:i/>
                <w:iCs/>
                <w:lang w:eastAsia="ko-KR"/>
              </w:rPr>
            </w:pPr>
            <w:r w:rsidRPr="00645B30">
              <w:rPr>
                <w:i/>
                <w:iCs/>
              </w:rPr>
              <w:t>InF-SL, InF-DL</w:t>
            </w:r>
          </w:p>
        </w:tc>
        <w:tc>
          <w:tcPr>
            <w:tcW w:w="3095" w:type="dxa"/>
            <w:shd w:val="clear" w:color="auto" w:fill="E0E0E0"/>
            <w:vAlign w:val="center"/>
          </w:tcPr>
          <w:p w14:paraId="710A6610" w14:textId="77777777" w:rsidR="009F3656" w:rsidRPr="00645B30" w:rsidRDefault="009F3656" w:rsidP="006D7142">
            <w:pPr>
              <w:pStyle w:val="TAH"/>
              <w:rPr>
                <w:i/>
                <w:iCs/>
                <w:lang w:eastAsia="ko-KR"/>
              </w:rPr>
            </w:pPr>
            <w:r w:rsidRPr="00645B30">
              <w:rPr>
                <w:i/>
                <w:iCs/>
              </w:rPr>
              <w:t>InF-SH, InF-DH</w:t>
            </w:r>
          </w:p>
        </w:tc>
      </w:tr>
      <w:tr w:rsidR="009F3656" w:rsidRPr="00645B30" w14:paraId="292C06EE" w14:textId="77777777" w:rsidTr="006D7142">
        <w:trPr>
          <w:jc w:val="center"/>
        </w:trPr>
        <w:tc>
          <w:tcPr>
            <w:tcW w:w="2122" w:type="dxa"/>
            <w:vMerge w:val="restart"/>
            <w:vAlign w:val="center"/>
          </w:tcPr>
          <w:p w14:paraId="40DCF3A7" w14:textId="77777777" w:rsidR="009F3656" w:rsidRPr="00645B30" w:rsidRDefault="009F3656" w:rsidP="006D7142">
            <w:pPr>
              <w:pStyle w:val="TAC"/>
              <w:rPr>
                <w:i/>
                <w:iCs/>
              </w:rPr>
            </w:pPr>
            <m:oMathPara>
              <m:oMath>
                <m:r>
                  <w:rPr>
                    <w:rFonts w:ascii="Cambria Math" w:hAnsi="Cambria Math"/>
                  </w:rPr>
                  <m:t>lgΔτ=</m:t>
                </m:r>
                <m:sSub>
                  <m:sSubPr>
                    <m:ctrlPr>
                      <w:rPr>
                        <w:rFonts w:ascii="Cambria Math" w:hAnsi="Cambria Math"/>
                        <w:i/>
                        <w:iCs/>
                      </w:rPr>
                    </m:ctrlPr>
                  </m:sSubPr>
                  <m:e>
                    <m:r>
                      <w:rPr>
                        <w:rFonts w:ascii="Cambria Math" w:hAnsi="Cambria Math"/>
                      </w:rPr>
                      <m:t>log</m:t>
                    </m:r>
                  </m:e>
                  <m:sub>
                    <m:r>
                      <w:rPr>
                        <w:rFonts w:ascii="Cambria Math" w:hAnsi="Cambria Math"/>
                      </w:rPr>
                      <m:t>10</m:t>
                    </m:r>
                  </m:sub>
                </m:sSub>
                <m:d>
                  <m:dPr>
                    <m:ctrlPr>
                      <w:rPr>
                        <w:rFonts w:ascii="Cambria Math" w:hAnsi="Cambria Math"/>
                        <w:i/>
                        <w:iCs/>
                      </w:rPr>
                    </m:ctrlPr>
                  </m:dPr>
                  <m:e>
                    <m:f>
                      <m:fPr>
                        <m:type m:val="lin"/>
                        <m:ctrlPr>
                          <w:rPr>
                            <w:rFonts w:ascii="Cambria Math" w:hAnsi="Cambria Math"/>
                            <w:i/>
                            <w:iCs/>
                          </w:rPr>
                        </m:ctrlPr>
                      </m:fPr>
                      <m:num>
                        <m:r>
                          <w:rPr>
                            <w:rFonts w:ascii="Cambria Math" w:hAnsi="Cambria Math"/>
                          </w:rPr>
                          <m:t>Δτ</m:t>
                        </m:r>
                      </m:num>
                      <m:den>
                        <m:r>
                          <w:rPr>
                            <w:rFonts w:ascii="Cambria Math" w:hAnsi="Cambria Math"/>
                          </w:rPr>
                          <m:t>1s</m:t>
                        </m:r>
                      </m:den>
                    </m:f>
                  </m:e>
                </m:d>
              </m:oMath>
            </m:oMathPara>
          </w:p>
        </w:tc>
        <w:tc>
          <w:tcPr>
            <w:tcW w:w="1319" w:type="dxa"/>
            <w:vAlign w:val="center"/>
          </w:tcPr>
          <w:p w14:paraId="777C1DD7" w14:textId="77777777" w:rsidR="009F3656" w:rsidRPr="00645B30" w:rsidRDefault="00EF6DA5" w:rsidP="006D7142">
            <w:pPr>
              <w:pStyle w:val="TAC"/>
              <w:rPr>
                <w:i/>
                <w:iCs/>
              </w:rPr>
            </w:pPr>
            <m:oMathPara>
              <m:oMath>
                <m:sSub>
                  <m:sSubPr>
                    <m:ctrlPr>
                      <w:rPr>
                        <w:rFonts w:ascii="Cambria Math" w:hAnsi="Cambria Math"/>
                        <w:i/>
                        <w:iCs/>
                      </w:rPr>
                    </m:ctrlPr>
                  </m:sSubPr>
                  <m:e>
                    <m:r>
                      <w:rPr>
                        <w:rFonts w:ascii="Cambria Math" w:hAnsi="Cambria Math"/>
                      </w:rPr>
                      <m:t>μ</m:t>
                    </m:r>
                  </m:e>
                  <m:sub>
                    <m:r>
                      <w:rPr>
                        <w:rFonts w:ascii="Cambria Math" w:hAnsi="Cambria Math"/>
                      </w:rPr>
                      <m:t>lgΔτ</m:t>
                    </m:r>
                  </m:sub>
                </m:sSub>
              </m:oMath>
            </m:oMathPara>
          </w:p>
        </w:tc>
        <w:tc>
          <w:tcPr>
            <w:tcW w:w="3095" w:type="dxa"/>
            <w:vAlign w:val="center"/>
          </w:tcPr>
          <w:p w14:paraId="6F91A894" w14:textId="77777777" w:rsidR="009F3656" w:rsidRPr="00645B30" w:rsidRDefault="009F3656" w:rsidP="006D7142">
            <w:pPr>
              <w:pStyle w:val="TAC"/>
              <w:rPr>
                <w:i/>
                <w:iCs/>
                <w:lang w:eastAsia="ko-KR"/>
              </w:rPr>
            </w:pPr>
            <w:r w:rsidRPr="00645B30">
              <w:rPr>
                <w:i/>
                <w:iCs/>
                <w:lang w:eastAsia="ko-KR"/>
              </w:rPr>
              <w:t>-7.5</w:t>
            </w:r>
          </w:p>
        </w:tc>
        <w:tc>
          <w:tcPr>
            <w:tcW w:w="3095" w:type="dxa"/>
            <w:vAlign w:val="center"/>
          </w:tcPr>
          <w:p w14:paraId="41FD3020" w14:textId="77777777" w:rsidR="009F3656" w:rsidRPr="00645B30" w:rsidRDefault="009F3656" w:rsidP="006D7142">
            <w:pPr>
              <w:pStyle w:val="TAC"/>
              <w:rPr>
                <w:i/>
                <w:iCs/>
              </w:rPr>
            </w:pPr>
            <w:r w:rsidRPr="00645B30">
              <w:rPr>
                <w:i/>
                <w:iCs/>
              </w:rPr>
              <w:t>-7.5</w:t>
            </w:r>
          </w:p>
        </w:tc>
      </w:tr>
      <w:tr w:rsidR="009F3656" w:rsidRPr="00645B30" w14:paraId="4B584410" w14:textId="77777777" w:rsidTr="006D7142">
        <w:trPr>
          <w:jc w:val="center"/>
        </w:trPr>
        <w:tc>
          <w:tcPr>
            <w:tcW w:w="2122" w:type="dxa"/>
            <w:vMerge/>
            <w:vAlign w:val="center"/>
          </w:tcPr>
          <w:p w14:paraId="1912A0FF" w14:textId="77777777" w:rsidR="009F3656" w:rsidRPr="00645B30" w:rsidRDefault="009F3656" w:rsidP="006D7142">
            <w:pPr>
              <w:pStyle w:val="TAC"/>
              <w:rPr>
                <w:i/>
                <w:iCs/>
              </w:rPr>
            </w:pPr>
          </w:p>
        </w:tc>
        <w:tc>
          <w:tcPr>
            <w:tcW w:w="1319" w:type="dxa"/>
            <w:vAlign w:val="center"/>
          </w:tcPr>
          <w:p w14:paraId="7AB70384" w14:textId="77777777" w:rsidR="009F3656" w:rsidRPr="00645B30" w:rsidRDefault="00EF6DA5" w:rsidP="006D7142">
            <w:pPr>
              <w:pStyle w:val="TAC"/>
              <w:rPr>
                <w:i/>
                <w:iCs/>
              </w:rPr>
            </w:pPr>
            <m:oMathPara>
              <m:oMath>
                <m:sSub>
                  <m:sSubPr>
                    <m:ctrlPr>
                      <w:rPr>
                        <w:rFonts w:ascii="Cambria Math" w:hAnsi="Cambria Math"/>
                        <w:i/>
                        <w:iCs/>
                      </w:rPr>
                    </m:ctrlPr>
                  </m:sSubPr>
                  <m:e>
                    <m:r>
                      <w:rPr>
                        <w:rFonts w:ascii="Cambria Math" w:hAnsi="Cambria Math"/>
                      </w:rPr>
                      <m:t>σ</m:t>
                    </m:r>
                  </m:e>
                  <m:sub>
                    <m:r>
                      <w:rPr>
                        <w:rFonts w:ascii="Cambria Math" w:hAnsi="Cambria Math"/>
                      </w:rPr>
                      <m:t>lgΔτ</m:t>
                    </m:r>
                  </m:sub>
                </m:sSub>
              </m:oMath>
            </m:oMathPara>
          </w:p>
        </w:tc>
        <w:tc>
          <w:tcPr>
            <w:tcW w:w="3095" w:type="dxa"/>
            <w:shd w:val="clear" w:color="auto" w:fill="auto"/>
            <w:vAlign w:val="center"/>
          </w:tcPr>
          <w:p w14:paraId="5A0ED796" w14:textId="77777777" w:rsidR="009F3656" w:rsidRPr="00645B30" w:rsidRDefault="009F3656" w:rsidP="006D7142">
            <w:pPr>
              <w:pStyle w:val="TAC"/>
              <w:rPr>
                <w:i/>
                <w:iCs/>
                <w:lang w:eastAsia="ko-KR"/>
              </w:rPr>
            </w:pPr>
            <w:r w:rsidRPr="00645B30">
              <w:rPr>
                <w:i/>
                <w:iCs/>
                <w:lang w:eastAsia="ko-KR"/>
              </w:rPr>
              <w:t>0.4</w:t>
            </w:r>
          </w:p>
        </w:tc>
        <w:tc>
          <w:tcPr>
            <w:tcW w:w="3095" w:type="dxa"/>
            <w:shd w:val="clear" w:color="auto" w:fill="auto"/>
            <w:vAlign w:val="center"/>
          </w:tcPr>
          <w:p w14:paraId="0671806B" w14:textId="77777777" w:rsidR="009F3656" w:rsidRPr="00645B30" w:rsidRDefault="009F3656" w:rsidP="006D7142">
            <w:pPr>
              <w:pStyle w:val="TAC"/>
              <w:rPr>
                <w:i/>
                <w:iCs/>
                <w:lang w:eastAsia="ko-KR"/>
              </w:rPr>
            </w:pPr>
            <w:r w:rsidRPr="00645B30">
              <w:rPr>
                <w:i/>
                <w:iCs/>
                <w:lang w:eastAsia="ko-KR"/>
              </w:rPr>
              <w:t>0.4</w:t>
            </w:r>
          </w:p>
        </w:tc>
      </w:tr>
      <w:tr w:rsidR="009F3656" w:rsidRPr="00645B30" w14:paraId="5DFC095D" w14:textId="77777777" w:rsidTr="006D7142">
        <w:trPr>
          <w:jc w:val="center"/>
        </w:trPr>
        <w:tc>
          <w:tcPr>
            <w:tcW w:w="0" w:type="auto"/>
            <w:gridSpan w:val="2"/>
            <w:vAlign w:val="center"/>
          </w:tcPr>
          <w:p w14:paraId="143806B0" w14:textId="77777777" w:rsidR="009F3656" w:rsidRPr="00645B30" w:rsidRDefault="009F3656" w:rsidP="006D7142">
            <w:pPr>
              <w:pStyle w:val="TAC"/>
              <w:rPr>
                <w:i/>
                <w:iCs/>
              </w:rPr>
            </w:pPr>
            <w:r w:rsidRPr="00645B30">
              <w:rPr>
                <w:i/>
                <w:iCs/>
              </w:rPr>
              <w:t>Correlation distance in the horizontal plane [m]</w:t>
            </w:r>
          </w:p>
        </w:tc>
        <w:tc>
          <w:tcPr>
            <w:tcW w:w="3095" w:type="dxa"/>
          </w:tcPr>
          <w:p w14:paraId="44653E7E" w14:textId="77777777" w:rsidR="009F3656" w:rsidRPr="00645B30" w:rsidRDefault="009F3656" w:rsidP="006D7142">
            <w:pPr>
              <w:pStyle w:val="TAC"/>
              <w:rPr>
                <w:i/>
                <w:iCs/>
              </w:rPr>
            </w:pPr>
            <w:r w:rsidRPr="00645B30">
              <w:rPr>
                <w:i/>
                <w:iCs/>
                <w:lang w:eastAsia="ko-KR"/>
              </w:rPr>
              <w:t>6</w:t>
            </w:r>
          </w:p>
        </w:tc>
        <w:tc>
          <w:tcPr>
            <w:tcW w:w="3095" w:type="dxa"/>
          </w:tcPr>
          <w:p w14:paraId="7B1B3638" w14:textId="77777777" w:rsidR="009F3656" w:rsidRPr="00645B30" w:rsidRDefault="009F3656" w:rsidP="006D7142">
            <w:pPr>
              <w:pStyle w:val="TAC"/>
              <w:rPr>
                <w:i/>
                <w:iCs/>
              </w:rPr>
            </w:pPr>
            <w:r w:rsidRPr="00645B30">
              <w:rPr>
                <w:i/>
                <w:iCs/>
                <w:lang w:eastAsia="ko-KR"/>
              </w:rPr>
              <w:t>11</w:t>
            </w:r>
          </w:p>
        </w:tc>
      </w:tr>
    </w:tbl>
    <w:p w14:paraId="6D5AC5D9" w14:textId="77777777" w:rsidR="00CF5F24" w:rsidRDefault="00CF5F24" w:rsidP="00CF5F24">
      <w:pPr>
        <w:spacing w:after="0"/>
        <w:rPr>
          <w:lang w:val="en-IN"/>
        </w:rPr>
      </w:pPr>
    </w:p>
    <w:p w14:paraId="1354AE44" w14:textId="5B329F74" w:rsidR="009F3656" w:rsidRDefault="009F3656" w:rsidP="009F3656">
      <w:pPr>
        <w:spacing w:after="0"/>
      </w:pPr>
    </w:p>
    <w:p w14:paraId="7C04911C" w14:textId="628494FE" w:rsidR="00CF5F24" w:rsidRDefault="009F3656" w:rsidP="009F3656">
      <w:pPr>
        <w:spacing w:after="0"/>
        <w:rPr>
          <w:lang w:val="en-IN"/>
        </w:rPr>
      </w:pPr>
      <w:r>
        <w:rPr>
          <w:lang w:val="en-IN"/>
        </w:rPr>
        <w:t xml:space="preserve"> </w:t>
      </w:r>
    </w:p>
    <w:p w14:paraId="313FD7F8" w14:textId="092BA4DE" w:rsidR="00CF5F24" w:rsidRDefault="00CF5F24" w:rsidP="008F3998">
      <w:pPr>
        <w:spacing w:after="0"/>
        <w:rPr>
          <w:lang w:val="en-IN"/>
        </w:rPr>
      </w:pPr>
      <w:r w:rsidRPr="009F3656">
        <w:rPr>
          <w:b/>
          <w:bCs/>
          <w:i/>
          <w:iCs/>
          <w:lang w:val="en-IN"/>
        </w:rPr>
        <w:t>Proposal 1:</w:t>
      </w:r>
      <w:r w:rsidRPr="009F3656">
        <w:rPr>
          <w:lang w:val="en-IN"/>
        </w:rPr>
        <w:t xml:space="preserve"> </w:t>
      </w:r>
      <w:r w:rsidR="006218EB">
        <w:rPr>
          <w:lang w:val="en-IN"/>
        </w:rPr>
        <w:t xml:space="preserve">The NLOS offset of </w:t>
      </w:r>
      <w:r w:rsidR="006218EB" w:rsidRPr="009F3656">
        <w:rPr>
          <w:lang w:val="en-IN"/>
        </w:rPr>
        <w:t>Table 7.6.9-1 of TR38.901</w:t>
      </w:r>
      <w:r w:rsidR="006218EB">
        <w:rPr>
          <w:lang w:val="en-IN"/>
        </w:rPr>
        <w:t xml:space="preserve"> should not be reused without adaptation </w:t>
      </w:r>
      <w:r w:rsidR="006218EB">
        <w:rPr>
          <w:szCs w:val="20"/>
          <w:lang w:eastAsia="zh-CN"/>
        </w:rPr>
        <w:t>for the</w:t>
      </w:r>
      <w:r w:rsidR="009F3656" w:rsidRPr="009F3656">
        <w:rPr>
          <w:szCs w:val="20"/>
          <w:lang w:eastAsia="zh-CN"/>
        </w:rPr>
        <w:t xml:space="preserve"> </w:t>
      </w:r>
      <w:proofErr w:type="spellStart"/>
      <w:r w:rsidR="009F3656" w:rsidRPr="009F3656">
        <w:rPr>
          <w:szCs w:val="20"/>
          <w:lang w:eastAsia="zh-CN"/>
        </w:rPr>
        <w:t>UMi</w:t>
      </w:r>
      <w:proofErr w:type="spellEnd"/>
      <w:r w:rsidR="009F3656" w:rsidRPr="009F3656">
        <w:rPr>
          <w:szCs w:val="20"/>
          <w:lang w:eastAsia="zh-CN"/>
        </w:rPr>
        <w:t xml:space="preserve">, </w:t>
      </w:r>
      <w:proofErr w:type="spellStart"/>
      <w:r w:rsidR="009F3656" w:rsidRPr="009F3656">
        <w:rPr>
          <w:szCs w:val="20"/>
          <w:lang w:eastAsia="zh-CN"/>
        </w:rPr>
        <w:t>UMa</w:t>
      </w:r>
      <w:proofErr w:type="spellEnd"/>
      <w:r w:rsidR="009F3656" w:rsidRPr="009F3656">
        <w:rPr>
          <w:szCs w:val="20"/>
          <w:lang w:eastAsia="zh-CN"/>
        </w:rPr>
        <w:t xml:space="preserve"> and IOO scenarios</w:t>
      </w:r>
      <w:r w:rsidR="006218EB">
        <w:rPr>
          <w:szCs w:val="20"/>
          <w:lang w:eastAsia="zh-CN"/>
        </w:rPr>
        <w:t xml:space="preserve">. Further studies on the appropriate values are needed. </w:t>
      </w:r>
      <w:r w:rsidR="009F3656">
        <w:rPr>
          <w:szCs w:val="20"/>
          <w:lang w:eastAsia="zh-CN"/>
        </w:rPr>
        <w:t xml:space="preserve"> </w:t>
      </w:r>
    </w:p>
    <w:p w14:paraId="1F777F30" w14:textId="465711CE" w:rsidR="00CF5F24" w:rsidRDefault="00CF5F24" w:rsidP="008F3998">
      <w:pPr>
        <w:spacing w:after="0"/>
        <w:rPr>
          <w:lang w:val="en-IN"/>
        </w:rPr>
      </w:pPr>
    </w:p>
    <w:p w14:paraId="1552DC9D" w14:textId="45F28FB2" w:rsidR="00CF5F24" w:rsidRDefault="00DB1006" w:rsidP="008F3998">
      <w:pPr>
        <w:spacing w:after="0"/>
        <w:rPr>
          <w:lang w:val="en-IN"/>
        </w:rPr>
      </w:pPr>
      <w:r>
        <w:rPr>
          <w:lang w:val="en-IN"/>
        </w:rPr>
        <w:t>Another aspect that was discussed extensively in the previous RAN1 meeting is on the UE antenna configurations and parameters. At present, we have the following agreed:</w:t>
      </w:r>
    </w:p>
    <w:tbl>
      <w:tblPr>
        <w:tblW w:w="991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261"/>
        <w:gridCol w:w="4058"/>
      </w:tblGrid>
      <w:tr w:rsidR="00DB1006" w14:paraId="793DCDF8" w14:textId="77777777" w:rsidTr="0084082F">
        <w:tc>
          <w:tcPr>
            <w:tcW w:w="2594" w:type="dxa"/>
            <w:tcBorders>
              <w:top w:val="single" w:sz="4" w:space="0" w:color="auto"/>
              <w:left w:val="single" w:sz="4" w:space="0" w:color="auto"/>
              <w:bottom w:val="single" w:sz="4" w:space="0" w:color="auto"/>
              <w:right w:val="single" w:sz="4" w:space="0" w:color="auto"/>
            </w:tcBorders>
            <w:vAlign w:val="center"/>
            <w:hideMark/>
          </w:tcPr>
          <w:p w14:paraId="053A28FD" w14:textId="77777777" w:rsidR="00DB1006" w:rsidRDefault="00DB1006" w:rsidP="0084082F">
            <w:pPr>
              <w:pStyle w:val="TAL"/>
            </w:pPr>
            <w:r>
              <w:lastRenderedPageBreak/>
              <w:t>UE antenna configuration</w:t>
            </w:r>
          </w:p>
        </w:tc>
        <w:tc>
          <w:tcPr>
            <w:tcW w:w="3259" w:type="dxa"/>
            <w:tcBorders>
              <w:top w:val="single" w:sz="4" w:space="0" w:color="auto"/>
              <w:left w:val="single" w:sz="4" w:space="0" w:color="auto"/>
              <w:bottom w:val="single" w:sz="4" w:space="0" w:color="auto"/>
              <w:right w:val="single" w:sz="4" w:space="0" w:color="auto"/>
            </w:tcBorders>
            <w:vAlign w:val="center"/>
            <w:hideMark/>
          </w:tcPr>
          <w:p w14:paraId="23432B88" w14:textId="77777777" w:rsidR="00DB1006" w:rsidRPr="006E093F" w:rsidRDefault="00DB1006" w:rsidP="0084082F">
            <w:pPr>
              <w:pStyle w:val="TAL"/>
              <w:rPr>
                <w:rFonts w:cs="Arial"/>
                <w:szCs w:val="18"/>
              </w:rPr>
            </w:pPr>
            <w:r w:rsidRPr="006E093F">
              <w:rPr>
                <w:rFonts w:cs="Arial"/>
                <w:szCs w:val="18"/>
              </w:rPr>
              <w:t>Panel model 1 – Note 1</w:t>
            </w:r>
          </w:p>
          <w:p w14:paraId="62E9CE08" w14:textId="77777777" w:rsidR="00DB1006" w:rsidRPr="006E093F" w:rsidRDefault="00DB1006" w:rsidP="0084082F">
            <w:pPr>
              <w:pStyle w:val="TAL"/>
              <w:rPr>
                <w:rFonts w:cs="Arial"/>
                <w:szCs w:val="18"/>
              </w:rPr>
            </w:pPr>
            <w:r w:rsidRPr="006E093F">
              <w:rPr>
                <w:rStyle w:val="normaltextrun"/>
                <w:rFonts w:cs="Arial"/>
                <w:color w:val="181818"/>
                <w:szCs w:val="18"/>
              </w:rPr>
              <w:t xml:space="preserve">Mg = 1, Ng = 1, P = 2, </w:t>
            </w:r>
            <w:r w:rsidRPr="006E093F">
              <w:rPr>
                <w:rStyle w:val="spellingerror"/>
                <w:rFonts w:cs="Arial"/>
                <w:color w:val="181818"/>
                <w:szCs w:val="18"/>
              </w:rPr>
              <w:t>dH</w:t>
            </w:r>
            <w:r w:rsidRPr="006E093F">
              <w:rPr>
                <w:rStyle w:val="normaltextrun"/>
                <w:rFonts w:cs="Arial"/>
                <w:color w:val="181818"/>
                <w:szCs w:val="18"/>
              </w:rPr>
              <w:t xml:space="preserve"> = 0.5λ,</w:t>
            </w:r>
            <w:r w:rsidRPr="006E093F">
              <w:rPr>
                <w:rFonts w:cs="Arial"/>
                <w:color w:val="181818"/>
                <w:szCs w:val="18"/>
              </w:rPr>
              <w:br/>
            </w:r>
            <w:r w:rsidRPr="006E093F">
              <w:rPr>
                <w:rStyle w:val="normaltextrun"/>
                <w:rFonts w:cs="Arial"/>
                <w:color w:val="181818"/>
                <w:szCs w:val="18"/>
              </w:rPr>
              <w:t>(M, N, P, Mg, Ng) = (1, 2, 2, 1, 1)</w:t>
            </w:r>
          </w:p>
        </w:tc>
        <w:tc>
          <w:tcPr>
            <w:tcW w:w="4055" w:type="dxa"/>
            <w:tcBorders>
              <w:top w:val="single" w:sz="4" w:space="0" w:color="auto"/>
              <w:left w:val="single" w:sz="4" w:space="0" w:color="auto"/>
              <w:bottom w:val="single" w:sz="4" w:space="0" w:color="auto"/>
              <w:right w:val="single" w:sz="4" w:space="0" w:color="auto"/>
            </w:tcBorders>
          </w:tcPr>
          <w:p w14:paraId="3E91E9A4" w14:textId="77777777" w:rsidR="00DB1006" w:rsidRDefault="00DB1006" w:rsidP="0084082F">
            <w:pPr>
              <w:pStyle w:val="TAL"/>
              <w:rPr>
                <w:rFonts w:cs="Arial"/>
                <w:szCs w:val="18"/>
              </w:rPr>
            </w:pPr>
            <w:r>
              <w:rPr>
                <w:rFonts w:cs="Arial"/>
                <w:szCs w:val="18"/>
              </w:rPr>
              <w:t>Baseline:</w:t>
            </w:r>
          </w:p>
          <w:p w14:paraId="7EBCFF28" w14:textId="77777777" w:rsidR="00DB1006" w:rsidRDefault="00DB1006" w:rsidP="0084082F">
            <w:pPr>
              <w:pStyle w:val="TAL"/>
              <w:rPr>
                <w:rFonts w:cs="Arial"/>
                <w:szCs w:val="18"/>
              </w:rPr>
            </w:pPr>
            <w:r>
              <w:rPr>
                <w:rFonts w:cs="Arial"/>
                <w:szCs w:val="18"/>
              </w:rPr>
              <w:t>Multi-panel Configuration 1 and Panel Configuration a – Note 1</w:t>
            </w:r>
          </w:p>
          <w:p w14:paraId="3395A5C8" w14:textId="77777777" w:rsidR="00DB1006" w:rsidRDefault="00DB1006" w:rsidP="0084082F">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0F05B410" w14:textId="77777777" w:rsidR="00DB1006" w:rsidRDefault="00DB1006" w:rsidP="0084082F">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68D98B73" w14:textId="77777777" w:rsidR="00DB1006" w:rsidRDefault="00DB1006" w:rsidP="0084082F">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7CC7991C" w14:textId="77777777" w:rsidR="00DB1006" w:rsidRDefault="00DB1006" w:rsidP="0084082F">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1049BB50" w14:textId="77777777" w:rsidR="00DB1006" w:rsidRDefault="00DB1006" w:rsidP="0084082F">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77A3B484" w14:textId="77777777" w:rsidR="00DB1006" w:rsidRDefault="00DB1006" w:rsidP="0084082F">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5E511E98" w14:textId="77777777" w:rsidR="00DB1006" w:rsidRDefault="00DB1006" w:rsidP="0084082F">
            <w:pPr>
              <w:pStyle w:val="B2"/>
              <w:spacing w:after="0"/>
              <w:ind w:left="689" w:hanging="230"/>
              <w:rPr>
                <w:rFonts w:ascii="Arial" w:hAnsi="Arial" w:cs="Arial"/>
                <w:sz w:val="18"/>
                <w:szCs w:val="18"/>
              </w:rPr>
            </w:pPr>
          </w:p>
          <w:p w14:paraId="690F83C2" w14:textId="0E09CA6E" w:rsidR="00DB1006" w:rsidRDefault="00DB1006" w:rsidP="0084082F">
            <w:pPr>
              <w:pStyle w:val="B2"/>
              <w:spacing w:after="0"/>
              <w:ind w:left="689" w:hanging="230"/>
              <w:rPr>
                <w:rFonts w:ascii="Arial" w:hAnsi="Arial" w:cs="Arial"/>
                <w:sz w:val="18"/>
                <w:szCs w:val="18"/>
              </w:rPr>
            </w:pPr>
            <w:r>
              <w:rPr>
                <w:rFonts w:ascii="Arial" w:hAnsi="Arial" w:cs="Arial"/>
                <w:sz w:val="18"/>
                <w:szCs w:val="18"/>
              </w:rPr>
              <w:t xml:space="preserve">Optional: FFS </w:t>
            </w:r>
          </w:p>
          <w:p w14:paraId="133EA1D1" w14:textId="77777777" w:rsidR="00DB1006" w:rsidRDefault="00DB1006" w:rsidP="0084082F">
            <w:pPr>
              <w:pStyle w:val="B2"/>
              <w:spacing w:after="0"/>
              <w:ind w:left="0" w:firstLine="0"/>
              <w:rPr>
                <w:rFonts w:ascii="Arial" w:hAnsi="Arial" w:cs="Arial"/>
                <w:sz w:val="18"/>
                <w:szCs w:val="18"/>
              </w:rPr>
            </w:pPr>
          </w:p>
          <w:p w14:paraId="64D27776" w14:textId="77777777" w:rsidR="00DB1006" w:rsidRDefault="00DB1006" w:rsidP="0084082F">
            <w:pPr>
              <w:pStyle w:val="B2"/>
              <w:spacing w:after="0"/>
              <w:rPr>
                <w:rFonts w:ascii="Arial" w:hAnsi="Arial" w:cs="Arial"/>
                <w:sz w:val="18"/>
                <w:szCs w:val="18"/>
              </w:rPr>
            </w:pPr>
          </w:p>
        </w:tc>
      </w:tr>
    </w:tbl>
    <w:p w14:paraId="057F71B7" w14:textId="77777777" w:rsidR="00DB1006" w:rsidRDefault="00DB1006" w:rsidP="008F3998">
      <w:pPr>
        <w:spacing w:after="0"/>
        <w:rPr>
          <w:lang w:val="en-IN"/>
        </w:rPr>
      </w:pPr>
    </w:p>
    <w:p w14:paraId="6BC3B50A" w14:textId="42B70B04" w:rsidR="008F3998" w:rsidRDefault="008F3998" w:rsidP="00693658">
      <w:pPr>
        <w:spacing w:after="0"/>
      </w:pPr>
    </w:p>
    <w:p w14:paraId="63AD4558" w14:textId="39AD0DFA" w:rsidR="00BC77C5" w:rsidRDefault="00BC77C5" w:rsidP="00BC77C5">
      <w:pPr>
        <w:spacing w:after="0"/>
      </w:pPr>
      <w:r>
        <w:t xml:space="preserve">For FR1, the agreed default UE antenna configuration is </w:t>
      </w:r>
      <w:r w:rsidR="006E093F">
        <w:t xml:space="preserve">the </w:t>
      </w:r>
      <w:r>
        <w:t>omni antenna pattern</w:t>
      </w:r>
      <w:r w:rsidR="006E093F">
        <w:t>, the same pattern</w:t>
      </w:r>
      <w:r>
        <w:t xml:space="preserve"> that has been adopted since Rel-15 (TR38.802). </w:t>
      </w:r>
      <w:r w:rsidR="006E093F">
        <w:t xml:space="preserve">However, in RAN1#101-e </w:t>
      </w:r>
      <w:r>
        <w:t xml:space="preserve">the following </w:t>
      </w:r>
      <w:r w:rsidR="006218EB">
        <w:t>was agreed on the optional use of a 4-panel UE antenna configuration</w:t>
      </w:r>
      <w:r>
        <w:t>:</w:t>
      </w:r>
    </w:p>
    <w:p w14:paraId="094A36AF" w14:textId="77777777" w:rsidR="00BC77C5" w:rsidRDefault="00BC77C5" w:rsidP="00BC77C5">
      <w:pPr>
        <w:spacing w:after="0"/>
      </w:pPr>
    </w:p>
    <w:p w14:paraId="7F2098C2" w14:textId="77777777" w:rsidR="00BC77C5" w:rsidRPr="00212EE2" w:rsidRDefault="00BC77C5" w:rsidP="00BC77C5">
      <w:pPr>
        <w:ind w:left="425"/>
        <w:rPr>
          <w:i/>
          <w:iCs/>
          <w:lang w:eastAsia="x-none"/>
        </w:rPr>
      </w:pPr>
      <w:r w:rsidRPr="00212EE2">
        <w:rPr>
          <w:i/>
          <w:iCs/>
          <w:lang w:eastAsia="x-none"/>
        </w:rPr>
        <w:t>Optional: The following UE antenna configuration can be considered</w:t>
      </w:r>
    </w:p>
    <w:p w14:paraId="20914BBB" w14:textId="77777777" w:rsidR="00BC77C5" w:rsidRPr="00212EE2" w:rsidRDefault="00BC77C5" w:rsidP="00BC77C5">
      <w:pPr>
        <w:numPr>
          <w:ilvl w:val="0"/>
          <w:numId w:val="9"/>
        </w:numPr>
        <w:autoSpaceDE/>
        <w:autoSpaceDN/>
        <w:adjustRightInd/>
        <w:snapToGrid/>
        <w:spacing w:after="0"/>
        <w:ind w:left="1145"/>
        <w:jc w:val="left"/>
        <w:rPr>
          <w:i/>
          <w:iCs/>
          <w:lang w:eastAsia="x-none"/>
        </w:rPr>
      </w:pPr>
      <w:r w:rsidRPr="00212EE2">
        <w:rPr>
          <w:i/>
          <w:iCs/>
          <w:lang w:eastAsia="x-none"/>
        </w:rPr>
        <w:t>4 UE panels:</w:t>
      </w:r>
    </w:p>
    <w:p w14:paraId="01130527" w14:textId="77777777" w:rsidR="00BC77C5" w:rsidRPr="00212EE2" w:rsidRDefault="00BC77C5" w:rsidP="00BC77C5">
      <w:pPr>
        <w:numPr>
          <w:ilvl w:val="1"/>
          <w:numId w:val="9"/>
        </w:numPr>
        <w:autoSpaceDE/>
        <w:autoSpaceDN/>
        <w:adjustRightInd/>
        <w:snapToGrid/>
        <w:spacing w:after="0"/>
        <w:ind w:left="1865"/>
        <w:jc w:val="left"/>
        <w:rPr>
          <w:i/>
          <w:iCs/>
          <w:lang w:eastAsia="x-none"/>
        </w:rPr>
      </w:pPr>
      <w:r w:rsidRPr="00212EE2">
        <w:rPr>
          <w:i/>
          <w:iCs/>
          <w:lang w:eastAsia="x-none"/>
        </w:rPr>
        <w:t>The antenna elements of the same polarization of the same panel is virtualized into one TXRU</w:t>
      </w:r>
    </w:p>
    <w:p w14:paraId="51B94FD5" w14:textId="77777777" w:rsidR="00BC77C5" w:rsidRPr="00212EE2" w:rsidRDefault="00BC77C5" w:rsidP="00BC77C5">
      <w:pPr>
        <w:numPr>
          <w:ilvl w:val="0"/>
          <w:numId w:val="9"/>
        </w:numPr>
        <w:autoSpaceDE/>
        <w:autoSpaceDN/>
        <w:adjustRightInd/>
        <w:snapToGrid/>
        <w:spacing w:after="0"/>
        <w:ind w:left="1145"/>
        <w:jc w:val="left"/>
        <w:rPr>
          <w:lang w:eastAsia="x-none"/>
        </w:rPr>
      </w:pPr>
      <w:r w:rsidRPr="00212EE2">
        <w:rPr>
          <w:i/>
          <w:iCs/>
          <w:lang w:eastAsia="x-none"/>
        </w:rPr>
        <w:t>FFS: Other details</w:t>
      </w:r>
    </w:p>
    <w:p w14:paraId="4D386DBB" w14:textId="77777777" w:rsidR="00BC77C5" w:rsidRDefault="00BC77C5" w:rsidP="00BC77C5">
      <w:pPr>
        <w:spacing w:after="0"/>
      </w:pPr>
    </w:p>
    <w:p w14:paraId="08D66B97" w14:textId="313E7BA8" w:rsidR="00BC77C5" w:rsidRPr="00F85D9A" w:rsidRDefault="006218EB" w:rsidP="00BC77C5">
      <w:pPr>
        <w:spacing w:after="0"/>
      </w:pPr>
      <w:r>
        <w:t>Some details are left as FFS, specifically on the panel configurations. It should be noted that t</w:t>
      </w:r>
      <w:r w:rsidR="00BC77C5" w:rsidRPr="00F85D9A">
        <w:t>he current baseline for FR2 supports a 2-panel UE antenna</w:t>
      </w:r>
      <w:r>
        <w:t xml:space="preserve"> with </w:t>
      </w:r>
      <w:r w:rsidR="00BC77C5" w:rsidRPr="00F85D9A">
        <w:t>Mg, Ng = (1, 2), with each panel configuration given by:</w:t>
      </w:r>
    </w:p>
    <w:p w14:paraId="24EA2C5D" w14:textId="77777777" w:rsidR="00BC77C5" w:rsidRPr="00F85D9A" w:rsidRDefault="00BC77C5" w:rsidP="00BC77C5">
      <w:pPr>
        <w:pStyle w:val="ListParagraph"/>
        <w:numPr>
          <w:ilvl w:val="0"/>
          <w:numId w:val="24"/>
        </w:numPr>
        <w:spacing w:after="0"/>
        <w:rPr>
          <w:rFonts w:ascii="Times New Roman" w:hAnsi="Times New Roman"/>
        </w:rPr>
      </w:pPr>
      <w:r w:rsidRPr="00F85D9A">
        <w:rPr>
          <w:rFonts w:ascii="Times New Roman" w:hAnsi="Times New Roman"/>
        </w:rPr>
        <w:t>Each antenna array has shape dH=dV=0.5λ</w:t>
      </w:r>
    </w:p>
    <w:p w14:paraId="46B4C194" w14:textId="77777777" w:rsidR="00BC77C5" w:rsidRPr="00F85D9A" w:rsidRDefault="00BC77C5" w:rsidP="00BC77C5">
      <w:pPr>
        <w:pStyle w:val="ListParagraph"/>
        <w:numPr>
          <w:ilvl w:val="0"/>
          <w:numId w:val="24"/>
        </w:numPr>
        <w:spacing w:after="0"/>
        <w:rPr>
          <w:rFonts w:ascii="Times New Roman" w:hAnsi="Times New Roman"/>
        </w:rPr>
      </w:pPr>
      <w:r w:rsidRPr="00F85D9A">
        <w:rPr>
          <w:rFonts w:ascii="Times New Roman" w:hAnsi="Times New Roman"/>
        </w:rPr>
        <w:t>Config a: (M, N, P) = (2, 4, 2),</w:t>
      </w:r>
    </w:p>
    <w:p w14:paraId="1F7323C8" w14:textId="77777777" w:rsidR="00BC77C5" w:rsidRPr="00F85D9A" w:rsidRDefault="00BC77C5" w:rsidP="00BC77C5">
      <w:pPr>
        <w:pStyle w:val="B2"/>
        <w:numPr>
          <w:ilvl w:val="0"/>
          <w:numId w:val="24"/>
        </w:numPr>
        <w:spacing w:after="0"/>
        <w:rPr>
          <w:sz w:val="22"/>
          <w:szCs w:val="22"/>
        </w:rPr>
      </w:pPr>
      <w:r w:rsidRPr="00F85D9A">
        <w:rPr>
          <w:sz w:val="22"/>
          <w:szCs w:val="22"/>
        </w:rPr>
        <w:t>The polarization angles are 0° and 90°</w:t>
      </w:r>
    </w:p>
    <w:p w14:paraId="1F308168" w14:textId="77777777" w:rsidR="00BC77C5" w:rsidRPr="00F85D9A" w:rsidRDefault="00BC77C5" w:rsidP="00BC77C5">
      <w:pPr>
        <w:pStyle w:val="B2"/>
        <w:numPr>
          <w:ilvl w:val="0"/>
          <w:numId w:val="24"/>
        </w:numPr>
        <w:spacing w:after="0"/>
        <w:rPr>
          <w:sz w:val="22"/>
          <w:szCs w:val="22"/>
        </w:rPr>
      </w:pPr>
      <w:r w:rsidRPr="00F85D9A">
        <w:rPr>
          <w:sz w:val="22"/>
          <w:szCs w:val="22"/>
        </w:rPr>
        <w:t>The antenna elements of the same polarization of the same panel is virtualized into one TXRU</w:t>
      </w:r>
    </w:p>
    <w:p w14:paraId="22E12CC7" w14:textId="77777777" w:rsidR="00BC77C5" w:rsidRPr="00F85D9A" w:rsidRDefault="00BC77C5" w:rsidP="00BC77C5">
      <w:pPr>
        <w:spacing w:after="0"/>
      </w:pPr>
    </w:p>
    <w:p w14:paraId="337F9866" w14:textId="3A626A86" w:rsidR="00BC77C5" w:rsidRDefault="006218EB" w:rsidP="00BC77C5">
      <w:pPr>
        <w:spacing w:after="0"/>
      </w:pPr>
      <w:r>
        <w:t>Unless shown to be not applicable, we believe th</w:t>
      </w:r>
      <w:r w:rsidR="00BC77C5">
        <w:t xml:space="preserve">e above panel configuration </w:t>
      </w:r>
      <w:r w:rsidR="006E093F">
        <w:t xml:space="preserve">can </w:t>
      </w:r>
      <w:r>
        <w:t xml:space="preserve">also </w:t>
      </w:r>
      <w:r w:rsidR="00BC77C5">
        <w:t>be appl</w:t>
      </w:r>
      <w:r w:rsidR="006E093F">
        <w:t xml:space="preserve">ied </w:t>
      </w:r>
      <w:r w:rsidR="00BC77C5">
        <w:t>for the 4-panel UE antenna as well</w:t>
      </w:r>
      <w:r w:rsidR="006E093F">
        <w:t xml:space="preserve">. </w:t>
      </w:r>
      <w:r>
        <w:t xml:space="preserve">This would have the added benefit of allowing for </w:t>
      </w:r>
      <w:r w:rsidR="006E093F">
        <w:t xml:space="preserve">direct comparison </w:t>
      </w:r>
      <w:r>
        <w:t xml:space="preserve">between the 2-panel and 4-panel UE antenna deployments. </w:t>
      </w:r>
      <w:r w:rsidR="00BC77C5">
        <w:t xml:space="preserve"> </w:t>
      </w:r>
    </w:p>
    <w:p w14:paraId="41064D2F" w14:textId="77777777" w:rsidR="00BC77C5" w:rsidRDefault="00BC77C5" w:rsidP="00BC77C5">
      <w:pPr>
        <w:spacing w:after="0"/>
      </w:pPr>
    </w:p>
    <w:p w14:paraId="2E81C7F8" w14:textId="6C9D583D" w:rsidR="00163537" w:rsidRDefault="00BC77C5" w:rsidP="00BC77C5">
      <w:pPr>
        <w:spacing w:after="0"/>
      </w:pPr>
      <w:r w:rsidRPr="00C3658D">
        <w:rPr>
          <w:b/>
          <w:bCs/>
          <w:i/>
          <w:iCs/>
        </w:rPr>
        <w:t>Proposal 2:</w:t>
      </w:r>
      <w:r>
        <w:rPr>
          <w:b/>
          <w:bCs/>
          <w:i/>
          <w:iCs/>
        </w:rPr>
        <w:t xml:space="preserve"> </w:t>
      </w:r>
      <w:r w:rsidRPr="00F85D9A">
        <w:t xml:space="preserve">For the optional 4-panel UE antenna, the panel configuration </w:t>
      </w:r>
      <w:r w:rsidR="00163537">
        <w:t>as already agreed for 2-panel UE antenna can be reused or adapted.</w:t>
      </w:r>
    </w:p>
    <w:p w14:paraId="286339C8" w14:textId="77777777" w:rsidR="00C3658D" w:rsidRDefault="00C3658D" w:rsidP="00693658">
      <w:pPr>
        <w:spacing w:after="0"/>
      </w:pPr>
    </w:p>
    <w:p w14:paraId="5C73AF7A" w14:textId="77777777" w:rsidR="00E04B59" w:rsidRDefault="00E04B59" w:rsidP="00AC02C9">
      <w:pPr>
        <w:overflowPunct w:val="0"/>
        <w:snapToGrid/>
        <w:spacing w:after="180"/>
        <w:ind w:right="-99"/>
        <w:jc w:val="left"/>
        <w:textAlignment w:val="baseline"/>
        <w:rPr>
          <w:lang w:eastAsia="ja-JP"/>
        </w:rPr>
      </w:pPr>
    </w:p>
    <w:p w14:paraId="18B94AA5" w14:textId="4F262795" w:rsidR="00157FC3" w:rsidRPr="00493C77" w:rsidRDefault="00747F48" w:rsidP="00493C77">
      <w:pPr>
        <w:pStyle w:val="Heading1"/>
      </w:pPr>
      <w:r w:rsidRPr="00493C77">
        <w:t>Conclusion</w:t>
      </w:r>
      <w:r w:rsidR="006B1FD5" w:rsidRPr="00493C77">
        <w:t>s</w:t>
      </w:r>
    </w:p>
    <w:p w14:paraId="5AC3AABF" w14:textId="77777777" w:rsidR="006218EB" w:rsidRDefault="006218EB" w:rsidP="006218EB">
      <w:pPr>
        <w:rPr>
          <w:lang w:eastAsia="zh-CN"/>
        </w:rPr>
      </w:pPr>
      <w:r w:rsidRPr="009F3656">
        <w:rPr>
          <w:b/>
          <w:bCs/>
          <w:i/>
          <w:iCs/>
          <w:lang w:eastAsia="zh-CN"/>
        </w:rPr>
        <w:t>Observation 1</w:t>
      </w:r>
      <w:r w:rsidRPr="009F3656">
        <w:rPr>
          <w:b/>
          <w:bCs/>
          <w:lang w:eastAsia="zh-CN"/>
        </w:rPr>
        <w:t>:</w:t>
      </w:r>
      <w:r>
        <w:rPr>
          <w:lang w:eastAsia="zh-CN"/>
        </w:rPr>
        <w:t xml:space="preserve"> For the commercial use cases and scenarios </w:t>
      </w:r>
      <w:proofErr w:type="spellStart"/>
      <w:r>
        <w:rPr>
          <w:lang w:eastAsia="zh-CN"/>
        </w:rPr>
        <w:t>UMi</w:t>
      </w:r>
      <w:proofErr w:type="spellEnd"/>
      <w:r>
        <w:rPr>
          <w:lang w:eastAsia="zh-CN"/>
        </w:rPr>
        <w:t>, UMA and IOO, the effects of NLOS on the positioning estimations are expected to be less significant compared to IIOT scenarios due to the expected greater probability of LOS paths.</w:t>
      </w:r>
    </w:p>
    <w:p w14:paraId="5F0C1987" w14:textId="164BCE58" w:rsidR="006218EB" w:rsidRPr="009F3656" w:rsidRDefault="006218EB" w:rsidP="009D675A">
      <w:pPr>
        <w:spacing w:after="0"/>
        <w:rPr>
          <w:szCs w:val="20"/>
          <w:lang w:eastAsia="zh-CN"/>
        </w:rPr>
      </w:pPr>
      <w:r w:rsidRPr="009F3656">
        <w:rPr>
          <w:b/>
          <w:bCs/>
          <w:i/>
          <w:iCs/>
          <w:lang w:val="en-IN"/>
        </w:rPr>
        <w:t>Proposal 1:</w:t>
      </w:r>
      <w:r w:rsidRPr="009F3656">
        <w:rPr>
          <w:lang w:val="en-IN"/>
        </w:rPr>
        <w:t xml:space="preserve"> </w:t>
      </w:r>
      <w:r>
        <w:rPr>
          <w:lang w:val="en-IN"/>
        </w:rPr>
        <w:t xml:space="preserve">The NLOS offset of </w:t>
      </w:r>
      <w:r w:rsidRPr="009F3656">
        <w:rPr>
          <w:lang w:val="en-IN"/>
        </w:rPr>
        <w:t>Table 7.6.9-1 of TR38.901</w:t>
      </w:r>
      <w:r>
        <w:rPr>
          <w:lang w:val="en-IN"/>
        </w:rPr>
        <w:t xml:space="preserve"> should not be reused without adaptation </w:t>
      </w:r>
      <w:r>
        <w:rPr>
          <w:szCs w:val="20"/>
          <w:lang w:eastAsia="zh-CN"/>
        </w:rPr>
        <w:t>for the</w:t>
      </w:r>
      <w:r w:rsidRPr="009F3656">
        <w:rPr>
          <w:szCs w:val="20"/>
          <w:lang w:eastAsia="zh-CN"/>
        </w:rPr>
        <w:t xml:space="preserve"> </w:t>
      </w:r>
      <w:proofErr w:type="spellStart"/>
      <w:r w:rsidRPr="009F3656">
        <w:rPr>
          <w:szCs w:val="20"/>
          <w:lang w:eastAsia="zh-CN"/>
        </w:rPr>
        <w:t>UMi</w:t>
      </w:r>
      <w:proofErr w:type="spellEnd"/>
      <w:r w:rsidRPr="009F3656">
        <w:rPr>
          <w:szCs w:val="20"/>
          <w:lang w:eastAsia="zh-CN"/>
        </w:rPr>
        <w:t xml:space="preserve">, </w:t>
      </w:r>
      <w:proofErr w:type="spellStart"/>
      <w:r w:rsidRPr="009F3656">
        <w:rPr>
          <w:szCs w:val="20"/>
          <w:lang w:eastAsia="zh-CN"/>
        </w:rPr>
        <w:t>UMa</w:t>
      </w:r>
      <w:proofErr w:type="spellEnd"/>
      <w:r w:rsidRPr="009F3656">
        <w:rPr>
          <w:szCs w:val="20"/>
          <w:lang w:eastAsia="zh-CN"/>
        </w:rPr>
        <w:t xml:space="preserve"> and IOO scenarios</w:t>
      </w:r>
      <w:r>
        <w:rPr>
          <w:szCs w:val="20"/>
          <w:lang w:eastAsia="zh-CN"/>
        </w:rPr>
        <w:t xml:space="preserve">. Further studies on the appropriate values are needed.  </w:t>
      </w:r>
    </w:p>
    <w:p w14:paraId="31043D73" w14:textId="77777777" w:rsidR="009D675A" w:rsidRDefault="009D675A" w:rsidP="009D675A">
      <w:pPr>
        <w:spacing w:after="0"/>
        <w:rPr>
          <w:b/>
          <w:bCs/>
          <w:i/>
          <w:iCs/>
        </w:rPr>
      </w:pPr>
    </w:p>
    <w:p w14:paraId="424F79D2" w14:textId="77777777" w:rsidR="00163537" w:rsidRDefault="00163537" w:rsidP="00163537">
      <w:pPr>
        <w:spacing w:after="0"/>
      </w:pPr>
      <w:r w:rsidRPr="00C3658D">
        <w:rPr>
          <w:b/>
          <w:bCs/>
          <w:i/>
          <w:iCs/>
        </w:rPr>
        <w:t>Proposal 2:</w:t>
      </w:r>
      <w:r>
        <w:rPr>
          <w:b/>
          <w:bCs/>
          <w:i/>
          <w:iCs/>
        </w:rPr>
        <w:t xml:space="preserve"> </w:t>
      </w:r>
      <w:r w:rsidRPr="00F85D9A">
        <w:t xml:space="preserve">For the optional 4-panel UE antenna, the panel configuration </w:t>
      </w:r>
      <w:r>
        <w:t>as already agreed for 2-panel UE antenna can be reused or adapted.</w:t>
      </w:r>
    </w:p>
    <w:p w14:paraId="410E44E3" w14:textId="77777777" w:rsidR="001D780E" w:rsidRPr="00D74B92" w:rsidRDefault="001D780E" w:rsidP="007F5EC6">
      <w:pPr>
        <w:pStyle w:val="Heading1"/>
        <w:numPr>
          <w:ilvl w:val="0"/>
          <w:numId w:val="0"/>
        </w:numPr>
        <w:ind w:left="432" w:hanging="432"/>
      </w:pPr>
      <w:bookmarkStart w:id="5" w:name="_Ref124589665"/>
      <w:bookmarkStart w:id="6" w:name="_Ref71620620"/>
      <w:bookmarkStart w:id="7" w:name="_Ref124671424"/>
      <w:r w:rsidRPr="00D74B92">
        <w:lastRenderedPageBreak/>
        <w:t>References</w:t>
      </w:r>
    </w:p>
    <w:p w14:paraId="7991111B" w14:textId="77777777" w:rsidR="009D675A" w:rsidRPr="00211AE0" w:rsidRDefault="009D675A" w:rsidP="009D675A">
      <w:pPr>
        <w:pStyle w:val="References"/>
        <w:wordWrap w:val="0"/>
        <w:rPr>
          <w:sz w:val="22"/>
          <w:szCs w:val="22"/>
        </w:rPr>
      </w:pPr>
      <w:bookmarkStart w:id="8" w:name="_Hlk46823147"/>
      <w:bookmarkStart w:id="9" w:name="_Ref167612875"/>
      <w:bookmarkStart w:id="10" w:name="_Ref167612671"/>
      <w:bookmarkStart w:id="11" w:name="_Ref6672460"/>
      <w:bookmarkStart w:id="12" w:name="_Ref6596326"/>
      <w:bookmarkEnd w:id="5"/>
      <w:bookmarkEnd w:id="6"/>
      <w:bookmarkEnd w:id="7"/>
      <w:r>
        <w:rPr>
          <w:sz w:val="22"/>
          <w:szCs w:val="22"/>
        </w:rPr>
        <w:t>TR</w:t>
      </w:r>
      <w:r w:rsidRPr="00211AE0">
        <w:rPr>
          <w:sz w:val="22"/>
          <w:szCs w:val="22"/>
        </w:rPr>
        <w:t>38.85</w:t>
      </w:r>
      <w:r>
        <w:rPr>
          <w:sz w:val="22"/>
          <w:szCs w:val="22"/>
        </w:rPr>
        <w:t>7</w:t>
      </w:r>
      <w:r w:rsidRPr="00211AE0">
        <w:rPr>
          <w:sz w:val="22"/>
          <w:szCs w:val="22"/>
        </w:rPr>
        <w:t xml:space="preserve">, “Study on NR </w:t>
      </w:r>
      <w:r>
        <w:rPr>
          <w:sz w:val="22"/>
          <w:szCs w:val="22"/>
        </w:rPr>
        <w:t>P</w:t>
      </w:r>
      <w:r w:rsidRPr="00211AE0">
        <w:rPr>
          <w:sz w:val="22"/>
          <w:szCs w:val="22"/>
        </w:rPr>
        <w:t xml:space="preserve">ositioning </w:t>
      </w:r>
      <w:r>
        <w:rPr>
          <w:sz w:val="22"/>
          <w:szCs w:val="22"/>
        </w:rPr>
        <w:t>Enhancements.</w:t>
      </w:r>
      <w:r w:rsidRPr="00211AE0">
        <w:rPr>
          <w:sz w:val="22"/>
          <w:szCs w:val="22"/>
        </w:rPr>
        <w:t xml:space="preserve">” </w:t>
      </w:r>
    </w:p>
    <w:bookmarkEnd w:id="8"/>
    <w:p w14:paraId="432D403A" w14:textId="77777777" w:rsidR="006E093F" w:rsidRDefault="006E093F" w:rsidP="006E093F">
      <w:pPr>
        <w:pStyle w:val="References"/>
        <w:wordWrap w:val="0"/>
        <w:rPr>
          <w:sz w:val="22"/>
          <w:szCs w:val="22"/>
        </w:rPr>
      </w:pPr>
      <w:r>
        <w:rPr>
          <w:sz w:val="22"/>
          <w:szCs w:val="22"/>
        </w:rPr>
        <w:t>Chairman’s Notes, RAN1#101-e.</w:t>
      </w:r>
    </w:p>
    <w:p w14:paraId="5922E60B" w14:textId="77777777" w:rsidR="00BC6E70" w:rsidRPr="00645B30" w:rsidRDefault="00BC6E70" w:rsidP="006E093F">
      <w:pPr>
        <w:pStyle w:val="References"/>
        <w:numPr>
          <w:ilvl w:val="0"/>
          <w:numId w:val="0"/>
        </w:numPr>
        <w:rPr>
          <w:color w:val="000000" w:themeColor="text1"/>
          <w:sz w:val="22"/>
          <w:szCs w:val="18"/>
        </w:rPr>
      </w:pPr>
    </w:p>
    <w:bookmarkEnd w:id="3"/>
    <w:bookmarkEnd w:id="9"/>
    <w:bookmarkEnd w:id="10"/>
    <w:bookmarkEnd w:id="11"/>
    <w:bookmarkEnd w:id="12"/>
    <w:p w14:paraId="367CF0F0" w14:textId="507A8A9C" w:rsidR="00F62478" w:rsidRPr="007F5EC6" w:rsidRDefault="00F62478" w:rsidP="00446E80">
      <w:pPr>
        <w:pStyle w:val="References"/>
        <w:numPr>
          <w:ilvl w:val="0"/>
          <w:numId w:val="0"/>
        </w:numPr>
      </w:pPr>
    </w:p>
    <w:sectPr w:rsidR="00F62478" w:rsidRPr="007F5EC6"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CAA61C" w16cex:dateUtc="2020-07-28T18: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B5E9AF" w14:textId="77777777" w:rsidR="00EF6DA5" w:rsidRDefault="00EF6DA5">
      <w:r>
        <w:separator/>
      </w:r>
    </w:p>
  </w:endnote>
  <w:endnote w:type="continuationSeparator" w:id="0">
    <w:p w14:paraId="399FEDA9" w14:textId="77777777" w:rsidR="00EF6DA5" w:rsidRDefault="00EF6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1A07F" w14:textId="77777777" w:rsidR="00EF6DA5" w:rsidRDefault="00EF6DA5">
      <w:r>
        <w:separator/>
      </w:r>
    </w:p>
  </w:footnote>
  <w:footnote w:type="continuationSeparator" w:id="0">
    <w:p w14:paraId="2B26C16E" w14:textId="77777777" w:rsidR="00EF6DA5" w:rsidRDefault="00EF6D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41B52"/>
    <w:multiLevelType w:val="hybridMultilevel"/>
    <w:tmpl w:val="B8FE6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9A7086A"/>
    <w:multiLevelType w:val="hybridMultilevel"/>
    <w:tmpl w:val="DBE8ED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179B3842"/>
    <w:multiLevelType w:val="hybridMultilevel"/>
    <w:tmpl w:val="396666A0"/>
    <w:lvl w:ilvl="0" w:tplc="9E14CBE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935494"/>
    <w:multiLevelType w:val="hybridMultilevel"/>
    <w:tmpl w:val="E15C132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010553"/>
    <w:multiLevelType w:val="hybridMultilevel"/>
    <w:tmpl w:val="2708B71A"/>
    <w:lvl w:ilvl="0" w:tplc="97B22FA4">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4708FA"/>
    <w:multiLevelType w:val="hybridMultilevel"/>
    <w:tmpl w:val="1F045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5A7D30"/>
    <w:multiLevelType w:val="hybridMultilevel"/>
    <w:tmpl w:val="F8D21E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C8E384B"/>
    <w:multiLevelType w:val="hybridMultilevel"/>
    <w:tmpl w:val="B742E0E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6F229F"/>
    <w:multiLevelType w:val="hybridMultilevel"/>
    <w:tmpl w:val="928A4800"/>
    <w:lvl w:ilvl="0" w:tplc="9E14CBE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E8C7123"/>
    <w:multiLevelType w:val="hybridMultilevel"/>
    <w:tmpl w:val="4264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12C22AB"/>
    <w:multiLevelType w:val="hybridMultilevel"/>
    <w:tmpl w:val="4DF2A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626C04BF"/>
    <w:multiLevelType w:val="hybridMultilevel"/>
    <w:tmpl w:val="63DECC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8CB088B"/>
    <w:multiLevelType w:val="hybridMultilevel"/>
    <w:tmpl w:val="C2E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105D43"/>
    <w:multiLevelType w:val="hybridMultilevel"/>
    <w:tmpl w:val="C46CD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7"/>
  </w:num>
  <w:num w:numId="4">
    <w:abstractNumId w:val="8"/>
  </w:num>
  <w:num w:numId="5">
    <w:abstractNumId w:val="21"/>
  </w:num>
  <w:num w:numId="6">
    <w:abstractNumId w:val="11"/>
  </w:num>
  <w:num w:numId="7">
    <w:abstractNumId w:val="4"/>
  </w:num>
  <w:num w:numId="8">
    <w:abstractNumId w:val="22"/>
  </w:num>
  <w:num w:numId="9">
    <w:abstractNumId w:val="16"/>
  </w:num>
  <w:num w:numId="10">
    <w:abstractNumId w:val="20"/>
  </w:num>
  <w:num w:numId="11">
    <w:abstractNumId w:val="0"/>
  </w:num>
  <w:num w:numId="12">
    <w:abstractNumId w:val="18"/>
  </w:num>
  <w:num w:numId="13">
    <w:abstractNumId w:val="2"/>
  </w:num>
  <w:num w:numId="14">
    <w:abstractNumId w:val="19"/>
  </w:num>
  <w:num w:numId="15">
    <w:abstractNumId w:val="5"/>
  </w:num>
  <w:num w:numId="16">
    <w:abstractNumId w:val="9"/>
  </w:num>
  <w:num w:numId="17">
    <w:abstractNumId w:val="0"/>
  </w:num>
  <w:num w:numId="18">
    <w:abstractNumId w:val="12"/>
  </w:num>
  <w:num w:numId="19">
    <w:abstractNumId w:val="14"/>
  </w:num>
  <w:num w:numId="20">
    <w:abstractNumId w:val="15"/>
  </w:num>
  <w:num w:numId="21">
    <w:abstractNumId w:val="1"/>
  </w:num>
  <w:num w:numId="22">
    <w:abstractNumId w:val="3"/>
  </w:num>
  <w:num w:numId="23">
    <w:abstractNumId w:val="13"/>
  </w:num>
  <w:num w:numId="2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6FF4"/>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CA7"/>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39CE"/>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659"/>
    <w:rsid w:val="000D0811"/>
    <w:rsid w:val="000D0E4E"/>
    <w:rsid w:val="000D113C"/>
    <w:rsid w:val="000D12D1"/>
    <w:rsid w:val="000D159A"/>
    <w:rsid w:val="000D16FF"/>
    <w:rsid w:val="000D1796"/>
    <w:rsid w:val="000D22CC"/>
    <w:rsid w:val="000D2746"/>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391"/>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3C9C"/>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BAC"/>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6CF3"/>
    <w:rsid w:val="001572C1"/>
    <w:rsid w:val="001577D8"/>
    <w:rsid w:val="00157FC3"/>
    <w:rsid w:val="00160739"/>
    <w:rsid w:val="00161FE4"/>
    <w:rsid w:val="0016271E"/>
    <w:rsid w:val="00162D7A"/>
    <w:rsid w:val="001633C3"/>
    <w:rsid w:val="00163537"/>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AD6"/>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57EE"/>
    <w:rsid w:val="001A585A"/>
    <w:rsid w:val="001A5C71"/>
    <w:rsid w:val="001A673E"/>
    <w:rsid w:val="001A7763"/>
    <w:rsid w:val="001B0525"/>
    <w:rsid w:val="001B2439"/>
    <w:rsid w:val="001B2716"/>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99F"/>
    <w:rsid w:val="001C5D4F"/>
    <w:rsid w:val="001C5EEC"/>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E7B77"/>
    <w:rsid w:val="001F1308"/>
    <w:rsid w:val="001F1525"/>
    <w:rsid w:val="001F1E87"/>
    <w:rsid w:val="001F1EB6"/>
    <w:rsid w:val="001F2E23"/>
    <w:rsid w:val="001F341F"/>
    <w:rsid w:val="001F3911"/>
    <w:rsid w:val="001F3F09"/>
    <w:rsid w:val="001F3F1A"/>
    <w:rsid w:val="001F40E6"/>
    <w:rsid w:val="001F4315"/>
    <w:rsid w:val="001F4CBD"/>
    <w:rsid w:val="001F533A"/>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3BE"/>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0F51"/>
    <w:rsid w:val="002416AE"/>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A0348"/>
    <w:rsid w:val="002A0749"/>
    <w:rsid w:val="002A0E29"/>
    <w:rsid w:val="002A1E92"/>
    <w:rsid w:val="002A1E9C"/>
    <w:rsid w:val="002A204D"/>
    <w:rsid w:val="002A2124"/>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4031"/>
    <w:rsid w:val="002B538E"/>
    <w:rsid w:val="002B5DCA"/>
    <w:rsid w:val="002B6BDC"/>
    <w:rsid w:val="002B75B0"/>
    <w:rsid w:val="002B7EAF"/>
    <w:rsid w:val="002C099C"/>
    <w:rsid w:val="002C0B74"/>
    <w:rsid w:val="002C0C8B"/>
    <w:rsid w:val="002C0CBB"/>
    <w:rsid w:val="002C1201"/>
    <w:rsid w:val="002C1460"/>
    <w:rsid w:val="002C20F2"/>
    <w:rsid w:val="002C30EA"/>
    <w:rsid w:val="002C3550"/>
    <w:rsid w:val="002C38B2"/>
    <w:rsid w:val="002C3DC2"/>
    <w:rsid w:val="002C3F54"/>
    <w:rsid w:val="002C3F9C"/>
    <w:rsid w:val="002C51A7"/>
    <w:rsid w:val="002C5AFA"/>
    <w:rsid w:val="002C73E3"/>
    <w:rsid w:val="002C7DF5"/>
    <w:rsid w:val="002D0439"/>
    <w:rsid w:val="002D077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09B2"/>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67C9F"/>
    <w:rsid w:val="003707F6"/>
    <w:rsid w:val="00370E4F"/>
    <w:rsid w:val="00371215"/>
    <w:rsid w:val="00371CB1"/>
    <w:rsid w:val="00372630"/>
    <w:rsid w:val="00372CA6"/>
    <w:rsid w:val="00372F0D"/>
    <w:rsid w:val="00374059"/>
    <w:rsid w:val="003748F7"/>
    <w:rsid w:val="0037535B"/>
    <w:rsid w:val="00375394"/>
    <w:rsid w:val="0037552D"/>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3B76"/>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3F8D"/>
    <w:rsid w:val="004344C7"/>
    <w:rsid w:val="00435274"/>
    <w:rsid w:val="004352AD"/>
    <w:rsid w:val="0043545D"/>
    <w:rsid w:val="0043547E"/>
    <w:rsid w:val="00435C16"/>
    <w:rsid w:val="00435FE2"/>
    <w:rsid w:val="00436E2F"/>
    <w:rsid w:val="00436EAB"/>
    <w:rsid w:val="004376CE"/>
    <w:rsid w:val="004423FF"/>
    <w:rsid w:val="00442E51"/>
    <w:rsid w:val="004434F4"/>
    <w:rsid w:val="00443D0E"/>
    <w:rsid w:val="00445E81"/>
    <w:rsid w:val="004461D9"/>
    <w:rsid w:val="00446AC6"/>
    <w:rsid w:val="00446E80"/>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C8C"/>
    <w:rsid w:val="004A3329"/>
    <w:rsid w:val="004A3BF1"/>
    <w:rsid w:val="004A3E42"/>
    <w:rsid w:val="004A3F2D"/>
    <w:rsid w:val="004A4045"/>
    <w:rsid w:val="004A436E"/>
    <w:rsid w:val="004A4715"/>
    <w:rsid w:val="004A4C41"/>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4BC4"/>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4FE3"/>
    <w:rsid w:val="00505134"/>
    <w:rsid w:val="00505C04"/>
    <w:rsid w:val="00506853"/>
    <w:rsid w:val="005076EC"/>
    <w:rsid w:val="00507BB1"/>
    <w:rsid w:val="005118E5"/>
    <w:rsid w:val="00511F15"/>
    <w:rsid w:val="0051318C"/>
    <w:rsid w:val="005142CD"/>
    <w:rsid w:val="005143C9"/>
    <w:rsid w:val="005157A9"/>
    <w:rsid w:val="0051685C"/>
    <w:rsid w:val="00516951"/>
    <w:rsid w:val="005173A7"/>
    <w:rsid w:val="005176D7"/>
    <w:rsid w:val="00517742"/>
    <w:rsid w:val="005177E1"/>
    <w:rsid w:val="00520C0A"/>
    <w:rsid w:val="0052171F"/>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48CF"/>
    <w:rsid w:val="00535079"/>
    <w:rsid w:val="00535B79"/>
    <w:rsid w:val="00535D7C"/>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6A7"/>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080"/>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B0542"/>
    <w:rsid w:val="005B1C65"/>
    <w:rsid w:val="005B1FD1"/>
    <w:rsid w:val="005B2225"/>
    <w:rsid w:val="005B2799"/>
    <w:rsid w:val="005B2B77"/>
    <w:rsid w:val="005B3330"/>
    <w:rsid w:val="005B3D4A"/>
    <w:rsid w:val="005B4D87"/>
    <w:rsid w:val="005B519B"/>
    <w:rsid w:val="005B6111"/>
    <w:rsid w:val="005B7DD1"/>
    <w:rsid w:val="005C00A0"/>
    <w:rsid w:val="005C0490"/>
    <w:rsid w:val="005C0A1E"/>
    <w:rsid w:val="005C1F42"/>
    <w:rsid w:val="005C28FA"/>
    <w:rsid w:val="005C40F4"/>
    <w:rsid w:val="005C43BE"/>
    <w:rsid w:val="005C44F3"/>
    <w:rsid w:val="005C4BBD"/>
    <w:rsid w:val="005C6D3C"/>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19D"/>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685"/>
    <w:rsid w:val="00607A2E"/>
    <w:rsid w:val="00607D8D"/>
    <w:rsid w:val="006130F7"/>
    <w:rsid w:val="00613AF8"/>
    <w:rsid w:val="00613D8E"/>
    <w:rsid w:val="006142E0"/>
    <w:rsid w:val="0061444B"/>
    <w:rsid w:val="00616112"/>
    <w:rsid w:val="006173CF"/>
    <w:rsid w:val="006175A0"/>
    <w:rsid w:val="00620035"/>
    <w:rsid w:val="006205CA"/>
    <w:rsid w:val="006218EB"/>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257C"/>
    <w:rsid w:val="00633878"/>
    <w:rsid w:val="00634ACF"/>
    <w:rsid w:val="00635035"/>
    <w:rsid w:val="0063580D"/>
    <w:rsid w:val="00635CAE"/>
    <w:rsid w:val="00637240"/>
    <w:rsid w:val="00643607"/>
    <w:rsid w:val="00643660"/>
    <w:rsid w:val="006447DC"/>
    <w:rsid w:val="00644C95"/>
    <w:rsid w:val="00645361"/>
    <w:rsid w:val="00645817"/>
    <w:rsid w:val="00645B30"/>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658"/>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56A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93F"/>
    <w:rsid w:val="006E0BB0"/>
    <w:rsid w:val="006E12C3"/>
    <w:rsid w:val="006E2407"/>
    <w:rsid w:val="006E2529"/>
    <w:rsid w:val="006E2A36"/>
    <w:rsid w:val="006E2B19"/>
    <w:rsid w:val="006E3DA8"/>
    <w:rsid w:val="006E45F3"/>
    <w:rsid w:val="006E4A2F"/>
    <w:rsid w:val="006E4ED4"/>
    <w:rsid w:val="006E5E19"/>
    <w:rsid w:val="006E61C3"/>
    <w:rsid w:val="006E7333"/>
    <w:rsid w:val="006E799D"/>
    <w:rsid w:val="006F0593"/>
    <w:rsid w:val="006F1064"/>
    <w:rsid w:val="006F1B76"/>
    <w:rsid w:val="006F1EB7"/>
    <w:rsid w:val="006F1FFC"/>
    <w:rsid w:val="006F2725"/>
    <w:rsid w:val="006F49EF"/>
    <w:rsid w:val="006F4BE0"/>
    <w:rsid w:val="006F52E5"/>
    <w:rsid w:val="006F52FF"/>
    <w:rsid w:val="006F54E1"/>
    <w:rsid w:val="006F6066"/>
    <w:rsid w:val="006F6850"/>
    <w:rsid w:val="006F707E"/>
    <w:rsid w:val="007001DC"/>
    <w:rsid w:val="007003D1"/>
    <w:rsid w:val="007015D6"/>
    <w:rsid w:val="007025CB"/>
    <w:rsid w:val="00703045"/>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6F79"/>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2A2"/>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55F"/>
    <w:rsid w:val="007C669D"/>
    <w:rsid w:val="007C68DA"/>
    <w:rsid w:val="007C7BB9"/>
    <w:rsid w:val="007D01D9"/>
    <w:rsid w:val="007D1C9B"/>
    <w:rsid w:val="007D229A"/>
    <w:rsid w:val="007D2F44"/>
    <w:rsid w:val="007D2F4D"/>
    <w:rsid w:val="007D3C97"/>
    <w:rsid w:val="007D4178"/>
    <w:rsid w:val="007D4D33"/>
    <w:rsid w:val="007D5403"/>
    <w:rsid w:val="007D57B6"/>
    <w:rsid w:val="007D7175"/>
    <w:rsid w:val="007D7ADE"/>
    <w:rsid w:val="007E02A5"/>
    <w:rsid w:val="007E061F"/>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B92"/>
    <w:rsid w:val="00804DA1"/>
    <w:rsid w:val="00804E21"/>
    <w:rsid w:val="00805092"/>
    <w:rsid w:val="00806AAF"/>
    <w:rsid w:val="008070AC"/>
    <w:rsid w:val="008074A5"/>
    <w:rsid w:val="008074C6"/>
    <w:rsid w:val="008101FD"/>
    <w:rsid w:val="008102BA"/>
    <w:rsid w:val="00810D3C"/>
    <w:rsid w:val="00810D8D"/>
    <w:rsid w:val="00811835"/>
    <w:rsid w:val="008128B1"/>
    <w:rsid w:val="00813FD5"/>
    <w:rsid w:val="00814E3E"/>
    <w:rsid w:val="00814F60"/>
    <w:rsid w:val="0081581D"/>
    <w:rsid w:val="00816E9B"/>
    <w:rsid w:val="00816FCB"/>
    <w:rsid w:val="008172BE"/>
    <w:rsid w:val="00817B71"/>
    <w:rsid w:val="00817C94"/>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382"/>
    <w:rsid w:val="008274BF"/>
    <w:rsid w:val="00830DC3"/>
    <w:rsid w:val="0083149F"/>
    <w:rsid w:val="00831555"/>
    <w:rsid w:val="00831F52"/>
    <w:rsid w:val="00832154"/>
    <w:rsid w:val="00832F5C"/>
    <w:rsid w:val="00834046"/>
    <w:rsid w:val="00834DE6"/>
    <w:rsid w:val="00834ECD"/>
    <w:rsid w:val="008359E0"/>
    <w:rsid w:val="0083689A"/>
    <w:rsid w:val="00836E95"/>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4BA"/>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3998"/>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1636B"/>
    <w:rsid w:val="009204C5"/>
    <w:rsid w:val="009215DD"/>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5EDF"/>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4D98"/>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3B0B"/>
    <w:rsid w:val="009A4869"/>
    <w:rsid w:val="009A6A6B"/>
    <w:rsid w:val="009A7DAA"/>
    <w:rsid w:val="009B03F6"/>
    <w:rsid w:val="009B1429"/>
    <w:rsid w:val="009B1EF9"/>
    <w:rsid w:val="009B23F7"/>
    <w:rsid w:val="009B24E0"/>
    <w:rsid w:val="009B26AC"/>
    <w:rsid w:val="009B37E2"/>
    <w:rsid w:val="009B44A3"/>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75A"/>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656"/>
    <w:rsid w:val="009F3FB5"/>
    <w:rsid w:val="009F4129"/>
    <w:rsid w:val="009F521F"/>
    <w:rsid w:val="009F5356"/>
    <w:rsid w:val="009F553C"/>
    <w:rsid w:val="009F59F8"/>
    <w:rsid w:val="009F7720"/>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6FDA"/>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05A3"/>
    <w:rsid w:val="00A41278"/>
    <w:rsid w:val="00A428FB"/>
    <w:rsid w:val="00A4376F"/>
    <w:rsid w:val="00A43FD0"/>
    <w:rsid w:val="00A44919"/>
    <w:rsid w:val="00A4549F"/>
    <w:rsid w:val="00A454CD"/>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BF5"/>
    <w:rsid w:val="00AA1626"/>
    <w:rsid w:val="00AA1C25"/>
    <w:rsid w:val="00AA1C7A"/>
    <w:rsid w:val="00AA2133"/>
    <w:rsid w:val="00AA3DB7"/>
    <w:rsid w:val="00AA4073"/>
    <w:rsid w:val="00AA4358"/>
    <w:rsid w:val="00AA45A6"/>
    <w:rsid w:val="00AA4A7A"/>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2C9"/>
    <w:rsid w:val="00AC0705"/>
    <w:rsid w:val="00AC109B"/>
    <w:rsid w:val="00AC209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3CF4"/>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6C1"/>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779"/>
    <w:rsid w:val="00BC39DB"/>
    <w:rsid w:val="00BC3A32"/>
    <w:rsid w:val="00BC3B07"/>
    <w:rsid w:val="00BC4343"/>
    <w:rsid w:val="00BC46EF"/>
    <w:rsid w:val="00BC4A0D"/>
    <w:rsid w:val="00BC6BC1"/>
    <w:rsid w:val="00BC6E70"/>
    <w:rsid w:val="00BC6FD6"/>
    <w:rsid w:val="00BC77C5"/>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66C"/>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4E18"/>
    <w:rsid w:val="00C352B3"/>
    <w:rsid w:val="00C3654C"/>
    <w:rsid w:val="00C3658D"/>
    <w:rsid w:val="00C36BF5"/>
    <w:rsid w:val="00C36DBC"/>
    <w:rsid w:val="00C376BA"/>
    <w:rsid w:val="00C3787F"/>
    <w:rsid w:val="00C37F9B"/>
    <w:rsid w:val="00C40373"/>
    <w:rsid w:val="00C4082D"/>
    <w:rsid w:val="00C40AE6"/>
    <w:rsid w:val="00C411AF"/>
    <w:rsid w:val="00C411EC"/>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4845"/>
    <w:rsid w:val="00C95854"/>
    <w:rsid w:val="00C959FD"/>
    <w:rsid w:val="00C95D24"/>
    <w:rsid w:val="00C95E77"/>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4A48"/>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6F19"/>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5F24"/>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6F29"/>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5A62"/>
    <w:rsid w:val="00D36234"/>
    <w:rsid w:val="00D36371"/>
    <w:rsid w:val="00D41005"/>
    <w:rsid w:val="00D4146E"/>
    <w:rsid w:val="00D41CC4"/>
    <w:rsid w:val="00D437D8"/>
    <w:rsid w:val="00D437EF"/>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006"/>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CF4"/>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6090"/>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B59"/>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4C75"/>
    <w:rsid w:val="00E25F89"/>
    <w:rsid w:val="00E26009"/>
    <w:rsid w:val="00E26387"/>
    <w:rsid w:val="00E274C4"/>
    <w:rsid w:val="00E30808"/>
    <w:rsid w:val="00E3117A"/>
    <w:rsid w:val="00E311C3"/>
    <w:rsid w:val="00E32D62"/>
    <w:rsid w:val="00E339DC"/>
    <w:rsid w:val="00E33E15"/>
    <w:rsid w:val="00E353A4"/>
    <w:rsid w:val="00E361B8"/>
    <w:rsid w:val="00E3625A"/>
    <w:rsid w:val="00E36A1B"/>
    <w:rsid w:val="00E37DDE"/>
    <w:rsid w:val="00E40949"/>
    <w:rsid w:val="00E40C38"/>
    <w:rsid w:val="00E416F4"/>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6FB5"/>
    <w:rsid w:val="00E870A9"/>
    <w:rsid w:val="00E90279"/>
    <w:rsid w:val="00E90635"/>
    <w:rsid w:val="00E909A1"/>
    <w:rsid w:val="00E90BFF"/>
    <w:rsid w:val="00E91F04"/>
    <w:rsid w:val="00E91F35"/>
    <w:rsid w:val="00E9259E"/>
    <w:rsid w:val="00E95BA6"/>
    <w:rsid w:val="00E97648"/>
    <w:rsid w:val="00EA07E9"/>
    <w:rsid w:val="00EA0E4A"/>
    <w:rsid w:val="00EA1A54"/>
    <w:rsid w:val="00EA1DA3"/>
    <w:rsid w:val="00EA2226"/>
    <w:rsid w:val="00EA2483"/>
    <w:rsid w:val="00EA26FC"/>
    <w:rsid w:val="00EA3B5A"/>
    <w:rsid w:val="00EA410E"/>
    <w:rsid w:val="00EA43A6"/>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BB3"/>
    <w:rsid w:val="00ED5FE4"/>
    <w:rsid w:val="00ED6FAD"/>
    <w:rsid w:val="00ED71C5"/>
    <w:rsid w:val="00EE0473"/>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5C82"/>
    <w:rsid w:val="00EF63D1"/>
    <w:rsid w:val="00EF6513"/>
    <w:rsid w:val="00EF6683"/>
    <w:rsid w:val="00EF6CAC"/>
    <w:rsid w:val="00EF6DA5"/>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4CB0"/>
    <w:rsid w:val="00F55043"/>
    <w:rsid w:val="00F5626D"/>
    <w:rsid w:val="00F56681"/>
    <w:rsid w:val="00F56DCF"/>
    <w:rsid w:val="00F57034"/>
    <w:rsid w:val="00F57B1F"/>
    <w:rsid w:val="00F6077B"/>
    <w:rsid w:val="00F60BE9"/>
    <w:rsid w:val="00F61FD8"/>
    <w:rsid w:val="00F62478"/>
    <w:rsid w:val="00F62DBF"/>
    <w:rsid w:val="00F641FC"/>
    <w:rsid w:val="00F64338"/>
    <w:rsid w:val="00F647F7"/>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87D9F"/>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NO">
    <w:name w:val="NO"/>
    <w:basedOn w:val="Normal"/>
    <w:rsid w:val="00CB4A48"/>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3GPPText">
    <w:name w:val="3GPP Text"/>
    <w:basedOn w:val="Normal"/>
    <w:link w:val="3GPPTextChar"/>
    <w:qFormat/>
    <w:rsid w:val="00EA43A6"/>
    <w:pPr>
      <w:overflowPunct w:val="0"/>
      <w:snapToGrid/>
      <w:spacing w:before="120"/>
      <w:textAlignment w:val="baseline"/>
    </w:pPr>
    <w:rPr>
      <w:sz w:val="20"/>
      <w:szCs w:val="20"/>
    </w:rPr>
  </w:style>
  <w:style w:type="character" w:customStyle="1" w:styleId="3GPPTextChar">
    <w:name w:val="3GPP Text Char"/>
    <w:link w:val="3GPPText"/>
    <w:rsid w:val="00EA43A6"/>
  </w:style>
  <w:style w:type="paragraph" w:customStyle="1" w:styleId="EQ">
    <w:name w:val="EQ"/>
    <w:basedOn w:val="Normal"/>
    <w:next w:val="Normal"/>
    <w:qFormat/>
    <w:rsid w:val="00507BB1"/>
    <w:pPr>
      <w:keepLines/>
      <w:tabs>
        <w:tab w:val="center" w:pos="4536"/>
        <w:tab w:val="right" w:pos="9639"/>
      </w:tabs>
      <w:autoSpaceDE/>
      <w:autoSpaceDN/>
      <w:adjustRightInd/>
      <w:snapToGrid/>
      <w:spacing w:after="180"/>
      <w:jc w:val="left"/>
    </w:pPr>
    <w:rPr>
      <w:rFonts w:eastAsia="Malgun Gothic"/>
      <w:noProof/>
      <w:sz w:val="20"/>
      <w:szCs w:val="20"/>
      <w:lang w:val="en-GB"/>
    </w:rPr>
  </w:style>
  <w:style w:type="paragraph" w:customStyle="1" w:styleId="TAH">
    <w:name w:val="TAH"/>
    <w:basedOn w:val="TAC"/>
    <w:link w:val="TAHCar"/>
    <w:rsid w:val="00507BB1"/>
    <w:rPr>
      <w:b/>
    </w:rPr>
  </w:style>
  <w:style w:type="paragraph" w:customStyle="1" w:styleId="TAC">
    <w:name w:val="TAC"/>
    <w:basedOn w:val="Normal"/>
    <w:link w:val="TACChar"/>
    <w:rsid w:val="00507BB1"/>
    <w:pPr>
      <w:keepNext/>
      <w:keepLines/>
      <w:autoSpaceDE/>
      <w:autoSpaceDN/>
      <w:adjustRightInd/>
      <w:snapToGrid/>
      <w:spacing w:after="0"/>
      <w:jc w:val="center"/>
    </w:pPr>
    <w:rPr>
      <w:rFonts w:ascii="Arial" w:eastAsia="Malgun Gothic" w:hAnsi="Arial"/>
      <w:sz w:val="18"/>
      <w:szCs w:val="20"/>
      <w:lang w:val="en-GB"/>
    </w:rPr>
  </w:style>
  <w:style w:type="paragraph" w:customStyle="1" w:styleId="TH">
    <w:name w:val="TH"/>
    <w:basedOn w:val="Normal"/>
    <w:link w:val="THChar"/>
    <w:rsid w:val="00507BB1"/>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rsid w:val="00507BB1"/>
    <w:rPr>
      <w:rFonts w:ascii="Arial" w:eastAsia="Malgun Gothic" w:hAnsi="Arial"/>
      <w:b/>
      <w:lang w:val="en-GB"/>
    </w:rPr>
  </w:style>
  <w:style w:type="character" w:customStyle="1" w:styleId="TACChar">
    <w:name w:val="TAC Char"/>
    <w:link w:val="TAC"/>
    <w:rsid w:val="00507BB1"/>
    <w:rPr>
      <w:rFonts w:ascii="Arial" w:eastAsia="Malgun Gothic" w:hAnsi="Arial"/>
      <w:sz w:val="18"/>
      <w:lang w:val="en-GB"/>
    </w:rPr>
  </w:style>
  <w:style w:type="character" w:customStyle="1" w:styleId="TAHCar">
    <w:name w:val="TAH Car"/>
    <w:link w:val="TAH"/>
    <w:rsid w:val="00507BB1"/>
    <w:rPr>
      <w:rFonts w:ascii="Arial" w:eastAsia="Malgun Gothic" w:hAnsi="Arial"/>
      <w:b/>
      <w:sz w:val="18"/>
      <w:lang w:val="en-GB"/>
    </w:rPr>
  </w:style>
  <w:style w:type="paragraph" w:customStyle="1" w:styleId="TAL">
    <w:name w:val="TAL"/>
    <w:basedOn w:val="Normal"/>
    <w:link w:val="TALChar"/>
    <w:qFormat/>
    <w:rsid w:val="00BC3779"/>
    <w:pPr>
      <w:keepNext/>
      <w:keepLines/>
      <w:autoSpaceDE/>
      <w:autoSpaceDN/>
      <w:adjustRightInd/>
      <w:snapToGrid/>
      <w:spacing w:after="0"/>
      <w:jc w:val="left"/>
    </w:pPr>
    <w:rPr>
      <w:rFonts w:ascii="Arial" w:eastAsia="MS Mincho" w:hAnsi="Arial"/>
      <w:sz w:val="18"/>
      <w:szCs w:val="20"/>
      <w:lang w:eastAsia="zh-CN"/>
    </w:rPr>
  </w:style>
  <w:style w:type="character" w:customStyle="1" w:styleId="TALChar">
    <w:name w:val="TAL Char"/>
    <w:link w:val="TAL"/>
    <w:locked/>
    <w:rsid w:val="00BC3779"/>
    <w:rPr>
      <w:rFonts w:ascii="Arial" w:eastAsia="MS Mincho" w:hAnsi="Arial"/>
      <w:sz w:val="18"/>
      <w:lang w:eastAsia="zh-CN"/>
    </w:rPr>
  </w:style>
  <w:style w:type="paragraph" w:customStyle="1" w:styleId="B1">
    <w:name w:val="B1"/>
    <w:basedOn w:val="List"/>
    <w:link w:val="B10"/>
    <w:qFormat/>
    <w:rsid w:val="00DB1006"/>
    <w:pPr>
      <w:autoSpaceDE/>
      <w:autoSpaceDN/>
      <w:adjustRightInd/>
      <w:snapToGrid/>
      <w:spacing w:after="180"/>
      <w:ind w:left="568" w:hanging="284"/>
      <w:jc w:val="left"/>
    </w:pPr>
    <w:rPr>
      <w:rFonts w:eastAsia="MS Mincho"/>
      <w:sz w:val="24"/>
      <w:szCs w:val="20"/>
      <w:lang w:eastAsia="zh-CN"/>
    </w:rPr>
  </w:style>
  <w:style w:type="paragraph" w:customStyle="1" w:styleId="B2">
    <w:name w:val="B2"/>
    <w:basedOn w:val="List2"/>
    <w:link w:val="B2Char"/>
    <w:qFormat/>
    <w:rsid w:val="00DB1006"/>
    <w:pPr>
      <w:autoSpaceDE/>
      <w:autoSpaceDN/>
      <w:adjustRightInd/>
      <w:snapToGrid/>
      <w:spacing w:after="180"/>
      <w:ind w:left="851" w:hanging="284"/>
      <w:contextualSpacing w:val="0"/>
      <w:jc w:val="left"/>
    </w:pPr>
    <w:rPr>
      <w:rFonts w:eastAsia="MS Mincho"/>
      <w:sz w:val="24"/>
      <w:szCs w:val="20"/>
      <w:lang w:eastAsia="zh-CN"/>
    </w:rPr>
  </w:style>
  <w:style w:type="character" w:customStyle="1" w:styleId="B10">
    <w:name w:val="B1 (文字)"/>
    <w:link w:val="B1"/>
    <w:qFormat/>
    <w:rsid w:val="00DB1006"/>
    <w:rPr>
      <w:rFonts w:eastAsia="MS Mincho"/>
      <w:sz w:val="24"/>
      <w:lang w:eastAsia="zh-CN"/>
    </w:rPr>
  </w:style>
  <w:style w:type="character" w:customStyle="1" w:styleId="B2Char">
    <w:name w:val="B2 Char"/>
    <w:link w:val="B2"/>
    <w:qFormat/>
    <w:rsid w:val="00DB1006"/>
    <w:rPr>
      <w:rFonts w:eastAsia="MS Mincho"/>
      <w:sz w:val="24"/>
      <w:lang w:eastAsia="zh-CN"/>
    </w:rPr>
  </w:style>
  <w:style w:type="character" w:customStyle="1" w:styleId="normaltextrun">
    <w:name w:val="normaltextrun"/>
    <w:qFormat/>
    <w:rsid w:val="00DB1006"/>
  </w:style>
  <w:style w:type="character" w:customStyle="1" w:styleId="spellingerror">
    <w:name w:val="spellingerror"/>
    <w:qFormat/>
    <w:rsid w:val="00DB1006"/>
  </w:style>
  <w:style w:type="paragraph" w:styleId="List2">
    <w:name w:val="List 2"/>
    <w:basedOn w:val="Normal"/>
    <w:semiHidden/>
    <w:unhideWhenUsed/>
    <w:rsid w:val="00DB1006"/>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857272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193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B823C4-15D4-4AD9-B254-9EEFEA682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1304</Words>
  <Characters>7437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Teck Hu</cp:lastModifiedBy>
  <cp:revision>2</cp:revision>
  <cp:lastPrinted>2007-06-18T22:08:00Z</cp:lastPrinted>
  <dcterms:created xsi:type="dcterms:W3CDTF">2020-08-07T15:56:00Z</dcterms:created>
  <dcterms:modified xsi:type="dcterms:W3CDTF">2020-08-07T15:56:00Z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