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47543" w14:textId="77777777" w:rsidR="00D7698D" w:rsidRDefault="00C3232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7847544" w14:textId="77777777" w:rsidR="00D7698D" w:rsidRDefault="00C3232D">
          <w:pPr>
            <w:spacing w:after="0"/>
            <w:ind w:left="1988" w:hanging="1988"/>
            <w:jc w:val="both"/>
            <w:rPr>
              <w:rFonts w:ascii="Arial" w:hAnsi="Arial" w:cs="Arial"/>
              <w:b/>
              <w:sz w:val="24"/>
            </w:rPr>
          </w:pPr>
          <w:r>
            <w:rPr>
              <w:rFonts w:ascii="Arial" w:hAnsi="Arial" w:cs="Arial"/>
              <w:b/>
              <w:sz w:val="24"/>
            </w:rPr>
            <w:t>e-Meeting, May 25 – June 05, 2020</w:t>
          </w:r>
        </w:p>
      </w:sdtContent>
    </w:sdt>
    <w:p w14:paraId="67847545" w14:textId="77777777" w:rsidR="00D7698D" w:rsidRDefault="00D7698D">
      <w:pPr>
        <w:spacing w:after="0"/>
        <w:ind w:left="1988" w:hanging="1988"/>
        <w:jc w:val="both"/>
        <w:rPr>
          <w:rFonts w:ascii="Arial" w:hAnsi="Arial" w:cs="Arial"/>
          <w:b/>
          <w:sz w:val="24"/>
        </w:rPr>
      </w:pPr>
    </w:p>
    <w:p w14:paraId="67847546" w14:textId="77777777" w:rsidR="00D7698D" w:rsidRDefault="00C3232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847547" w14:textId="77777777" w:rsidR="00D7698D" w:rsidRDefault="00C3232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[101-e-NR-Mob-Enh-03]</w:t>
          </w:r>
        </w:sdtContent>
      </w:sdt>
    </w:p>
    <w:p w14:paraId="67847548" w14:textId="77777777" w:rsidR="00D7698D" w:rsidRDefault="00C3232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847549" w14:textId="77777777" w:rsidR="00D7698D" w:rsidRDefault="00C3232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784754A" w14:textId="77777777" w:rsidR="00D7698D" w:rsidRDefault="00D7698D">
      <w:pPr>
        <w:spacing w:after="0"/>
        <w:ind w:left="2388" w:hangingChars="995" w:hanging="2388"/>
        <w:jc w:val="both"/>
        <w:rPr>
          <w:sz w:val="24"/>
        </w:rPr>
      </w:pPr>
    </w:p>
    <w:p w14:paraId="6784754B" w14:textId="77777777" w:rsidR="00D7698D" w:rsidRDefault="00C3232D">
      <w:pPr>
        <w:pStyle w:val="Heading1"/>
        <w:numPr>
          <w:ilvl w:val="0"/>
          <w:numId w:val="5"/>
        </w:numPr>
        <w:ind w:left="360"/>
        <w:rPr>
          <w:rFonts w:cs="Arial"/>
          <w:sz w:val="32"/>
          <w:szCs w:val="32"/>
          <w:lang w:val="en-US"/>
        </w:rPr>
      </w:pPr>
      <w:r>
        <w:rPr>
          <w:rFonts w:cs="Arial"/>
          <w:sz w:val="32"/>
          <w:szCs w:val="32"/>
          <w:lang w:val="en-US"/>
        </w:rPr>
        <w:t>Introduction</w:t>
      </w:r>
    </w:p>
    <w:p w14:paraId="6784754C" w14:textId="77777777" w:rsidR="00D7698D" w:rsidRDefault="00C3232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6784754D" w14:textId="77777777" w:rsidR="00D7698D" w:rsidRDefault="00C323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6784754E" w14:textId="77777777" w:rsidR="00D7698D" w:rsidRDefault="00C323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6784754F" w14:textId="77777777" w:rsidR="00D7698D" w:rsidRDefault="00C3232D">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7847550" w14:textId="77777777" w:rsidR="00D7698D" w:rsidRDefault="00D7698D">
      <w:pPr>
        <w:ind w:firstLine="288"/>
        <w:rPr>
          <w:sz w:val="22"/>
          <w:szCs w:val="22"/>
          <w:lang w:eastAsia="zh-CN"/>
        </w:rPr>
      </w:pPr>
    </w:p>
    <w:p w14:paraId="67847551" w14:textId="77777777" w:rsidR="00D7698D" w:rsidRDefault="00C3232D">
      <w:pPr>
        <w:ind w:firstLine="288"/>
        <w:rPr>
          <w:lang w:eastAsia="zh-CN"/>
        </w:rPr>
      </w:pPr>
      <w:r>
        <w:rPr>
          <w:sz w:val="22"/>
          <w:szCs w:val="22"/>
          <w:lang w:eastAsia="zh-CN"/>
        </w:rPr>
        <w:t xml:space="preserve">This contribution summarizes the email discussion for </w:t>
      </w:r>
      <w:r>
        <w:rPr>
          <w:lang w:eastAsia="zh-CN"/>
        </w:rPr>
        <w:t>[101-e-NR-Mob-Enh-03].</w:t>
      </w:r>
    </w:p>
    <w:p w14:paraId="67847552" w14:textId="77777777" w:rsidR="00D7698D" w:rsidRDefault="00D7698D">
      <w:pPr>
        <w:ind w:firstLine="288"/>
        <w:rPr>
          <w:sz w:val="22"/>
          <w:szCs w:val="22"/>
          <w:lang w:eastAsia="zh-CN"/>
        </w:rPr>
      </w:pPr>
    </w:p>
    <w:p w14:paraId="67847553" w14:textId="77777777" w:rsidR="00D7698D" w:rsidRDefault="00C3232D">
      <w:pPr>
        <w:pStyle w:val="Heading1"/>
        <w:numPr>
          <w:ilvl w:val="0"/>
          <w:numId w:val="5"/>
        </w:numPr>
        <w:ind w:left="360"/>
        <w:rPr>
          <w:rFonts w:cs="Arial"/>
          <w:sz w:val="32"/>
          <w:szCs w:val="32"/>
          <w:lang w:val="en-US"/>
        </w:rPr>
      </w:pPr>
      <w:r>
        <w:rPr>
          <w:rFonts w:cs="Arial"/>
          <w:sz w:val="32"/>
          <w:szCs w:val="32"/>
        </w:rPr>
        <w:t>Email Discussion [101-e-NR-Mob-Enh-03]</w:t>
      </w:r>
    </w:p>
    <w:p w14:paraId="67847554"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PDCCH/PDSCH restrictions for DL DAPS-HO (Issue #6 from [11]).</w:t>
      </w:r>
    </w:p>
    <w:p w14:paraId="67847555" w14:textId="77777777" w:rsidR="00D7698D" w:rsidRDefault="00D7698D">
      <w:pPr>
        <w:pStyle w:val="BodyText"/>
        <w:spacing w:after="0"/>
        <w:rPr>
          <w:rFonts w:ascii="Times New Roman" w:hAnsi="Times New Roman"/>
          <w:sz w:val="22"/>
          <w:szCs w:val="22"/>
          <w:lang w:eastAsia="zh-CN"/>
        </w:rPr>
      </w:pPr>
    </w:p>
    <w:p w14:paraId="67847556" w14:textId="77777777" w:rsidR="00D7698D" w:rsidRDefault="00C323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 based on [4][5][6][8]:</w:t>
      </w:r>
    </w:p>
    <w:p w14:paraId="67847557" w14:textId="77777777" w:rsidR="00D7698D" w:rsidRDefault="00D7698D">
      <w:pPr>
        <w:pStyle w:val="BodyText"/>
        <w:spacing w:after="0"/>
        <w:rPr>
          <w:rFonts w:ascii="Times New Roman" w:hAnsi="Times New Roman"/>
          <w:sz w:val="22"/>
          <w:szCs w:val="22"/>
          <w:lang w:eastAsia="zh-CN"/>
        </w:rPr>
      </w:pPr>
    </w:p>
    <w:p w14:paraId="67847558"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[4] mentioned that the overbooking rules for DAPS-HO is more stringent than what was agreed in RAN1 #99 and suggests changing the specification to limit the overbooking in the target MCG only. Contribution in [6] clarified on the overbooking rules for source and target. In addition, The PDCCH blind detection for MCG1 and MCG2 capability was decided to be removed since RAN2 decided to not support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during DAPS HO. Contribution [4] and [5] suggests removing the corresponding text from specification.</w:t>
      </w:r>
    </w:p>
    <w:p w14:paraId="67847559" w14:textId="77777777" w:rsidR="00D7698D" w:rsidRDefault="00D7698D">
      <w:pPr>
        <w:pStyle w:val="BodyText"/>
        <w:spacing w:after="0"/>
        <w:rPr>
          <w:rFonts w:ascii="Times New Roman" w:hAnsi="Times New Roman"/>
          <w:sz w:val="22"/>
          <w:szCs w:val="22"/>
          <w:lang w:eastAsia="zh-CN"/>
        </w:rPr>
      </w:pPr>
    </w:p>
    <w:p w14:paraId="6784755A" w14:textId="77777777" w:rsidR="00D7698D" w:rsidRDefault="00D7698D">
      <w:pPr>
        <w:pStyle w:val="ListParagraph"/>
        <w:rPr>
          <w:rFonts w:ascii="Times New Roman" w:hAnsi="Times New Roman"/>
          <w:bCs/>
          <w:iCs/>
          <w:lang w:eastAsia="zh-CN"/>
        </w:rPr>
      </w:pPr>
    </w:p>
    <w:p w14:paraId="6784755B"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Text Proposal from [4]:</w:t>
      </w:r>
    </w:p>
    <w:p w14:paraId="6784755C" w14:textId="77777777" w:rsidR="00D7698D" w:rsidRDefault="00C3232D">
      <w:pPr>
        <w:pStyle w:val="Heading2"/>
        <w:rPr>
          <w:rFonts w:ascii="Times New Roman" w:hAnsi="Times New Roman"/>
          <w:lang w:eastAsia="zh-CN"/>
        </w:rPr>
      </w:pPr>
      <w:bookmarkStart w:id="0" w:name="_Hlk41261239"/>
      <w:r>
        <w:rPr>
          <w:lang w:eastAsia="zh-CN"/>
        </w:rPr>
        <w:lastRenderedPageBreak/>
        <w:t>TP #1</w:t>
      </w:r>
    </w:p>
    <w:tbl>
      <w:tblPr>
        <w:tblStyle w:val="TableGrid"/>
        <w:tblW w:w="9629" w:type="dxa"/>
        <w:tblLayout w:type="fixed"/>
        <w:tblLook w:val="04A0" w:firstRow="1" w:lastRow="0" w:firstColumn="1" w:lastColumn="0" w:noHBand="0" w:noVBand="1"/>
      </w:tblPr>
      <w:tblGrid>
        <w:gridCol w:w="9629"/>
      </w:tblGrid>
      <w:tr w:rsidR="00D7698D" w14:paraId="67847560" w14:textId="77777777">
        <w:tc>
          <w:tcPr>
            <w:tcW w:w="9629" w:type="dxa"/>
            <w:tcBorders>
              <w:top w:val="single" w:sz="4" w:space="0" w:color="auto"/>
              <w:left w:val="single" w:sz="4" w:space="0" w:color="auto"/>
              <w:bottom w:val="single" w:sz="4" w:space="0" w:color="auto"/>
              <w:right w:val="single" w:sz="4" w:space="0" w:color="auto"/>
            </w:tcBorders>
          </w:tcPr>
          <w:bookmarkEnd w:id="0"/>
          <w:p w14:paraId="6784755D" w14:textId="77777777" w:rsidR="00D7698D" w:rsidRDefault="00C3232D">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6784755E" w14:textId="77777777" w:rsidR="00D7698D" w:rsidRDefault="00C3232D">
            <w:pPr>
              <w:spacing w:before="0" w:after="0" w:line="240" w:lineRule="auto"/>
            </w:pPr>
            <w:r>
              <w:rPr>
                <w:i/>
                <w:iCs/>
                <w:color w:val="FF0000"/>
              </w:rPr>
              <w:t>&lt; Unchanged parts are omitted &gt;</w:t>
            </w:r>
          </w:p>
          <w:p w14:paraId="6784755F" w14:textId="77777777" w:rsidR="00D7698D" w:rsidRDefault="00C3232D">
            <w:pPr>
              <w:rPr>
                <w:rFonts w:eastAsia="Times New Roman"/>
              </w:rPr>
            </w:pPr>
            <w:r>
              <w:rPr>
                <w:rFonts w:eastAsia="Times New Roman"/>
                <w:strike/>
                <w:color w:val="C00000"/>
              </w:rPr>
              <w:t xml:space="preserve">The UE can provide </w:t>
            </w:r>
            <w:r>
              <w:rPr>
                <w:rFonts w:eastAsia="Times New Roman"/>
                <w:bCs/>
                <w:i/>
                <w:iCs/>
                <w:strike/>
                <w:color w:val="C00000"/>
                <w:lang w:eastAsia="ko-KR"/>
              </w:rPr>
              <w:t>pdcch-BlindDetectionMCG1-UE</w:t>
            </w:r>
            <w:r>
              <w:rPr>
                <w:rFonts w:eastAsia="Times New Roman"/>
                <w:strike/>
                <w:color w:val="C00000"/>
              </w:rPr>
              <w:t xml:space="preserve"> to indicate</w:t>
            </w:r>
            <w:r>
              <w:rPr>
                <w:rFonts w:eastAsia="Times New Roman"/>
                <w:strike/>
                <w:color w:val="C00000"/>
                <w:lang w:eastAsia="ko-KR"/>
              </w:rPr>
              <w:t xml:space="preserve"> a capability </w:t>
            </w:r>
            <w:r>
              <w:rPr>
                <w:rFonts w:eastAsia="Times New Roman"/>
                <w:strike/>
                <w:color w:val="C00000"/>
              </w:rPr>
              <w:t xml:space="preserve">to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target</m:t>
                  </m:r>
                </m:sup>
              </m:sSubSup>
            </m:oMath>
            <w:r>
              <w:rPr>
                <w:rFonts w:eastAsia="Times New Roman"/>
                <w:strike/>
                <w:color w:val="C00000"/>
              </w:rPr>
              <w:t xml:space="preserve"> downlink cells for the target MCG and </w:t>
            </w:r>
            <w:r>
              <w:rPr>
                <w:rFonts w:eastAsia="Times New Roman"/>
                <w:bCs/>
                <w:i/>
                <w:iCs/>
                <w:strike/>
                <w:color w:val="C00000"/>
                <w:lang w:eastAsia="ko-KR"/>
              </w:rPr>
              <w:t>pdcch-BlindDetectionMCG2-UE</w:t>
            </w:r>
            <w:r>
              <w:rPr>
                <w:rFonts w:eastAsia="Times New Roman"/>
                <w:strike/>
                <w:color w:val="C00000"/>
              </w:rPr>
              <w:t xml:space="preserve"> to indicate a capability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source</m:t>
                  </m:r>
                </m:sup>
              </m:sSubSup>
            </m:oMath>
            <w:r>
              <w:rPr>
                <w:rFonts w:eastAsia="Times New Roman"/>
                <w:strike/>
                <w:color w:val="C00000"/>
              </w:rPr>
              <w:t xml:space="preserve"> downlink cells for the source MCG</w:t>
            </w:r>
            <w:r>
              <w:rPr>
                <w:rFonts w:eastAsia="Times New Roman"/>
                <w:strike/>
                <w:color w:val="C00000"/>
                <w:lang w:eastAsia="ko-KR"/>
              </w:rPr>
              <w:t>.</w:t>
            </w:r>
            <w:r>
              <w:rPr>
                <w:rFonts w:eastAsia="Times New Roman"/>
                <w:color w:val="C00000"/>
              </w:rPr>
              <w:t xml:space="preserve"> </w:t>
            </w:r>
            <w:r>
              <w:rPr>
                <w:rFonts w:eastAsia="Times New Roman"/>
              </w:rPr>
              <w:t xml:space="preserve">If the UE is provided search space sets on both the target MCG and the source MCG, the UE does not expect to have in any slot any USS set without allocated PDCCH candidates for monitoring on </w:t>
            </w:r>
            <w:r>
              <w:rPr>
                <w:rFonts w:eastAsia="Times New Roman"/>
                <w:strike/>
                <w:color w:val="C00000"/>
              </w:rPr>
              <w:t xml:space="preserve">both </w:t>
            </w:r>
            <w:r>
              <w:rPr>
                <w:rFonts w:eastAsia="Times New Roman"/>
              </w:rPr>
              <w:t>the target MCG</w:t>
            </w:r>
            <w:r>
              <w:rPr>
                <w:rFonts w:eastAsia="Times New Roman"/>
                <w:strike/>
                <w:color w:val="C00000"/>
              </w:rPr>
              <w:t xml:space="preserve"> and the source MCG</w:t>
            </w:r>
            <w:r>
              <w:rPr>
                <w:rFonts w:eastAsia="Times New Roman"/>
              </w:rPr>
              <w:t>.</w:t>
            </w:r>
          </w:p>
        </w:tc>
      </w:tr>
    </w:tbl>
    <w:p w14:paraId="67847561" w14:textId="77777777" w:rsidR="00D7698D" w:rsidRDefault="00D7698D">
      <w:pPr>
        <w:pStyle w:val="BodyText"/>
        <w:spacing w:after="0"/>
        <w:rPr>
          <w:rFonts w:ascii="Times New Roman" w:hAnsi="Times New Roman"/>
          <w:sz w:val="22"/>
          <w:szCs w:val="22"/>
          <w:lang w:eastAsia="zh-CN"/>
        </w:rPr>
      </w:pPr>
    </w:p>
    <w:p w14:paraId="67847562"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Text Proposal from [5]:</w:t>
      </w:r>
    </w:p>
    <w:p w14:paraId="67847563" w14:textId="77777777" w:rsidR="00D7698D" w:rsidRDefault="00C3232D">
      <w:pPr>
        <w:pStyle w:val="Heading2"/>
        <w:rPr>
          <w:rFonts w:ascii="Times New Roman" w:hAnsi="Times New Roman"/>
          <w:lang w:eastAsia="zh-CN"/>
        </w:rPr>
      </w:pPr>
      <w:r>
        <w:rPr>
          <w:lang w:eastAsia="zh-CN"/>
        </w:rPr>
        <w:t>TP #2</w:t>
      </w:r>
    </w:p>
    <w:tbl>
      <w:tblPr>
        <w:tblStyle w:val="TableGrid"/>
        <w:tblW w:w="9629" w:type="dxa"/>
        <w:tblLayout w:type="fixed"/>
        <w:tblLook w:val="04A0" w:firstRow="1" w:lastRow="0" w:firstColumn="1" w:lastColumn="0" w:noHBand="0" w:noVBand="1"/>
      </w:tblPr>
      <w:tblGrid>
        <w:gridCol w:w="9629"/>
      </w:tblGrid>
      <w:tr w:rsidR="00D7698D" w14:paraId="67847566" w14:textId="77777777">
        <w:tc>
          <w:tcPr>
            <w:tcW w:w="9629" w:type="dxa"/>
            <w:tcBorders>
              <w:top w:val="single" w:sz="4" w:space="0" w:color="auto"/>
              <w:left w:val="single" w:sz="4" w:space="0" w:color="auto"/>
              <w:bottom w:val="single" w:sz="4" w:space="0" w:color="auto"/>
              <w:right w:val="single" w:sz="4" w:space="0" w:color="auto"/>
            </w:tcBorders>
          </w:tcPr>
          <w:p w14:paraId="67847564" w14:textId="77777777" w:rsidR="00D7698D" w:rsidRDefault="00C3232D">
            <w:r>
              <w:t>For intra-frequency DAPS HO operation, the UE expects that an active DL BWP and an active UL BWP on the target cell are within an active DL BWP and an active UL BWP on the source cell, respectively.</w:t>
            </w:r>
          </w:p>
          <w:p w14:paraId="67847565" w14:textId="77777777" w:rsidR="00D7698D" w:rsidRDefault="00C3232D">
            <w:pPr>
              <w:rPr>
                <w:strike/>
                <w:color w:val="FF0000"/>
              </w:rPr>
            </w:pPr>
            <w:r>
              <w:rPr>
                <w:strike/>
                <w:color w:val="FF0000"/>
              </w:rPr>
              <w:t xml:space="preserve">The UE can provide </w:t>
            </w:r>
            <w:r>
              <w:rPr>
                <w:bCs/>
                <w:i/>
                <w:iCs/>
                <w:strike/>
                <w:color w:val="FF0000"/>
                <w:lang w:eastAsia="ko-KR"/>
              </w:rPr>
              <w:t>pdcch-BlindDetectionMCG1-UE</w:t>
            </w:r>
            <w:r>
              <w:rPr>
                <w:strike/>
                <w:color w:val="FF0000"/>
              </w:rPr>
              <w:t xml:space="preserve"> to indicate</w:t>
            </w:r>
            <w:r>
              <w:rPr>
                <w:strike/>
                <w:color w:val="FF0000"/>
                <w:lang w:eastAsia="ko-KR"/>
              </w:rPr>
              <w:t xml:space="preserve"> a capability </w:t>
            </w:r>
            <w:r>
              <w:rPr>
                <w:strike/>
                <w:color w:val="FF0000"/>
              </w:rPr>
              <w:t xml:space="preserve">to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target</m:t>
                  </m:r>
                </m:sup>
              </m:sSubSup>
            </m:oMath>
            <w:r>
              <w:rPr>
                <w:strike/>
                <w:color w:val="FF0000"/>
              </w:rPr>
              <w:t xml:space="preserve"> downlink cells for the target MCG and </w:t>
            </w:r>
            <w:r>
              <w:rPr>
                <w:bCs/>
                <w:i/>
                <w:iCs/>
                <w:strike/>
                <w:color w:val="FF0000"/>
                <w:lang w:eastAsia="ko-KR"/>
              </w:rPr>
              <w:t>pdcch-BlindDetectionMCG2-UE</w:t>
            </w:r>
            <w:r>
              <w:rPr>
                <w:strike/>
                <w:color w:val="FF0000"/>
              </w:rPr>
              <w:t xml:space="preserve"> to indicate a capability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source</m:t>
                  </m:r>
                </m:sup>
              </m:sSubSup>
            </m:oMath>
            <w:r>
              <w:rPr>
                <w:strike/>
                <w:color w:val="FF0000"/>
              </w:rPr>
              <w:t xml:space="preserve"> downlink cells for the source MCG</w:t>
            </w:r>
            <w:r>
              <w:rPr>
                <w:strike/>
                <w:color w:val="FF0000"/>
                <w:lang w:eastAsia="ko-KR"/>
              </w:rPr>
              <w:t>.</w:t>
            </w:r>
            <w:r>
              <w:t xml:space="preserve"> If the UE is provided search space sets on both the target MCG and the source MCG, the UE does not expect to have in any slot any USS set </w:t>
            </w:r>
            <w:r>
              <w:rPr>
                <w:rFonts w:eastAsiaTheme="minorEastAsia"/>
              </w:rPr>
              <w:t xml:space="preserve">without allocated PDCCH candidates </w:t>
            </w:r>
            <w:r>
              <w:t>for monitoring on both the target MCG and the source MCG.</w:t>
            </w:r>
          </w:p>
        </w:tc>
      </w:tr>
    </w:tbl>
    <w:p w14:paraId="67847567" w14:textId="77777777" w:rsidR="00D7698D" w:rsidRDefault="00D7698D">
      <w:pPr>
        <w:pStyle w:val="BodyText"/>
        <w:spacing w:after="0"/>
        <w:rPr>
          <w:rFonts w:ascii="Times New Roman" w:hAnsi="Times New Roman"/>
          <w:sz w:val="22"/>
          <w:szCs w:val="22"/>
          <w:lang w:eastAsia="zh-CN"/>
        </w:rPr>
      </w:pPr>
    </w:p>
    <w:p w14:paraId="67847568"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Proposal in [6]</w:t>
      </w:r>
    </w:p>
    <w:p w14:paraId="67847569" w14:textId="77777777" w:rsidR="00D7698D" w:rsidRDefault="00C3232D">
      <w:pPr>
        <w:pStyle w:val="ListParagraph"/>
        <w:numPr>
          <w:ilvl w:val="1"/>
          <w:numId w:val="7"/>
        </w:numPr>
        <w:rPr>
          <w:rFonts w:ascii="Times New Roman" w:hAnsi="Times New Roman"/>
          <w:bCs/>
          <w:iCs/>
          <w:lang w:eastAsia="zh-CN"/>
        </w:rPr>
      </w:pPr>
      <w:r>
        <w:rPr>
          <w:rFonts w:ascii="Times New Roman" w:hAnsi="Times New Roman"/>
          <w:bCs/>
          <w:iCs/>
          <w:lang w:eastAsia="zh-CN"/>
        </w:rPr>
        <w:t>Confirm that the specification related to PDCCH overbooking during DAPS HO implies that overbooking is allowed in source or target.</w:t>
      </w:r>
    </w:p>
    <w:p w14:paraId="6784756A" w14:textId="77777777" w:rsidR="00D7698D" w:rsidRDefault="00D7698D">
      <w:pPr>
        <w:pStyle w:val="BodyText"/>
        <w:spacing w:after="0"/>
        <w:rPr>
          <w:rFonts w:ascii="Times New Roman" w:hAnsi="Times New Roman"/>
          <w:sz w:val="22"/>
          <w:szCs w:val="22"/>
          <w:lang w:eastAsia="zh-CN"/>
        </w:rPr>
      </w:pPr>
    </w:p>
    <w:p w14:paraId="6784756B" w14:textId="77777777" w:rsidR="00D7698D" w:rsidRDefault="00C3232D">
      <w:pPr>
        <w:pStyle w:val="ListParagraph"/>
        <w:numPr>
          <w:ilvl w:val="0"/>
          <w:numId w:val="7"/>
        </w:numPr>
        <w:rPr>
          <w:rFonts w:ascii="Times New Roman" w:hAnsi="Times New Roman"/>
          <w:bCs/>
          <w:iCs/>
          <w:lang w:eastAsia="zh-CN"/>
        </w:rPr>
      </w:pPr>
      <w:r>
        <w:rPr>
          <w:rFonts w:ascii="Times New Roman" w:hAnsi="Times New Roman"/>
          <w:bCs/>
          <w:iCs/>
          <w:lang w:eastAsia="zh-CN"/>
        </w:rPr>
        <w:t>Proposal in [8]</w:t>
      </w:r>
    </w:p>
    <w:p w14:paraId="6784756C" w14:textId="77777777" w:rsidR="00D7698D" w:rsidRDefault="00C3232D">
      <w:pPr>
        <w:pStyle w:val="ListParagraph"/>
        <w:numPr>
          <w:ilvl w:val="1"/>
          <w:numId w:val="7"/>
        </w:numPr>
        <w:rPr>
          <w:rFonts w:ascii="Times New Roman" w:hAnsi="Times New Roman"/>
          <w:bCs/>
          <w:iCs/>
          <w:lang w:eastAsia="zh-CN"/>
        </w:rPr>
      </w:pPr>
      <w:r>
        <w:rPr>
          <w:rFonts w:ascii="Times New Roman" w:hAnsi="Times New Roman"/>
          <w:bCs/>
          <w:iCs/>
          <w:lang w:eastAsia="zh-CN"/>
        </w:rPr>
        <w:t>Clarify the agreement made in RAN1 meeting #99 and allow overbooking in source MCG during the DAPS HO.</w:t>
      </w:r>
    </w:p>
    <w:p w14:paraId="6784756D" w14:textId="77777777" w:rsidR="00D7698D" w:rsidRDefault="00C3232D">
      <w:pPr>
        <w:pStyle w:val="Heading2"/>
        <w:rPr>
          <w:rFonts w:ascii="Times New Roman" w:hAnsi="Times New Roman"/>
          <w:lang w:eastAsia="zh-CN"/>
        </w:rPr>
      </w:pPr>
      <w:r>
        <w:rPr>
          <w:lang w:eastAsia="zh-CN"/>
        </w:rPr>
        <w:t>TP #3</w:t>
      </w:r>
    </w:p>
    <w:tbl>
      <w:tblPr>
        <w:tblStyle w:val="TableGrid"/>
        <w:tblW w:w="9629" w:type="dxa"/>
        <w:tblLayout w:type="fixed"/>
        <w:tblLook w:val="04A0" w:firstRow="1" w:lastRow="0" w:firstColumn="1" w:lastColumn="0" w:noHBand="0" w:noVBand="1"/>
      </w:tblPr>
      <w:tblGrid>
        <w:gridCol w:w="9629"/>
      </w:tblGrid>
      <w:tr w:rsidR="00D7698D" w14:paraId="6784756F" w14:textId="77777777">
        <w:tc>
          <w:tcPr>
            <w:tcW w:w="9629" w:type="dxa"/>
            <w:tcBorders>
              <w:top w:val="single" w:sz="4" w:space="0" w:color="auto"/>
              <w:left w:val="single" w:sz="4" w:space="0" w:color="auto"/>
              <w:bottom w:val="single" w:sz="4" w:space="0" w:color="auto"/>
              <w:right w:val="single" w:sz="4" w:space="0" w:color="auto"/>
            </w:tcBorders>
          </w:tcPr>
          <w:p w14:paraId="6784756E" w14:textId="77777777" w:rsidR="00D7698D" w:rsidRDefault="00C3232D">
            <w:pPr>
              <w:rPr>
                <w:rFonts w:eastAsia="Times New Roman"/>
              </w:rPr>
            </w:pPr>
            <w:r>
              <w:rPr>
                <w:rFonts w:eastAsia="Times New Roman"/>
              </w:rPr>
              <w:t xml:space="preserve">The UE can provide </w:t>
            </w:r>
            <w:r>
              <w:rPr>
                <w:rFonts w:eastAsia="Times New Roman"/>
                <w:bCs/>
                <w:i/>
                <w:iCs/>
                <w:lang w:eastAsia="ko-KR"/>
              </w:rPr>
              <w:t>pdcch-BlindDetectionMCG1-UE</w:t>
            </w:r>
            <w:r>
              <w:rPr>
                <w:rFonts w:eastAsia="Times New Roman"/>
              </w:rPr>
              <w:t xml:space="preserve"> to indicate</w:t>
            </w:r>
            <w:r>
              <w:rPr>
                <w:rFonts w:eastAsia="Times New Roman"/>
                <w:lang w:eastAsia="ko-KR"/>
              </w:rPr>
              <w:t xml:space="preserve"> a capability </w:t>
            </w:r>
            <w:r>
              <w:rPr>
                <w:rFonts w:eastAsia="Times New Roman"/>
              </w:rPr>
              <w:t xml:space="preserve">to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Pr>
                <w:rFonts w:eastAsia="Times New Roman"/>
              </w:rPr>
              <w:t xml:space="preserve"> downlink cells for the target MCG and </w:t>
            </w:r>
            <w:r>
              <w:rPr>
                <w:rFonts w:eastAsia="Times New Roman"/>
                <w:bCs/>
                <w:i/>
                <w:iCs/>
                <w:lang w:eastAsia="ko-KR"/>
              </w:rPr>
              <w:t>pdcch-BlindDetectionMCG2-UE</w:t>
            </w:r>
            <w:r>
              <w:rPr>
                <w:rFonts w:eastAsia="Times New Roman"/>
              </w:rPr>
              <w:t xml:space="preserve"> to indicate a capability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Pr>
                <w:rFonts w:eastAsia="Times New Roman"/>
              </w:rPr>
              <w:t xml:space="preserve"> downlink cells for the source MCG</w:t>
            </w:r>
            <w:r>
              <w:rPr>
                <w:rFonts w:eastAsia="Times New Roman"/>
                <w:lang w:eastAsia="ko-KR"/>
              </w:rPr>
              <w:t>.</w:t>
            </w:r>
            <w:r>
              <w:rPr>
                <w:rFonts w:eastAsia="Times New Roman"/>
              </w:rPr>
              <w:t xml:space="preserve"> If the UE is provided search space sets on both the target MCG and the source MCG, the UE does not expect to have in any slot any USS set without allocated PDCCH candidates for monitoring on </w:t>
            </w:r>
            <w:r>
              <w:rPr>
                <w:rFonts w:eastAsia="Times New Roman"/>
                <w:strike/>
                <w:color w:val="FF0000"/>
              </w:rPr>
              <w:t xml:space="preserve">both </w:t>
            </w:r>
            <w:r>
              <w:rPr>
                <w:rFonts w:eastAsia="Times New Roman"/>
              </w:rPr>
              <w:t>the target MCG</w:t>
            </w:r>
            <w:r>
              <w:rPr>
                <w:rFonts w:eastAsia="Times New Roman"/>
                <w:strike/>
                <w:color w:val="FF0000"/>
              </w:rPr>
              <w:t xml:space="preserve"> and the source MCG</w:t>
            </w:r>
            <w:r>
              <w:rPr>
                <w:rFonts w:eastAsia="Times New Roman"/>
              </w:rPr>
              <w:t>.</w:t>
            </w:r>
          </w:p>
        </w:tc>
      </w:tr>
    </w:tbl>
    <w:p w14:paraId="67847570" w14:textId="77777777" w:rsidR="00D7698D" w:rsidRDefault="00D7698D">
      <w:pPr>
        <w:pStyle w:val="BodyText"/>
        <w:spacing w:after="0"/>
        <w:rPr>
          <w:rFonts w:ascii="Times New Roman" w:hAnsi="Times New Roman"/>
          <w:sz w:val="22"/>
          <w:szCs w:val="22"/>
          <w:lang w:eastAsia="zh-CN"/>
        </w:rPr>
      </w:pPr>
    </w:p>
    <w:p w14:paraId="67847571" w14:textId="77777777" w:rsidR="00D7698D" w:rsidRDefault="00D7698D">
      <w:pPr>
        <w:pStyle w:val="BodyText"/>
        <w:spacing w:after="0"/>
        <w:rPr>
          <w:rFonts w:ascii="Times New Roman" w:hAnsi="Times New Roman"/>
          <w:sz w:val="22"/>
          <w:szCs w:val="22"/>
          <w:lang w:eastAsia="zh-CN"/>
        </w:rPr>
      </w:pPr>
    </w:p>
    <w:p w14:paraId="67847572" w14:textId="77777777" w:rsidR="00D7698D" w:rsidRDefault="00C323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7847573" w14:textId="77777777" w:rsidR="00D7698D" w:rsidRDefault="00D7698D">
      <w:pPr>
        <w:pStyle w:val="BodyText"/>
        <w:spacing w:after="0"/>
        <w:rPr>
          <w:rFonts w:ascii="Times New Roman" w:hAnsi="Times New Roman"/>
          <w:sz w:val="22"/>
          <w:szCs w:val="22"/>
          <w:lang w:eastAsia="zh-CN"/>
        </w:rPr>
      </w:pPr>
    </w:p>
    <w:p w14:paraId="67847574"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two issues.</w:t>
      </w:r>
    </w:p>
    <w:p w14:paraId="67847575" w14:textId="77777777" w:rsidR="00D7698D" w:rsidRDefault="00C323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Correction of specification text from removal of PDCCH monitoring capability for DAPS.</w:t>
      </w:r>
    </w:p>
    <w:p w14:paraId="67847576" w14:textId="77777777" w:rsidR="00D7698D" w:rsidRDefault="00C323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#2</w:t>
      </w:r>
    </w:p>
    <w:p w14:paraId="67847577" w14:textId="77777777" w:rsidR="00D7698D" w:rsidRDefault="00C323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Issue of overbooking in source MCG during DAPS HO.</w:t>
      </w:r>
    </w:p>
    <w:p w14:paraId="67847578" w14:textId="77777777" w:rsidR="00D7698D" w:rsidRDefault="00C323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#3</w:t>
      </w:r>
    </w:p>
    <w:p w14:paraId="67847579" w14:textId="77777777" w:rsidR="00D7698D" w:rsidRDefault="00D7698D">
      <w:pPr>
        <w:pStyle w:val="BodyText"/>
        <w:spacing w:after="0"/>
        <w:rPr>
          <w:rFonts w:ascii="Times New Roman" w:hAnsi="Times New Roman"/>
          <w:sz w:val="22"/>
          <w:szCs w:val="22"/>
          <w:lang w:eastAsia="zh-CN"/>
        </w:rPr>
      </w:pPr>
    </w:p>
    <w:p w14:paraId="6784757A"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TP #2 and TP #3 are acceptable or not. Also, if companies have a modified/reformulated proposal based on proposals from above companies, please do provide them below as well.</w:t>
      </w:r>
    </w:p>
    <w:p w14:paraId="6784757B" w14:textId="77777777" w:rsidR="00D7698D" w:rsidRDefault="00D7698D">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7698D" w14:paraId="6784757E" w14:textId="77777777">
        <w:trPr>
          <w:trHeight w:val="73"/>
        </w:trPr>
        <w:tc>
          <w:tcPr>
            <w:tcW w:w="1871" w:type="dxa"/>
            <w:shd w:val="clear" w:color="auto" w:fill="C5E0B3" w:themeFill="accent6" w:themeFillTint="66"/>
          </w:tcPr>
          <w:p w14:paraId="6784757C"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784757D"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7698D" w14:paraId="67847581" w14:textId="77777777">
        <w:trPr>
          <w:trHeight w:val="24"/>
        </w:trPr>
        <w:tc>
          <w:tcPr>
            <w:tcW w:w="1871" w:type="dxa"/>
          </w:tcPr>
          <w:p w14:paraId="6784757F"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7847580" w14:textId="77777777" w:rsidR="00D7698D" w:rsidRDefault="00C3232D">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Issue 1: support to endorse TP #2</w:t>
            </w:r>
            <w:r>
              <w:rPr>
                <w:rFonts w:ascii="Times New Roman" w:hAnsi="Times New Roman"/>
                <w:sz w:val="22"/>
                <w:szCs w:val="22"/>
                <w:lang w:eastAsia="zh-CN"/>
              </w:rPr>
              <w:br/>
              <w:t>Issue 2: support to endorse TP #3</w:t>
            </w:r>
          </w:p>
        </w:tc>
      </w:tr>
      <w:tr w:rsidR="00D7698D" w14:paraId="67847584" w14:textId="77777777">
        <w:trPr>
          <w:trHeight w:val="339"/>
        </w:trPr>
        <w:tc>
          <w:tcPr>
            <w:tcW w:w="1871" w:type="dxa"/>
          </w:tcPr>
          <w:p w14:paraId="67847582"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8021" w:type="dxa"/>
          </w:tcPr>
          <w:p w14:paraId="67847583"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TP#2 is ok. </w:t>
            </w:r>
            <w:r>
              <w:rPr>
                <w:rFonts w:ascii="Times New Roman" w:hAnsi="Times New Roman"/>
                <w:sz w:val="22"/>
                <w:szCs w:val="22"/>
                <w:lang w:eastAsia="zh-CN"/>
              </w:rPr>
              <w:t xml:space="preserve">TP#3 needs more discussion, failed to understand the statement that “the overbooking rules for DAPS-HO is more stringent than what was agreed in RAN1 #99”. The agreement </w:t>
            </w:r>
            <w:proofErr w:type="gramStart"/>
            <w:r>
              <w:rPr>
                <w:rFonts w:ascii="Times New Roman" w:hAnsi="Times New Roman"/>
                <w:sz w:val="22"/>
                <w:szCs w:val="22"/>
                <w:lang w:eastAsia="zh-CN"/>
              </w:rPr>
              <w:t>says</w:t>
            </w:r>
            <w:proofErr w:type="gramEnd"/>
            <w:r>
              <w:rPr>
                <w:rFonts w:ascii="Times New Roman" w:hAnsi="Times New Roman"/>
                <w:sz w:val="22"/>
                <w:szCs w:val="22"/>
                <w:lang w:eastAsia="zh-CN"/>
              </w:rPr>
              <w:t xml:space="preserve"> “the UE is not expected to be provided with PDCCH configuration leading to PDCCH overbooking at both source and target cells”. To my understanding, the current spec correctly reflected not allowing overbooking is either source or target cell. If considering overbooking for one of both, why is it source but not target?</w:t>
            </w:r>
          </w:p>
        </w:tc>
      </w:tr>
      <w:tr w:rsidR="00D7698D" w14:paraId="67847589" w14:textId="77777777">
        <w:trPr>
          <w:trHeight w:val="339"/>
        </w:trPr>
        <w:tc>
          <w:tcPr>
            <w:tcW w:w="1871" w:type="dxa"/>
          </w:tcPr>
          <w:p w14:paraId="67847585"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67847586"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TP#2 and TP#3.</w:t>
            </w:r>
          </w:p>
          <w:p w14:paraId="67847587" w14:textId="77777777" w:rsidR="00D7698D" w:rsidRDefault="00D7698D">
            <w:pPr>
              <w:pStyle w:val="BodyText"/>
              <w:spacing w:before="0" w:after="0" w:line="240" w:lineRule="auto"/>
              <w:rPr>
                <w:rFonts w:ascii="Times New Roman" w:hAnsi="Times New Roman"/>
                <w:sz w:val="22"/>
                <w:szCs w:val="22"/>
                <w:lang w:eastAsia="zh-CN"/>
              </w:rPr>
            </w:pPr>
          </w:p>
          <w:p w14:paraId="67847588"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TP#3, while the agreement does state it is not expected to perform overbooking, based on our understanding the original intent was to limit the overbooking only in one of the MCG and not limit overbooking in both MCGs. The support of overbooking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is a mandatory feature for the UE, so UE should be able to support overbooking at least in one of the MCGs.</w:t>
            </w:r>
          </w:p>
        </w:tc>
      </w:tr>
      <w:tr w:rsidR="00D7698D" w14:paraId="6784758D" w14:textId="77777777">
        <w:trPr>
          <w:trHeight w:val="339"/>
        </w:trPr>
        <w:tc>
          <w:tcPr>
            <w:tcW w:w="1871" w:type="dxa"/>
          </w:tcPr>
          <w:p w14:paraId="6784758A"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6784758B"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TP#2 and TP#3.</w:t>
            </w:r>
          </w:p>
          <w:p w14:paraId="6784758C" w14:textId="77777777" w:rsidR="00D7698D" w:rsidRDefault="00C3232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TP#3, our understanding is the agreement means to avoid overbooking configurations for both source and target cell simultaneously. Allowing overbooking in one of the </w:t>
            </w:r>
            <w:proofErr w:type="gramStart"/>
            <w:r>
              <w:rPr>
                <w:rFonts w:ascii="Times New Roman" w:hAnsi="Times New Roman"/>
                <w:sz w:val="22"/>
                <w:szCs w:val="22"/>
                <w:lang w:eastAsia="zh-CN"/>
              </w:rPr>
              <w:t>cell</w:t>
            </w:r>
            <w:proofErr w:type="gramEnd"/>
            <w:r>
              <w:rPr>
                <w:rFonts w:ascii="Times New Roman" w:hAnsi="Times New Roman"/>
                <w:sz w:val="22"/>
                <w:szCs w:val="22"/>
                <w:lang w:eastAsia="zh-CN"/>
              </w:rPr>
              <w:t xml:space="preserve"> is within Rel-15 UE capability.</w:t>
            </w:r>
          </w:p>
        </w:tc>
      </w:tr>
      <w:tr w:rsidR="00D7698D" w14:paraId="67847591" w14:textId="77777777">
        <w:trPr>
          <w:trHeight w:val="339"/>
        </w:trPr>
        <w:tc>
          <w:tcPr>
            <w:tcW w:w="1871" w:type="dxa"/>
          </w:tcPr>
          <w:p w14:paraId="6784758E"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784758F"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Support TP#2 and TP#3.</w:t>
            </w:r>
          </w:p>
          <w:p w14:paraId="67847590"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TP#3, it could be also possible to revise it so that we (instead) add ‘simultaneously’ to end of the sentence, thereby allowing overbooking in one of the MCGs. </w:t>
            </w:r>
          </w:p>
        </w:tc>
      </w:tr>
      <w:tr w:rsidR="00D7698D" w14:paraId="67847594" w14:textId="77777777">
        <w:trPr>
          <w:trHeight w:val="339"/>
        </w:trPr>
        <w:tc>
          <w:tcPr>
            <w:tcW w:w="1871" w:type="dxa"/>
          </w:tcPr>
          <w:p w14:paraId="67847592" w14:textId="77777777" w:rsidR="00D7698D" w:rsidRDefault="00C3232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7847593" w14:textId="77777777" w:rsidR="00D7698D" w:rsidRDefault="00C3232D">
            <w:pPr>
              <w:pStyle w:val="BodyText"/>
              <w:spacing w:after="0"/>
              <w:rPr>
                <w:rFonts w:ascii="Times New Roman" w:hAnsi="Times New Roman"/>
                <w:sz w:val="22"/>
                <w:szCs w:val="22"/>
                <w:lang w:eastAsia="zh-CN"/>
              </w:rPr>
            </w:pPr>
            <w:r>
              <w:rPr>
                <w:rFonts w:ascii="Times New Roman" w:hAnsi="Times New Roman"/>
                <w:sz w:val="22"/>
                <w:szCs w:val="22"/>
                <w:lang w:eastAsia="zh-CN"/>
              </w:rPr>
              <w:t>Support TP#2 and TP#3.</w:t>
            </w:r>
          </w:p>
        </w:tc>
      </w:tr>
      <w:tr w:rsidR="00C66048" w14:paraId="67847597" w14:textId="77777777">
        <w:trPr>
          <w:trHeight w:val="339"/>
        </w:trPr>
        <w:tc>
          <w:tcPr>
            <w:tcW w:w="1871" w:type="dxa"/>
          </w:tcPr>
          <w:p w14:paraId="67847595" w14:textId="77777777" w:rsidR="00C66048" w:rsidRDefault="00C66048">
            <w:pPr>
              <w:pStyle w:val="BodyText"/>
              <w:spacing w:after="0"/>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67847596" w14:textId="77777777" w:rsidR="00C66048" w:rsidRDefault="00C66048">
            <w:pPr>
              <w:pStyle w:val="BodyText"/>
              <w:spacing w:after="0"/>
              <w:rPr>
                <w:rFonts w:ascii="Times New Roman" w:hAnsi="Times New Roman"/>
                <w:sz w:val="22"/>
                <w:szCs w:val="22"/>
                <w:lang w:eastAsia="zh-CN"/>
              </w:rPr>
            </w:pPr>
            <w:r>
              <w:rPr>
                <w:rFonts w:ascii="Times New Roman" w:hAnsi="Times New Roman"/>
                <w:sz w:val="22"/>
                <w:szCs w:val="22"/>
                <w:lang w:eastAsia="zh-CN"/>
              </w:rPr>
              <w:t>Support TP#2 and TP#3.</w:t>
            </w:r>
          </w:p>
        </w:tc>
      </w:tr>
    </w:tbl>
    <w:p w14:paraId="67847598" w14:textId="77777777" w:rsidR="00D7698D" w:rsidRDefault="00D7698D">
      <w:pPr>
        <w:pStyle w:val="BodyText"/>
        <w:spacing w:after="0"/>
        <w:rPr>
          <w:rFonts w:ascii="Times New Roman" w:hAnsi="Times New Roman"/>
          <w:sz w:val="22"/>
          <w:szCs w:val="22"/>
          <w:lang w:eastAsia="zh-CN"/>
        </w:rPr>
      </w:pPr>
    </w:p>
    <w:p w14:paraId="67847599" w14:textId="2AEBC801" w:rsidR="00D7698D" w:rsidRDefault="00D7698D">
      <w:pPr>
        <w:pStyle w:val="BodyText"/>
        <w:spacing w:after="0"/>
        <w:rPr>
          <w:rFonts w:ascii="Times New Roman" w:hAnsi="Times New Roman"/>
          <w:sz w:val="22"/>
          <w:szCs w:val="22"/>
          <w:lang w:eastAsia="zh-CN"/>
        </w:rPr>
      </w:pPr>
    </w:p>
    <w:p w14:paraId="305B3BB8" w14:textId="70A62AAC" w:rsidR="008B59A3" w:rsidRDefault="008B59A3" w:rsidP="008B59A3">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r w:rsidR="008847D2">
        <w:rPr>
          <w:rFonts w:ascii="Times New Roman" w:hAnsi="Times New Roman"/>
          <w:b/>
          <w:bCs/>
          <w:sz w:val="22"/>
          <w:szCs w:val="22"/>
          <w:u w:val="single"/>
          <w:lang w:eastAsia="zh-CN"/>
        </w:rPr>
        <w:t xml:space="preserve"> </w:t>
      </w:r>
      <w:r w:rsidR="000B49BE">
        <w:rPr>
          <w:rFonts w:ascii="Times New Roman" w:hAnsi="Times New Roman"/>
          <w:b/>
          <w:bCs/>
          <w:sz w:val="22"/>
          <w:szCs w:val="22"/>
          <w:u w:val="single"/>
          <w:lang w:eastAsia="zh-CN"/>
        </w:rPr>
        <w:t xml:space="preserve">of all comments received by </w:t>
      </w:r>
      <w:r w:rsidR="00BC388A">
        <w:rPr>
          <w:rFonts w:ascii="Times New Roman" w:hAnsi="Times New Roman"/>
          <w:b/>
          <w:bCs/>
          <w:sz w:val="22"/>
          <w:szCs w:val="22"/>
          <w:u w:val="single"/>
          <w:lang w:eastAsia="zh-CN"/>
        </w:rPr>
        <w:t xml:space="preserve">May 27, </w:t>
      </w:r>
      <w:r w:rsidR="008847D2">
        <w:rPr>
          <w:rFonts w:ascii="Times New Roman" w:hAnsi="Times New Roman"/>
          <w:b/>
          <w:bCs/>
          <w:sz w:val="22"/>
          <w:szCs w:val="22"/>
          <w:u w:val="single"/>
          <w:lang w:eastAsia="zh-CN"/>
        </w:rPr>
        <w:t>11pm PDT (</w:t>
      </w:r>
      <w:r w:rsidR="00BC388A">
        <w:rPr>
          <w:rFonts w:ascii="Times New Roman" w:hAnsi="Times New Roman"/>
          <w:b/>
          <w:bCs/>
          <w:sz w:val="22"/>
          <w:szCs w:val="22"/>
          <w:u w:val="single"/>
          <w:lang w:eastAsia="zh-CN"/>
        </w:rPr>
        <w:t>May 28, 6am UTC)</w:t>
      </w:r>
      <w:r>
        <w:rPr>
          <w:rFonts w:ascii="Times New Roman" w:hAnsi="Times New Roman"/>
          <w:b/>
          <w:bCs/>
          <w:sz w:val="22"/>
          <w:szCs w:val="22"/>
          <w:u w:val="single"/>
          <w:lang w:eastAsia="zh-CN"/>
        </w:rPr>
        <w:t>:</w:t>
      </w:r>
    </w:p>
    <w:p w14:paraId="6784759A" w14:textId="77777777" w:rsidR="00D7698D" w:rsidRDefault="00D7698D">
      <w:pPr>
        <w:pStyle w:val="BodyText"/>
        <w:spacing w:after="0"/>
        <w:rPr>
          <w:rFonts w:ascii="Times New Roman" w:hAnsi="Times New Roman"/>
          <w:sz w:val="22"/>
          <w:szCs w:val="22"/>
          <w:lang w:eastAsia="zh-CN"/>
        </w:rPr>
      </w:pPr>
    </w:p>
    <w:p w14:paraId="6784759B" w14:textId="58951390" w:rsidR="00D7698D" w:rsidRDefault="0017711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TP#2 seems to be agreeable by all companies who have provided input so far. For TP#3, </w:t>
      </w:r>
      <w:r w:rsidR="00EC283E">
        <w:rPr>
          <w:rFonts w:ascii="Times New Roman" w:hAnsi="Times New Roman"/>
          <w:sz w:val="22"/>
          <w:szCs w:val="22"/>
          <w:lang w:eastAsia="zh-CN"/>
        </w:rPr>
        <w:t>the suggestion from Nokia seems to be a good way forward.</w:t>
      </w:r>
    </w:p>
    <w:p w14:paraId="6A1C5466" w14:textId="5BDECC22" w:rsidR="00EC283E" w:rsidRDefault="00EC283E">
      <w:pPr>
        <w:pStyle w:val="BodyText"/>
        <w:spacing w:after="0"/>
        <w:rPr>
          <w:rFonts w:ascii="Times New Roman" w:hAnsi="Times New Roman"/>
          <w:sz w:val="22"/>
          <w:szCs w:val="22"/>
          <w:lang w:eastAsia="zh-CN"/>
        </w:rPr>
      </w:pPr>
    </w:p>
    <w:p w14:paraId="0D4A1097" w14:textId="6DEB2344" w:rsidR="00EC283E" w:rsidRDefault="00EC283E">
      <w:pPr>
        <w:pStyle w:val="BodyText"/>
        <w:spacing w:after="0"/>
        <w:rPr>
          <w:rFonts w:ascii="Times New Roman" w:hAnsi="Times New Roman"/>
          <w:sz w:val="22"/>
          <w:szCs w:val="22"/>
          <w:lang w:eastAsia="zh-CN"/>
        </w:rPr>
      </w:pPr>
      <w:r w:rsidRPr="00206E5B">
        <w:rPr>
          <w:rFonts w:ascii="Times New Roman" w:hAnsi="Times New Roman"/>
          <w:sz w:val="22"/>
          <w:szCs w:val="22"/>
          <w:highlight w:val="cyan"/>
          <w:lang w:eastAsia="zh-CN"/>
        </w:rPr>
        <w:t>Moderator Suggestion</w:t>
      </w:r>
      <w:r w:rsidR="0078560B" w:rsidRPr="00206E5B">
        <w:rPr>
          <w:rFonts w:ascii="Times New Roman" w:hAnsi="Times New Roman"/>
          <w:sz w:val="22"/>
          <w:szCs w:val="22"/>
          <w:highlight w:val="cyan"/>
          <w:lang w:eastAsia="zh-CN"/>
        </w:rPr>
        <w:t xml:space="preserve"> for Agreement</w:t>
      </w:r>
      <w:r w:rsidRPr="00206E5B">
        <w:rPr>
          <w:rFonts w:ascii="Times New Roman" w:hAnsi="Times New Roman"/>
          <w:sz w:val="22"/>
          <w:szCs w:val="22"/>
          <w:highlight w:val="cyan"/>
          <w:lang w:eastAsia="zh-CN"/>
        </w:rPr>
        <w:t>:</w:t>
      </w:r>
    </w:p>
    <w:p w14:paraId="620CA023" w14:textId="362E095F" w:rsidR="00EC283E" w:rsidRDefault="00EC283E" w:rsidP="0078560B">
      <w:pPr>
        <w:pStyle w:val="ListParagraph"/>
        <w:numPr>
          <w:ilvl w:val="0"/>
          <w:numId w:val="7"/>
        </w:numPr>
        <w:rPr>
          <w:rFonts w:ascii="Times New Roman" w:hAnsi="Times New Roman"/>
          <w:bCs/>
          <w:iCs/>
          <w:lang w:eastAsia="zh-CN"/>
        </w:rPr>
      </w:pPr>
      <w:r w:rsidRPr="0078560B">
        <w:rPr>
          <w:rFonts w:ascii="Times New Roman" w:hAnsi="Times New Roman"/>
          <w:bCs/>
          <w:iCs/>
          <w:lang w:eastAsia="zh-CN"/>
        </w:rPr>
        <w:t>Agree TP #2</w:t>
      </w:r>
      <w:r w:rsidR="00776D36" w:rsidRPr="0078560B">
        <w:rPr>
          <w:rFonts w:ascii="Times New Roman" w:hAnsi="Times New Roman"/>
          <w:bCs/>
          <w:iCs/>
          <w:lang w:eastAsia="zh-CN"/>
        </w:rPr>
        <w:t xml:space="preserve"> of R1-2004749</w:t>
      </w:r>
    </w:p>
    <w:p w14:paraId="1F2A6279" w14:textId="271EB8B7" w:rsidR="00206E5B" w:rsidRPr="00206E5B" w:rsidRDefault="00206E5B" w:rsidP="0078560B">
      <w:pPr>
        <w:pStyle w:val="ListParagraph"/>
        <w:numPr>
          <w:ilvl w:val="0"/>
          <w:numId w:val="7"/>
        </w:numPr>
        <w:rPr>
          <w:rFonts w:ascii="Times New Roman" w:hAnsi="Times New Roman"/>
          <w:bCs/>
          <w:iCs/>
          <w:lang w:eastAsia="zh-CN"/>
        </w:rPr>
      </w:pPr>
      <w:r w:rsidRPr="00206E5B">
        <w:rPr>
          <w:rFonts w:ascii="Times New Roman" w:hAnsi="Times New Roman"/>
          <w:bCs/>
          <w:iCs/>
          <w:lang w:eastAsia="zh-CN"/>
        </w:rPr>
        <w:t>Agree on revision of TP#3 by adding ‘simultaneously’</w:t>
      </w:r>
      <w:r w:rsidR="0004040C">
        <w:rPr>
          <w:rFonts w:ascii="Times New Roman" w:hAnsi="Times New Roman"/>
          <w:bCs/>
          <w:iCs/>
          <w:lang w:eastAsia="zh-CN"/>
        </w:rPr>
        <w:t xml:space="preserve"> at the end</w:t>
      </w:r>
      <w:r w:rsidRPr="00206E5B">
        <w:rPr>
          <w:rFonts w:ascii="Times New Roman" w:hAnsi="Times New Roman"/>
          <w:bCs/>
          <w:iCs/>
          <w:lang w:eastAsia="zh-CN"/>
        </w:rPr>
        <w:t>. Revised TP available as TP #4 of R1-2004749</w:t>
      </w:r>
    </w:p>
    <w:p w14:paraId="0D5E14A1" w14:textId="237DFF94" w:rsidR="00177116" w:rsidRDefault="00177116" w:rsidP="00177116">
      <w:pPr>
        <w:pStyle w:val="Heading2"/>
        <w:rPr>
          <w:rFonts w:ascii="Times New Roman" w:hAnsi="Times New Roman"/>
          <w:lang w:eastAsia="zh-CN"/>
        </w:rPr>
      </w:pPr>
      <w:r>
        <w:rPr>
          <w:lang w:eastAsia="zh-CN"/>
        </w:rPr>
        <w:lastRenderedPageBreak/>
        <w:t>TP #</w:t>
      </w:r>
      <w:r w:rsidR="00206E5B">
        <w:rPr>
          <w:lang w:eastAsia="zh-CN"/>
        </w:rPr>
        <w:t>4</w:t>
      </w:r>
    </w:p>
    <w:tbl>
      <w:tblPr>
        <w:tblStyle w:val="TableGrid"/>
        <w:tblW w:w="9629" w:type="dxa"/>
        <w:tblLayout w:type="fixed"/>
        <w:tblLook w:val="04A0" w:firstRow="1" w:lastRow="0" w:firstColumn="1" w:lastColumn="0" w:noHBand="0" w:noVBand="1"/>
      </w:tblPr>
      <w:tblGrid>
        <w:gridCol w:w="9629"/>
      </w:tblGrid>
      <w:tr w:rsidR="00177116" w14:paraId="50075F12" w14:textId="77777777" w:rsidTr="00E5730E">
        <w:tc>
          <w:tcPr>
            <w:tcW w:w="9629" w:type="dxa"/>
            <w:tcBorders>
              <w:top w:val="single" w:sz="4" w:space="0" w:color="auto"/>
              <w:left w:val="single" w:sz="4" w:space="0" w:color="auto"/>
              <w:bottom w:val="single" w:sz="4" w:space="0" w:color="auto"/>
              <w:right w:val="single" w:sz="4" w:space="0" w:color="auto"/>
            </w:tcBorders>
          </w:tcPr>
          <w:p w14:paraId="6D4A2201" w14:textId="29BDCB7D" w:rsidR="00177116" w:rsidRDefault="00177116" w:rsidP="00E5730E">
            <w:pPr>
              <w:rPr>
                <w:rFonts w:eastAsia="Times New Roman"/>
              </w:rPr>
            </w:pPr>
            <w:r>
              <w:rPr>
                <w:rFonts w:eastAsia="Times New Roman"/>
              </w:rPr>
              <w:t xml:space="preserve">The UE can provide </w:t>
            </w:r>
            <w:r>
              <w:rPr>
                <w:rFonts w:eastAsia="Times New Roman"/>
                <w:bCs/>
                <w:i/>
                <w:iCs/>
                <w:lang w:eastAsia="ko-KR"/>
              </w:rPr>
              <w:t>pdcch-BlindDetectionMCG1-UE</w:t>
            </w:r>
            <w:r>
              <w:rPr>
                <w:rFonts w:eastAsia="Times New Roman"/>
              </w:rPr>
              <w:t xml:space="preserve"> to indicate</w:t>
            </w:r>
            <w:r>
              <w:rPr>
                <w:rFonts w:eastAsia="Times New Roman"/>
                <w:lang w:eastAsia="ko-KR"/>
              </w:rPr>
              <w:t xml:space="preserve"> a capability </w:t>
            </w:r>
            <w:r>
              <w:rPr>
                <w:rFonts w:eastAsia="Times New Roman"/>
              </w:rPr>
              <w:t xml:space="preserve">to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Pr>
                <w:rFonts w:eastAsia="Times New Roman"/>
              </w:rPr>
              <w:t xml:space="preserve"> downlink cells for the target MCG and </w:t>
            </w:r>
            <w:r>
              <w:rPr>
                <w:rFonts w:eastAsia="Times New Roman"/>
                <w:bCs/>
                <w:i/>
                <w:iCs/>
                <w:lang w:eastAsia="ko-KR"/>
              </w:rPr>
              <w:t>pdcch-BlindDetectionMCG2-UE</w:t>
            </w:r>
            <w:r>
              <w:rPr>
                <w:rFonts w:eastAsia="Times New Roman"/>
              </w:rPr>
              <w:t xml:space="preserve"> to indicate a capability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Pr>
                <w:rFonts w:eastAsia="Times New Roman"/>
              </w:rPr>
              <w:t xml:space="preserve"> downlink cells for the source MCG</w:t>
            </w:r>
            <w:r>
              <w:rPr>
                <w:rFonts w:eastAsia="Times New Roman"/>
                <w:lang w:eastAsia="ko-KR"/>
              </w:rPr>
              <w:t>.</w:t>
            </w:r>
            <w:r>
              <w:rPr>
                <w:rFonts w:eastAsia="Times New Roman"/>
              </w:rPr>
              <w:t xml:space="preserve"> If the UE is provided search space sets on both the target MCG and the source MCG, the UE does not expect to have in any slot any USS set without allocated PDCCH candidates for monitoring on </w:t>
            </w:r>
            <w:r w:rsidRPr="00950E77">
              <w:rPr>
                <w:rFonts w:eastAsia="Times New Roman"/>
              </w:rPr>
              <w:t>both the target MCG and the source MCG</w:t>
            </w:r>
            <w:r w:rsidR="00950E77" w:rsidRPr="00950E77">
              <w:rPr>
                <w:rFonts w:eastAsia="Times New Roman"/>
                <w:color w:val="C00000"/>
                <w:u w:val="single"/>
              </w:rPr>
              <w:t xml:space="preserve"> simultaneously</w:t>
            </w:r>
            <w:r>
              <w:rPr>
                <w:rFonts w:eastAsia="Times New Roman"/>
              </w:rPr>
              <w:t>.</w:t>
            </w:r>
          </w:p>
        </w:tc>
      </w:tr>
    </w:tbl>
    <w:p w14:paraId="45D72628" w14:textId="500F896B" w:rsidR="00177116" w:rsidRDefault="00177116" w:rsidP="00177116">
      <w:pPr>
        <w:pStyle w:val="BodyText"/>
        <w:spacing w:after="0"/>
        <w:rPr>
          <w:rFonts w:ascii="Times New Roman" w:hAnsi="Times New Roman"/>
          <w:sz w:val="22"/>
          <w:szCs w:val="22"/>
          <w:lang w:eastAsia="zh-CN"/>
        </w:rPr>
      </w:pPr>
    </w:p>
    <w:p w14:paraId="7F17A48F" w14:textId="77777777" w:rsidR="00F97F75" w:rsidRDefault="00F97F75" w:rsidP="00177116">
      <w:pPr>
        <w:pStyle w:val="BodyText"/>
        <w:spacing w:after="0"/>
        <w:rPr>
          <w:rFonts w:ascii="Times New Roman" w:hAnsi="Times New Roman"/>
          <w:sz w:val="22"/>
          <w:szCs w:val="22"/>
          <w:lang w:eastAsia="zh-CN"/>
        </w:rPr>
      </w:pPr>
    </w:p>
    <w:p w14:paraId="62575BD8" w14:textId="6B08EA40" w:rsidR="00F97F75" w:rsidRDefault="00F97F75" w:rsidP="00F97F75">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r>
        <w:rPr>
          <w:rFonts w:ascii="Times New Roman" w:hAnsi="Times New Roman"/>
          <w:b/>
          <w:bCs/>
          <w:sz w:val="22"/>
          <w:szCs w:val="22"/>
          <w:u w:val="single"/>
          <w:lang w:eastAsia="zh-CN"/>
        </w:rPr>
        <w:t xml:space="preserve"> after May 27, 11pm PDT (May 28, 6am UTC)</w:t>
      </w:r>
      <w:r>
        <w:rPr>
          <w:rFonts w:ascii="Times New Roman" w:hAnsi="Times New Roman"/>
          <w:b/>
          <w:bCs/>
          <w:sz w:val="22"/>
          <w:szCs w:val="22"/>
          <w:u w:val="single"/>
          <w:lang w:eastAsia="zh-CN"/>
        </w:rPr>
        <w:t>:</w:t>
      </w:r>
    </w:p>
    <w:p w14:paraId="1618B295" w14:textId="4C87BEB7" w:rsidR="00485F82" w:rsidRDefault="00485F82">
      <w:pPr>
        <w:pStyle w:val="BodyText"/>
        <w:spacing w:after="0"/>
        <w:rPr>
          <w:rFonts w:ascii="Times New Roman" w:hAnsi="Times New Roman"/>
          <w:sz w:val="22"/>
          <w:szCs w:val="22"/>
          <w:lang w:eastAsia="zh-CN"/>
        </w:rPr>
      </w:pPr>
    </w:p>
    <w:p w14:paraId="4EED7C09" w14:textId="7D93AC44" w:rsidR="00BA2FF7" w:rsidRDefault="00BA2FF7" w:rsidP="00F97F75">
      <w:pPr>
        <w:pStyle w:val="BodyText"/>
        <w:spacing w:after="0"/>
        <w:rPr>
          <w:rFonts w:ascii="Times New Roman" w:hAnsi="Times New Roman"/>
          <w:sz w:val="22"/>
          <w:szCs w:val="22"/>
          <w:lang w:eastAsia="zh-CN"/>
        </w:rPr>
      </w:pPr>
      <w:bookmarkStart w:id="1" w:name="_GoBack"/>
      <w:r>
        <w:rPr>
          <w:rFonts w:ascii="Times New Roman" w:hAnsi="Times New Roman"/>
          <w:sz w:val="22"/>
          <w:szCs w:val="22"/>
          <w:lang w:eastAsia="zh-CN"/>
        </w:rPr>
        <w:t xml:space="preserve">Given that there seems to be wide support for TP#2 and </w:t>
      </w:r>
      <w:r w:rsidR="00046034">
        <w:rPr>
          <w:rFonts w:ascii="Times New Roman" w:hAnsi="Times New Roman"/>
          <w:sz w:val="22"/>
          <w:szCs w:val="22"/>
          <w:lang w:eastAsia="zh-CN"/>
        </w:rPr>
        <w:t>some support for TP#3 (or TP#4), c</w:t>
      </w:r>
      <w:r w:rsidR="00F97F75">
        <w:rPr>
          <w:rFonts w:ascii="Times New Roman" w:hAnsi="Times New Roman"/>
          <w:sz w:val="22"/>
          <w:szCs w:val="22"/>
          <w:lang w:eastAsia="zh-CN"/>
        </w:rPr>
        <w:t xml:space="preserve">ompanies are encouraged to provide comments </w:t>
      </w:r>
      <w:r>
        <w:rPr>
          <w:rFonts w:ascii="Times New Roman" w:hAnsi="Times New Roman"/>
          <w:sz w:val="22"/>
          <w:szCs w:val="22"/>
          <w:lang w:eastAsia="zh-CN"/>
        </w:rPr>
        <w:t xml:space="preserve">regarding </w:t>
      </w:r>
      <w:r w:rsidR="00B953FC">
        <w:rPr>
          <w:rFonts w:ascii="Times New Roman" w:hAnsi="Times New Roman"/>
          <w:sz w:val="22"/>
          <w:szCs w:val="22"/>
          <w:lang w:eastAsia="zh-CN"/>
        </w:rPr>
        <w:t>any concerns on the moderator suggestion for agreement above</w:t>
      </w:r>
      <w:r>
        <w:rPr>
          <w:rFonts w:ascii="Times New Roman" w:hAnsi="Times New Roman"/>
          <w:sz w:val="22"/>
          <w:szCs w:val="22"/>
          <w:lang w:eastAsia="zh-CN"/>
        </w:rPr>
        <w:t xml:space="preserve">. </w:t>
      </w:r>
      <w:r w:rsidR="006F0E41">
        <w:rPr>
          <w:rFonts w:ascii="Times New Roman" w:hAnsi="Times New Roman"/>
          <w:sz w:val="22"/>
          <w:szCs w:val="22"/>
          <w:lang w:eastAsia="zh-CN"/>
        </w:rPr>
        <w:t>If no concerns are raised for the above moderator suggestion for agreement, we may ask Chairman to approve TP#2 and TP #4.</w:t>
      </w:r>
    </w:p>
    <w:bookmarkEnd w:id="1"/>
    <w:p w14:paraId="312C3C3A" w14:textId="77777777" w:rsidR="00F97F75" w:rsidRDefault="00F97F75" w:rsidP="00F97F75">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F97F75" w14:paraId="151B365E" w14:textId="77777777" w:rsidTr="00494623">
        <w:trPr>
          <w:trHeight w:val="73"/>
        </w:trPr>
        <w:tc>
          <w:tcPr>
            <w:tcW w:w="1871" w:type="dxa"/>
            <w:shd w:val="clear" w:color="auto" w:fill="C5E0B3" w:themeFill="accent6" w:themeFillTint="66"/>
          </w:tcPr>
          <w:p w14:paraId="090F5B55" w14:textId="77777777" w:rsidR="00F97F75" w:rsidRDefault="00F97F75"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2D2F92B0" w14:textId="77777777" w:rsidR="00F97F75" w:rsidRDefault="00F97F75"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F97F75" w14:paraId="6F51F230" w14:textId="77777777" w:rsidTr="00494623">
        <w:trPr>
          <w:trHeight w:val="24"/>
        </w:trPr>
        <w:tc>
          <w:tcPr>
            <w:tcW w:w="1871" w:type="dxa"/>
          </w:tcPr>
          <w:p w14:paraId="5001721D" w14:textId="69817258" w:rsidR="00F97F75" w:rsidRDefault="00F97F75" w:rsidP="00494623">
            <w:pPr>
              <w:pStyle w:val="BodyText"/>
              <w:spacing w:before="0" w:after="0" w:line="240" w:lineRule="auto"/>
              <w:rPr>
                <w:rFonts w:ascii="Times New Roman" w:hAnsi="Times New Roman"/>
                <w:sz w:val="22"/>
                <w:szCs w:val="22"/>
                <w:lang w:eastAsia="zh-CN"/>
              </w:rPr>
            </w:pPr>
          </w:p>
        </w:tc>
        <w:tc>
          <w:tcPr>
            <w:tcW w:w="8021" w:type="dxa"/>
          </w:tcPr>
          <w:p w14:paraId="6283A4B0" w14:textId="75D0E22B" w:rsidR="00F97F75" w:rsidRDefault="00F97F75" w:rsidP="00494623">
            <w:pPr>
              <w:pStyle w:val="BodyText"/>
              <w:spacing w:before="0" w:after="0" w:line="240" w:lineRule="auto"/>
              <w:jc w:val="left"/>
              <w:rPr>
                <w:rFonts w:ascii="Times New Roman" w:hAnsi="Times New Roman"/>
                <w:sz w:val="22"/>
                <w:szCs w:val="22"/>
                <w:lang w:eastAsia="zh-CN"/>
              </w:rPr>
            </w:pPr>
          </w:p>
        </w:tc>
      </w:tr>
    </w:tbl>
    <w:p w14:paraId="0EAC625A" w14:textId="155898B2" w:rsidR="00485F82" w:rsidRDefault="00485F82">
      <w:pPr>
        <w:pStyle w:val="BodyText"/>
        <w:spacing w:after="0"/>
        <w:rPr>
          <w:rFonts w:ascii="Times New Roman" w:hAnsi="Times New Roman"/>
          <w:sz w:val="22"/>
          <w:szCs w:val="22"/>
          <w:lang w:eastAsia="zh-CN"/>
        </w:rPr>
      </w:pPr>
    </w:p>
    <w:p w14:paraId="02E69DC3" w14:textId="77777777" w:rsidR="00F81FFE" w:rsidRDefault="00F81FFE">
      <w:pPr>
        <w:pStyle w:val="BodyText"/>
        <w:spacing w:after="0"/>
        <w:rPr>
          <w:rFonts w:ascii="Times New Roman" w:hAnsi="Times New Roman"/>
          <w:sz w:val="22"/>
          <w:szCs w:val="22"/>
          <w:lang w:eastAsia="zh-CN"/>
        </w:rPr>
      </w:pPr>
    </w:p>
    <w:p w14:paraId="6784759C" w14:textId="77777777" w:rsidR="00D7698D" w:rsidRDefault="00C3232D">
      <w:pPr>
        <w:pStyle w:val="Heading1"/>
        <w:numPr>
          <w:ilvl w:val="0"/>
          <w:numId w:val="5"/>
        </w:numPr>
        <w:ind w:left="360"/>
        <w:rPr>
          <w:rFonts w:cs="Arial"/>
          <w:sz w:val="32"/>
          <w:szCs w:val="32"/>
          <w:lang w:val="en-US"/>
        </w:rPr>
      </w:pPr>
      <w:r>
        <w:rPr>
          <w:rFonts w:cs="Arial"/>
          <w:sz w:val="32"/>
          <w:szCs w:val="32"/>
        </w:rPr>
        <w:t>Conclusion of the Email Discussion [101-e-NR-Mob-Enh-03]</w:t>
      </w:r>
    </w:p>
    <w:p w14:paraId="6784759D" w14:textId="77777777" w:rsidR="00D7698D" w:rsidRDefault="00C3232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784759E" w14:textId="77777777" w:rsidR="00D7698D" w:rsidRDefault="00D7698D">
      <w:pPr>
        <w:pStyle w:val="BodyText"/>
        <w:spacing w:after="0"/>
        <w:rPr>
          <w:rFonts w:ascii="Times New Roman" w:hAnsi="Times New Roman"/>
          <w:sz w:val="22"/>
          <w:szCs w:val="22"/>
          <w:lang w:eastAsia="zh-CN"/>
        </w:rPr>
      </w:pPr>
    </w:p>
    <w:p w14:paraId="6784759F" w14:textId="77777777" w:rsidR="00D7698D" w:rsidRDefault="00C3232D">
      <w:pPr>
        <w:pStyle w:val="BodyText"/>
        <w:numPr>
          <w:ilvl w:val="0"/>
          <w:numId w:val="9"/>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678475A0" w14:textId="77777777" w:rsidR="00D7698D" w:rsidRDefault="00D7698D">
      <w:pPr>
        <w:pStyle w:val="BodyText"/>
        <w:spacing w:after="0"/>
        <w:rPr>
          <w:rFonts w:ascii="Times New Roman" w:hAnsi="Times New Roman"/>
          <w:sz w:val="22"/>
          <w:szCs w:val="22"/>
          <w:lang w:eastAsia="zh-CN"/>
        </w:rPr>
      </w:pPr>
    </w:p>
    <w:p w14:paraId="678475A1" w14:textId="77777777" w:rsidR="00D7698D" w:rsidRDefault="00D7698D">
      <w:pPr>
        <w:pStyle w:val="BodyText"/>
        <w:spacing w:after="0"/>
        <w:rPr>
          <w:rFonts w:ascii="Times New Roman" w:hAnsi="Times New Roman"/>
          <w:sz w:val="22"/>
          <w:szCs w:val="22"/>
          <w:lang w:eastAsia="zh-CN"/>
        </w:rPr>
      </w:pPr>
    </w:p>
    <w:p w14:paraId="678475A2" w14:textId="77777777" w:rsidR="00D7698D" w:rsidRDefault="00C3232D">
      <w:pPr>
        <w:pStyle w:val="Heading1"/>
        <w:textAlignment w:val="auto"/>
        <w:rPr>
          <w:rFonts w:cs="Arial"/>
          <w:sz w:val="32"/>
          <w:szCs w:val="32"/>
          <w:lang w:val="en-US"/>
        </w:rPr>
      </w:pPr>
      <w:r>
        <w:rPr>
          <w:rFonts w:cs="Arial"/>
          <w:sz w:val="32"/>
          <w:szCs w:val="32"/>
          <w:lang w:val="en-US"/>
        </w:rPr>
        <w:t>Reference</w:t>
      </w:r>
    </w:p>
    <w:p w14:paraId="678475A3"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78475A4"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78475A5"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678475A6"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78475A7"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78475A8"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678475A9"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78475AA"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678475AB"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678475AC"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678475AD" w14:textId="77777777" w:rsidR="00D7698D" w:rsidRDefault="00C3232D">
      <w:pPr>
        <w:pStyle w:val="ListParagraph"/>
        <w:numPr>
          <w:ilvl w:val="0"/>
          <w:numId w:val="10"/>
        </w:numPr>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678475AE" w14:textId="77777777" w:rsidR="00D7698D" w:rsidRDefault="00D7698D">
      <w:pPr>
        <w:jc w:val="right"/>
        <w:rPr>
          <w:lang w:eastAsia="zh-CN"/>
        </w:rPr>
      </w:pPr>
    </w:p>
    <w:p w14:paraId="678475AF" w14:textId="77777777" w:rsidR="00D7698D" w:rsidRDefault="00D7698D">
      <w:pPr>
        <w:pStyle w:val="ListParagraph"/>
        <w:ind w:left="540"/>
        <w:rPr>
          <w:rFonts w:ascii="Times New Roman" w:hAnsi="Times New Roman"/>
          <w:lang w:eastAsia="zh-CN"/>
        </w:rPr>
      </w:pPr>
    </w:p>
    <w:p w14:paraId="678475B0" w14:textId="77777777" w:rsidR="00D7698D" w:rsidRDefault="00D7698D">
      <w:pPr>
        <w:jc w:val="right"/>
        <w:rPr>
          <w:lang w:eastAsia="zh-CN"/>
        </w:rPr>
      </w:pPr>
    </w:p>
    <w:sectPr w:rsidR="00D7698D">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3B643" w14:textId="77777777" w:rsidR="00E2225A" w:rsidRDefault="00E2225A">
      <w:pPr>
        <w:spacing w:after="0" w:line="240" w:lineRule="auto"/>
      </w:pPr>
      <w:r>
        <w:separator/>
      </w:r>
    </w:p>
  </w:endnote>
  <w:endnote w:type="continuationSeparator" w:id="0">
    <w:p w14:paraId="272CD5D5" w14:textId="77777777" w:rsidR="00E2225A" w:rsidRDefault="00E2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75B6" w14:textId="77777777" w:rsidR="00D7698D" w:rsidRDefault="00C323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475B7" w14:textId="77777777" w:rsidR="00D7698D" w:rsidRDefault="00D76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75B8" w14:textId="77777777" w:rsidR="00D7698D" w:rsidRDefault="00C3232D">
    <w:pPr>
      <w:pStyle w:val="Footer"/>
      <w:ind w:right="360"/>
    </w:pPr>
    <w:r>
      <w:rPr>
        <w:rStyle w:val="PageNumber"/>
      </w:rPr>
      <w:fldChar w:fldCharType="begin"/>
    </w:r>
    <w:r>
      <w:rPr>
        <w:rStyle w:val="PageNumber"/>
      </w:rPr>
      <w:instrText xml:space="preserve"> PAGE </w:instrText>
    </w:r>
    <w:r>
      <w:rPr>
        <w:rStyle w:val="PageNumber"/>
      </w:rPr>
      <w:fldChar w:fldCharType="separate"/>
    </w:r>
    <w:r w:rsidR="00C66048">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6048">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51ABF" w14:textId="77777777" w:rsidR="00E2225A" w:rsidRDefault="00E2225A">
      <w:pPr>
        <w:spacing w:after="0" w:line="240" w:lineRule="auto"/>
      </w:pPr>
      <w:r>
        <w:separator/>
      </w:r>
    </w:p>
  </w:footnote>
  <w:footnote w:type="continuationSeparator" w:id="0">
    <w:p w14:paraId="2AA2BD5D" w14:textId="77777777" w:rsidR="00E2225A" w:rsidRDefault="00E2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475B5" w14:textId="77777777" w:rsidR="00D7698D" w:rsidRDefault="00C323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E640F0"/>
    <w:multiLevelType w:val="multilevel"/>
    <w:tmpl w:val="58E640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1"/>
  </w:num>
  <w:num w:numId="8">
    <w:abstractNumId w:val="5"/>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0C"/>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034"/>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8AB"/>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BE"/>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41C"/>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BC0"/>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1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C17"/>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A42"/>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6E5B"/>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E55"/>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198F"/>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499"/>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4E13"/>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0"/>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4E6A"/>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83A"/>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82"/>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06B"/>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034"/>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73C"/>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41"/>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0CFE"/>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D36"/>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60B"/>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0C20"/>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5DF2"/>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C7F"/>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0EF"/>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C0D"/>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7D2"/>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9A3"/>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7A2"/>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0E77"/>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66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75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87D"/>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CD0"/>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7E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69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C03"/>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6FF1"/>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3FC"/>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2FF7"/>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5E37"/>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8A"/>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32D"/>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BBD"/>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3C36"/>
    <w:rsid w:val="00C64376"/>
    <w:rsid w:val="00C64626"/>
    <w:rsid w:val="00C64849"/>
    <w:rsid w:val="00C64960"/>
    <w:rsid w:val="00C64DA1"/>
    <w:rsid w:val="00C64EDC"/>
    <w:rsid w:val="00C65A6F"/>
    <w:rsid w:val="00C65D24"/>
    <w:rsid w:val="00C65F58"/>
    <w:rsid w:val="00C6604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C04"/>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98D"/>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5B"/>
    <w:rsid w:val="00D865D6"/>
    <w:rsid w:val="00D86B37"/>
    <w:rsid w:val="00D86ED1"/>
    <w:rsid w:val="00D87154"/>
    <w:rsid w:val="00D8778A"/>
    <w:rsid w:val="00D87CD9"/>
    <w:rsid w:val="00D90542"/>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595"/>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25A"/>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83E"/>
    <w:rsid w:val="00EC2E21"/>
    <w:rsid w:val="00EC3162"/>
    <w:rsid w:val="00EC3252"/>
    <w:rsid w:val="00EC331F"/>
    <w:rsid w:val="00EC36DD"/>
    <w:rsid w:val="00EC491D"/>
    <w:rsid w:val="00EC4D77"/>
    <w:rsid w:val="00EC4D7B"/>
    <w:rsid w:val="00EC4E2E"/>
    <w:rsid w:val="00EC53B5"/>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442"/>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F17"/>
    <w:rsid w:val="00F3236F"/>
    <w:rsid w:val="00F32374"/>
    <w:rsid w:val="00F32F0E"/>
    <w:rsid w:val="00F32F3E"/>
    <w:rsid w:val="00F3383E"/>
    <w:rsid w:val="00F3388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1FF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97F75"/>
    <w:rsid w:val="00FA03DE"/>
    <w:rsid w:val="00FA04BE"/>
    <w:rsid w:val="00FA0509"/>
    <w:rsid w:val="00FA0E7C"/>
    <w:rsid w:val="00FA0F9C"/>
    <w:rsid w:val="00FA1CBF"/>
    <w:rsid w:val="00FA1D8F"/>
    <w:rsid w:val="00FA2002"/>
    <w:rsid w:val="00FA2526"/>
    <w:rsid w:val="00FA2AB0"/>
    <w:rsid w:val="00FA2E38"/>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 w:val="78F036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47543"/>
  <w15:docId w15:val="{32190C32-6DC4-4DDA-9D52-0B9829A7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semiHidden="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E35D7" w:rsidRDefault="000F270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E35D7" w:rsidRDefault="000F270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E35D7" w:rsidRDefault="000F270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E35D7" w:rsidRDefault="000F270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35D7"/>
    <w:rsid w:val="000E4A7C"/>
    <w:rsid w:val="000E5B23"/>
    <w:rsid w:val="000F2704"/>
    <w:rsid w:val="00135A55"/>
    <w:rsid w:val="0013642A"/>
    <w:rsid w:val="001530CB"/>
    <w:rsid w:val="00161CEF"/>
    <w:rsid w:val="001824B7"/>
    <w:rsid w:val="0018681A"/>
    <w:rsid w:val="001C175A"/>
    <w:rsid w:val="001D3889"/>
    <w:rsid w:val="001D5C63"/>
    <w:rsid w:val="001E1B2F"/>
    <w:rsid w:val="002256C9"/>
    <w:rsid w:val="002904B9"/>
    <w:rsid w:val="002A43B7"/>
    <w:rsid w:val="002A7F29"/>
    <w:rsid w:val="002B05C2"/>
    <w:rsid w:val="002C1D0B"/>
    <w:rsid w:val="002C4BC4"/>
    <w:rsid w:val="002D6CA7"/>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53AAE"/>
    <w:rsid w:val="00760785"/>
    <w:rsid w:val="0076689E"/>
    <w:rsid w:val="007D1FCD"/>
    <w:rsid w:val="008447D3"/>
    <w:rsid w:val="00896296"/>
    <w:rsid w:val="008B1F9D"/>
    <w:rsid w:val="008E1183"/>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206A1"/>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3747D"/>
    <w:rsid w:val="00E47A16"/>
    <w:rsid w:val="00E565C1"/>
    <w:rsid w:val="00EA1780"/>
    <w:rsid w:val="00EF5F5C"/>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753AAE"/>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rPr>
      <w:sz w:val="22"/>
      <w:szCs w:val="22"/>
      <w:lang w:eastAsia="en-US"/>
    </w:rPr>
  </w:style>
  <w:style w:type="paragraph" w:customStyle="1" w:styleId="6A05705AEF364ECC87DC0AC66B43417B">
    <w:name w:val="6A05705AEF364ECC87DC0AC66B43417B"/>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rPr>
      <w:sz w:val="22"/>
      <w:szCs w:val="22"/>
      <w:lang w:eastAsia="en-US"/>
    </w:rPr>
  </w:style>
  <w:style w:type="paragraph" w:customStyle="1" w:styleId="60D0A36BE60F4EADBF8F49A987315D83">
    <w:name w:val="60D0A36BE60F4EADBF8F49A987315D83"/>
    <w:rPr>
      <w:sz w:val="22"/>
      <w:szCs w:val="22"/>
      <w:lang w:eastAsia="en-US"/>
    </w:rPr>
  </w:style>
  <w:style w:type="paragraph" w:customStyle="1" w:styleId="FF7270827376434FBB7508ABF504C396">
    <w:name w:val="FF7270827376434FBB7508ABF504C396"/>
    <w:rPr>
      <w:sz w:val="22"/>
      <w:szCs w:val="22"/>
      <w:lang w:eastAsia="en-US"/>
    </w:rPr>
  </w:style>
  <w:style w:type="paragraph" w:customStyle="1" w:styleId="750D8954ECBC4B87B1E9A0539BDA8493">
    <w:name w:val="750D8954ECBC4B87B1E9A0539BDA8493"/>
    <w:rPr>
      <w:sz w:val="22"/>
      <w:szCs w:val="22"/>
      <w:lang w:eastAsia="en-US"/>
    </w:rPr>
  </w:style>
  <w:style w:type="paragraph" w:customStyle="1" w:styleId="09BD52AAA1D148738EFFD8298E03BA0E">
    <w:name w:val="09BD52AAA1D148738EFFD8298E03BA0E"/>
    <w:rsid w:val="00753AA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E9735B1D-13E2-4343-A2F0-C526A6F46991}">
  <ds:schemaRefs>
    <ds:schemaRef ds:uri="http://schemas.openxmlformats.org/officeDocument/2006/bibliography"/>
  </ds:schemaRefs>
</ds:datastoreItem>
</file>

<file path=customXml/itemProps7.xml><?xml version="1.0" encoding="utf-8"?>
<ds:datastoreItem xmlns:ds="http://schemas.openxmlformats.org/officeDocument/2006/customXml" ds:itemID="{4D45A9D8-7518-4765-B44A-6C78D9CF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TotalTime>
  <Pages>5</Pages>
  <Words>1376</Words>
  <Characters>7353</Characters>
  <Application>Microsoft Office Word</Application>
  <DocSecurity>0</DocSecurity>
  <Lines>171</Lines>
  <Paragraphs>83</Paragraphs>
  <ScaleCrop>false</ScaleCrop>
  <Company>Intel</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[101-e-NR-Mob-Enh-03]</dc:title>
  <dc:subject>R1-2004749</dc:subject>
  <dc:creator>Daewon Lee</dc:creator>
  <cp:keywords>CTPClassification=CTP_PUBLIC:VisualMarkings=, CTPClassification=CTP_NT</cp:keywords>
  <dc:description>e-Meeting, May 25 – June 05, 2020</dc:description>
  <cp:lastModifiedBy>Lee, Daewon</cp:lastModifiedBy>
  <cp:revision>22</cp:revision>
  <cp:lastPrinted>2011-11-09T07:49:00Z</cp:lastPrinted>
  <dcterms:created xsi:type="dcterms:W3CDTF">2020-05-27T16:25:00Z</dcterms:created>
  <dcterms:modified xsi:type="dcterms:W3CDTF">2020-05-28T05:51:00Z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2020-05-28 05:51:19Z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