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7BD23" w14:textId="5B202CAE" w:rsidR="008B7591" w:rsidRDefault="007F509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9027A2">
            <w:rPr>
              <w:rFonts w:ascii="Arial" w:hAnsi="Arial" w:cs="Arial"/>
              <w:b/>
              <w:sz w:val="24"/>
            </w:rPr>
            <w:t>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91D52" w:rsidRPr="00D91D52">
            <w:rPr>
              <w:rFonts w:ascii="Arial" w:hAnsi="Arial" w:cs="Arial"/>
              <w:b/>
              <w:sz w:val="24"/>
            </w:rPr>
            <w:t>R1-200</w:t>
          </w:r>
          <w:r w:rsidR="00F01442">
            <w:rPr>
              <w:rFonts w:ascii="Arial" w:hAnsi="Arial" w:cs="Arial"/>
              <w:b/>
              <w:sz w:val="24"/>
            </w:rPr>
            <w:t>4749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66F9C8B" w14:textId="42157C58" w:rsidR="008B7591" w:rsidRDefault="007F5094">
          <w:pPr>
            <w:spacing w:after="0"/>
            <w:ind w:left="1988" w:hanging="1988"/>
            <w:jc w:val="both"/>
            <w:rPr>
              <w:rFonts w:ascii="Arial" w:hAnsi="Arial" w:cs="Arial"/>
              <w:b/>
              <w:sz w:val="24"/>
            </w:rPr>
          </w:pPr>
          <w:r>
            <w:rPr>
              <w:rFonts w:ascii="Arial" w:hAnsi="Arial" w:cs="Arial"/>
              <w:b/>
              <w:sz w:val="24"/>
            </w:rPr>
            <w:t xml:space="preserve">e-Meeting, </w:t>
          </w:r>
          <w:r w:rsidR="009027A2">
            <w:rPr>
              <w:rFonts w:ascii="Arial" w:hAnsi="Arial" w:cs="Arial"/>
              <w:b/>
              <w:sz w:val="24"/>
            </w:rPr>
            <w:t>May 25</w:t>
          </w:r>
          <w:r>
            <w:rPr>
              <w:rFonts w:ascii="Arial" w:hAnsi="Arial" w:cs="Arial"/>
              <w:b/>
              <w:sz w:val="24"/>
            </w:rPr>
            <w:t xml:space="preserve"> – </w:t>
          </w:r>
          <w:r w:rsidR="009027A2">
            <w:rPr>
              <w:rFonts w:ascii="Arial" w:hAnsi="Arial" w:cs="Arial"/>
              <w:b/>
              <w:sz w:val="24"/>
            </w:rPr>
            <w:t>June 05</w:t>
          </w:r>
          <w:r>
            <w:rPr>
              <w:rFonts w:ascii="Arial" w:hAnsi="Arial" w:cs="Arial"/>
              <w:b/>
              <w:sz w:val="24"/>
            </w:rPr>
            <w:t>, 2020</w:t>
          </w:r>
        </w:p>
      </w:sdtContent>
    </w:sdt>
    <w:p w14:paraId="02D53626" w14:textId="77777777" w:rsidR="008B7591" w:rsidRDefault="008B7591">
      <w:pPr>
        <w:spacing w:after="0"/>
        <w:ind w:left="1988" w:hanging="1988"/>
        <w:jc w:val="both"/>
        <w:rPr>
          <w:rFonts w:ascii="Arial" w:hAnsi="Arial" w:cs="Arial"/>
          <w:b/>
          <w:sz w:val="24"/>
        </w:rPr>
      </w:pPr>
    </w:p>
    <w:p w14:paraId="488B0561" w14:textId="77777777"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5A2F36" w14:textId="46FAA123"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B0C20" w:rsidRPr="007B0C20">
            <w:rPr>
              <w:rFonts w:ascii="Arial" w:hAnsi="Arial" w:cs="Arial"/>
              <w:b/>
              <w:sz w:val="24"/>
            </w:rPr>
            <w:t xml:space="preserve">Summary of email discussions for </w:t>
          </w:r>
          <w:r w:rsidR="007B0C20">
            <w:rPr>
              <w:rFonts w:ascii="Arial" w:hAnsi="Arial" w:cs="Arial"/>
              <w:b/>
              <w:sz w:val="24"/>
            </w:rPr>
            <w:t>[</w:t>
          </w:r>
          <w:r w:rsidR="007B0C20" w:rsidRPr="007B0C20">
            <w:rPr>
              <w:rFonts w:ascii="Arial" w:hAnsi="Arial" w:cs="Arial"/>
              <w:b/>
              <w:sz w:val="24"/>
            </w:rPr>
            <w:t>10</w:t>
          </w:r>
          <w:r w:rsidR="009027A2">
            <w:rPr>
              <w:rFonts w:ascii="Arial" w:hAnsi="Arial" w:cs="Arial"/>
              <w:b/>
              <w:sz w:val="24"/>
            </w:rPr>
            <w:t>1</w:t>
          </w:r>
          <w:r w:rsidR="007B0C20" w:rsidRPr="007B0C20">
            <w:rPr>
              <w:rFonts w:ascii="Arial" w:hAnsi="Arial" w:cs="Arial"/>
              <w:b/>
              <w:sz w:val="24"/>
            </w:rPr>
            <w:t>-e-NR-Mob-Enh-03</w:t>
          </w:r>
          <w:r w:rsidR="007B0C20">
            <w:rPr>
              <w:rFonts w:ascii="Arial" w:hAnsi="Arial" w:cs="Arial"/>
              <w:b/>
              <w:sz w:val="24"/>
            </w:rPr>
            <w:t>]</w:t>
          </w:r>
        </w:sdtContent>
      </w:sdt>
    </w:p>
    <w:p w14:paraId="56D1F458" w14:textId="77777777"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F97C9FB" w14:textId="7D65629C"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1C4580">
        <w:rPr>
          <w:rFonts w:ascii="Arial" w:hAnsi="Arial" w:cs="Arial"/>
          <w:b/>
          <w:sz w:val="24"/>
        </w:rPr>
        <w:t>Discussion</w:t>
      </w:r>
    </w:p>
    <w:p w14:paraId="0D2C7F3F" w14:textId="77777777" w:rsidR="008B7591" w:rsidRDefault="008B7591">
      <w:pPr>
        <w:spacing w:after="0"/>
        <w:ind w:left="2388" w:hangingChars="995" w:hanging="2388"/>
        <w:jc w:val="both"/>
        <w:rPr>
          <w:sz w:val="24"/>
        </w:rPr>
      </w:pPr>
    </w:p>
    <w:p w14:paraId="7F1A5E49" w14:textId="77777777"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14:paraId="044E87FB" w14:textId="77777777" w:rsidR="00B26FF1" w:rsidRDefault="00B26FF1" w:rsidP="00B26FF1">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53C35451"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078680BE"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4E05C048" w14:textId="77777777" w:rsidR="00B26FF1" w:rsidRDefault="00B26FF1" w:rsidP="00B26FF1">
      <w:pPr>
        <w:pStyle w:val="ListParagraph"/>
        <w:numPr>
          <w:ilvl w:val="0"/>
          <w:numId w:val="13"/>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D8A4B8B" w14:textId="4B29E6DD" w:rsidR="008B7591" w:rsidRDefault="008B7591">
      <w:pPr>
        <w:ind w:firstLine="288"/>
        <w:rPr>
          <w:sz w:val="22"/>
          <w:szCs w:val="22"/>
          <w:lang w:eastAsia="zh-CN"/>
        </w:rPr>
      </w:pPr>
    </w:p>
    <w:p w14:paraId="6B1C2A44" w14:textId="07C4A37F" w:rsidR="001A4C17" w:rsidRDefault="001A4C17" w:rsidP="001A4C17">
      <w:pPr>
        <w:ind w:firstLine="288"/>
        <w:rPr>
          <w:lang w:eastAsia="zh-CN"/>
        </w:rPr>
      </w:pPr>
      <w:r>
        <w:rPr>
          <w:sz w:val="22"/>
          <w:szCs w:val="22"/>
          <w:lang w:eastAsia="zh-CN"/>
        </w:rPr>
        <w:t xml:space="preserve">This contribution summarizes the email discussion for </w:t>
      </w:r>
      <w:r>
        <w:rPr>
          <w:lang w:eastAsia="zh-CN"/>
        </w:rPr>
        <w:t>[10</w:t>
      </w:r>
      <w:r w:rsidR="001F7BEC">
        <w:rPr>
          <w:lang w:eastAsia="zh-CN"/>
        </w:rPr>
        <w:t>1</w:t>
      </w:r>
      <w:r>
        <w:rPr>
          <w:lang w:eastAsia="zh-CN"/>
        </w:rPr>
        <w:t>-e-NR-Mob-Enh-03].</w:t>
      </w:r>
    </w:p>
    <w:p w14:paraId="250D36CF" w14:textId="77777777" w:rsidR="001A4C17" w:rsidRDefault="001A4C17" w:rsidP="001A4C17">
      <w:pPr>
        <w:ind w:firstLine="288"/>
        <w:rPr>
          <w:sz w:val="22"/>
          <w:szCs w:val="22"/>
          <w:lang w:eastAsia="zh-CN"/>
        </w:rPr>
      </w:pPr>
    </w:p>
    <w:p w14:paraId="54ADB596" w14:textId="2BBFA6CE" w:rsidR="008B7591" w:rsidRDefault="007F5094">
      <w:pPr>
        <w:pStyle w:val="Heading1"/>
        <w:numPr>
          <w:ilvl w:val="0"/>
          <w:numId w:val="5"/>
        </w:numPr>
        <w:ind w:left="360"/>
        <w:rPr>
          <w:rFonts w:cs="Arial"/>
          <w:sz w:val="32"/>
          <w:szCs w:val="32"/>
          <w:lang w:val="en-US"/>
        </w:rPr>
      </w:pPr>
      <w:r>
        <w:rPr>
          <w:rFonts w:cs="Arial"/>
          <w:sz w:val="32"/>
          <w:szCs w:val="32"/>
        </w:rPr>
        <w:t>Email Discussion [10</w:t>
      </w:r>
      <w:r w:rsidR="00B26FF1">
        <w:rPr>
          <w:rFonts w:cs="Arial"/>
          <w:sz w:val="32"/>
          <w:szCs w:val="32"/>
        </w:rPr>
        <w:t>1</w:t>
      </w:r>
      <w:r>
        <w:rPr>
          <w:rFonts w:cs="Arial"/>
          <w:sz w:val="32"/>
          <w:szCs w:val="32"/>
        </w:rPr>
        <w:t>-e-NR-Mob-Enh-03]</w:t>
      </w:r>
    </w:p>
    <w:p w14:paraId="271C26F1" w14:textId="43643D14"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w:t>
      </w:r>
      <w:r w:rsidR="005F76EB">
        <w:rPr>
          <w:rFonts w:ascii="Times New Roman" w:hAnsi="Times New Roman"/>
          <w:sz w:val="22"/>
          <w:szCs w:val="22"/>
          <w:lang w:eastAsia="zh-CN"/>
        </w:rPr>
        <w:t>6</w:t>
      </w:r>
      <w:r>
        <w:rPr>
          <w:rFonts w:ascii="Times New Roman" w:hAnsi="Times New Roman"/>
          <w:sz w:val="22"/>
          <w:szCs w:val="22"/>
          <w:lang w:eastAsia="zh-CN"/>
        </w:rPr>
        <w:t xml:space="preserve"> from [11]).</w:t>
      </w:r>
    </w:p>
    <w:p w14:paraId="7E0EB128" w14:textId="77777777" w:rsidR="008B7591" w:rsidRDefault="008B7591">
      <w:pPr>
        <w:pStyle w:val="BodyText"/>
        <w:spacing w:after="0"/>
        <w:rPr>
          <w:rFonts w:ascii="Times New Roman" w:hAnsi="Times New Roman"/>
          <w:sz w:val="22"/>
          <w:szCs w:val="22"/>
          <w:lang w:eastAsia="zh-CN"/>
        </w:rPr>
      </w:pPr>
    </w:p>
    <w:p w14:paraId="14AF41EC" w14:textId="2F79A176"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r w:rsidR="00322140">
        <w:rPr>
          <w:rFonts w:ascii="Times New Roman" w:hAnsi="Times New Roman"/>
          <w:b/>
          <w:bCs/>
          <w:sz w:val="22"/>
          <w:szCs w:val="22"/>
          <w:u w:val="single"/>
          <w:lang w:eastAsia="zh-CN"/>
        </w:rPr>
        <w:t xml:space="preserve"> based on [4][5][6][8]</w:t>
      </w:r>
      <w:r>
        <w:rPr>
          <w:rFonts w:ascii="Times New Roman" w:hAnsi="Times New Roman"/>
          <w:b/>
          <w:bCs/>
          <w:sz w:val="22"/>
          <w:szCs w:val="22"/>
          <w:u w:val="single"/>
          <w:lang w:eastAsia="zh-CN"/>
        </w:rPr>
        <w:t>:</w:t>
      </w:r>
    </w:p>
    <w:p w14:paraId="2280ADEA" w14:textId="77777777" w:rsidR="008B7591" w:rsidRDefault="008B7591">
      <w:pPr>
        <w:pStyle w:val="BodyText"/>
        <w:spacing w:after="0"/>
        <w:rPr>
          <w:rFonts w:ascii="Times New Roman" w:hAnsi="Times New Roman"/>
          <w:sz w:val="22"/>
          <w:szCs w:val="22"/>
          <w:lang w:eastAsia="zh-CN"/>
        </w:rPr>
      </w:pPr>
    </w:p>
    <w:p w14:paraId="25525B82" w14:textId="77777777" w:rsidR="00822C0D" w:rsidRDefault="00822C0D" w:rsidP="00822C0D">
      <w:pPr>
        <w:pStyle w:val="BodyText"/>
        <w:spacing w:after="0"/>
        <w:rPr>
          <w:rFonts w:ascii="Times New Roman" w:hAnsi="Times New Roman"/>
          <w:sz w:val="22"/>
          <w:szCs w:val="22"/>
          <w:lang w:eastAsia="zh-CN"/>
        </w:rPr>
      </w:pPr>
      <w:r>
        <w:rPr>
          <w:rFonts w:ascii="Times New Roman" w:hAnsi="Times New Roman"/>
          <w:sz w:val="22"/>
          <w:szCs w:val="22"/>
          <w:lang w:eastAsia="zh-CN"/>
        </w:rPr>
        <w:t>Contribution in [4] mentioned that the overbooking rules for DAPS-HO is more stringent than what was agreed in RAN1 #99 and suggests changing the specification to limit the overbooking in the target MCG only. Contribution in [6] clarified on the overbooking rules for source and target. In addition, The PDCCH blind detection for MCG1 and MCG2 capability was decided to be removed since RAN2 decided to not support SCell during DAPS HO. Contribution [4] and [5] suggests removing the corresponding text from specification.</w:t>
      </w:r>
    </w:p>
    <w:p w14:paraId="638D47AA" w14:textId="77777777" w:rsidR="00822C0D" w:rsidRDefault="00822C0D" w:rsidP="00822C0D">
      <w:pPr>
        <w:pStyle w:val="BodyText"/>
        <w:spacing w:after="0"/>
        <w:rPr>
          <w:rFonts w:ascii="Times New Roman" w:hAnsi="Times New Roman"/>
          <w:sz w:val="22"/>
          <w:szCs w:val="22"/>
          <w:lang w:eastAsia="zh-CN"/>
        </w:rPr>
      </w:pPr>
    </w:p>
    <w:p w14:paraId="3E0342DD" w14:textId="77777777" w:rsidR="00822C0D" w:rsidRDefault="00822C0D" w:rsidP="00822C0D">
      <w:pPr>
        <w:pStyle w:val="ListParagraph"/>
        <w:rPr>
          <w:rFonts w:ascii="Times New Roman" w:hAnsi="Times New Roman"/>
          <w:bCs/>
          <w:iCs/>
          <w:lang w:eastAsia="zh-CN"/>
        </w:rPr>
      </w:pPr>
    </w:p>
    <w:p w14:paraId="1E28E6AA" w14:textId="7C2748CC"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[4]:</w:t>
      </w:r>
    </w:p>
    <w:p w14:paraId="0A20BC43" w14:textId="037C7C4A" w:rsidR="000F241C" w:rsidRPr="000F241C" w:rsidRDefault="000F241C" w:rsidP="000A18AB">
      <w:pPr>
        <w:pStyle w:val="Heading2"/>
        <w:rPr>
          <w:rFonts w:ascii="Times New Roman" w:hAnsi="Times New Roman"/>
          <w:lang w:eastAsia="zh-CN"/>
        </w:rPr>
      </w:pPr>
      <w:bookmarkStart w:id="0" w:name="_Hlk41261239"/>
      <w:r>
        <w:rPr>
          <w:lang w:eastAsia="zh-CN"/>
        </w:rPr>
        <w:lastRenderedPageBreak/>
        <w:t>TP #1</w:t>
      </w:r>
    </w:p>
    <w:tbl>
      <w:tblPr>
        <w:tblStyle w:val="TableGrid"/>
        <w:tblW w:w="0" w:type="auto"/>
        <w:tblLook w:val="04A0" w:firstRow="1" w:lastRow="0" w:firstColumn="1" w:lastColumn="0" w:noHBand="0" w:noVBand="1"/>
      </w:tblPr>
      <w:tblGrid>
        <w:gridCol w:w="9629"/>
      </w:tblGrid>
      <w:tr w:rsidR="00822C0D" w14:paraId="170C235F" w14:textId="77777777" w:rsidTr="00822C0D">
        <w:tc>
          <w:tcPr>
            <w:tcW w:w="9629" w:type="dxa"/>
            <w:tcBorders>
              <w:top w:val="single" w:sz="4" w:space="0" w:color="auto"/>
              <w:left w:val="single" w:sz="4" w:space="0" w:color="auto"/>
              <w:bottom w:val="single" w:sz="4" w:space="0" w:color="auto"/>
              <w:right w:val="single" w:sz="4" w:space="0" w:color="auto"/>
            </w:tcBorders>
            <w:hideMark/>
          </w:tcPr>
          <w:bookmarkEnd w:id="0"/>
          <w:p w14:paraId="2225BB16" w14:textId="77777777" w:rsidR="00822C0D" w:rsidRDefault="00822C0D">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1C86FEBB" w14:textId="77777777" w:rsidR="00822C0D" w:rsidRDefault="00822C0D">
            <w:pPr>
              <w:spacing w:before="0" w:after="0" w:line="240" w:lineRule="auto"/>
            </w:pPr>
            <w:r>
              <w:rPr>
                <w:i/>
                <w:iCs/>
                <w:color w:val="FF0000"/>
              </w:rPr>
              <w:t>&lt; Unchanged parts are omitted &gt;</w:t>
            </w:r>
          </w:p>
          <w:p w14:paraId="01E70735" w14:textId="77777777" w:rsidR="00822C0D" w:rsidRDefault="00822C0D">
            <w:pPr>
              <w:rPr>
                <w:rFonts w:eastAsia="Times New Roman"/>
              </w:rPr>
            </w:pPr>
            <w:r>
              <w:rPr>
                <w:rFonts w:eastAsia="Times New Roman"/>
                <w:strike/>
                <w:color w:val="C00000"/>
              </w:rPr>
              <w:t xml:space="preserve">The UE can provide </w:t>
            </w:r>
            <w:r>
              <w:rPr>
                <w:rFonts w:eastAsia="Times New Roman"/>
                <w:bCs/>
                <w:i/>
                <w:iCs/>
                <w:strike/>
                <w:color w:val="C00000"/>
                <w:lang w:eastAsia="ko-KR"/>
              </w:rPr>
              <w:t>pdcch-BlindDetectionMCG1-UE</w:t>
            </w:r>
            <w:r>
              <w:rPr>
                <w:rFonts w:eastAsia="Times New Roman"/>
                <w:strike/>
                <w:color w:val="C00000"/>
              </w:rPr>
              <w:t xml:space="preserve"> to indicate</w:t>
            </w:r>
            <w:r>
              <w:rPr>
                <w:rFonts w:eastAsia="Times New Roman"/>
                <w:strike/>
                <w:color w:val="C00000"/>
                <w:lang w:eastAsia="ko-KR"/>
              </w:rPr>
              <w:t xml:space="preserve"> a capability </w:t>
            </w:r>
            <w:r>
              <w:rPr>
                <w:rFonts w:eastAsia="Times New Roman"/>
                <w:strike/>
                <w:color w:val="C00000"/>
              </w:rPr>
              <w:t xml:space="preserve">to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Pr>
                <w:rFonts w:eastAsia="Times New Roman"/>
                <w:strike/>
                <w:color w:val="C00000"/>
              </w:rPr>
              <w:t xml:space="preserve"> downlink cells for the target MCG and </w:t>
            </w:r>
            <w:r>
              <w:rPr>
                <w:rFonts w:eastAsia="Times New Roman"/>
                <w:bCs/>
                <w:i/>
                <w:iCs/>
                <w:strike/>
                <w:color w:val="C00000"/>
                <w:lang w:eastAsia="ko-KR"/>
              </w:rPr>
              <w:t>pdcch-BlindDetectionMCG2-UE</w:t>
            </w:r>
            <w:r>
              <w:rPr>
                <w:rFonts w:eastAsia="Times New Roman"/>
                <w:strike/>
                <w:color w:val="C00000"/>
              </w:rPr>
              <w:t xml:space="preserve"> to indicate a capability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Pr>
                <w:rFonts w:eastAsia="Times New Roman"/>
                <w:strike/>
                <w:color w:val="C00000"/>
              </w:rPr>
              <w:t xml:space="preserve"> downlink cells for the source MCG</w:t>
            </w:r>
            <w:r>
              <w:rPr>
                <w:rFonts w:eastAsia="Times New Roman"/>
                <w:strike/>
                <w:color w:val="C00000"/>
                <w:lang w:eastAsia="ko-KR"/>
              </w:rPr>
              <w:t>.</w:t>
            </w:r>
            <w:r>
              <w:rPr>
                <w:rFonts w:eastAsia="Times New Roman"/>
                <w:color w:val="C00000"/>
              </w:rPr>
              <w:t xml:space="preserve"> </w:t>
            </w:r>
            <w:r>
              <w:rPr>
                <w:rFonts w:eastAsia="Times New Roman"/>
              </w:rPr>
              <w:t xml:space="preserve">If the UE is provided search space sets on both the target MCG and the source MCG, the UE does not expect to have in any slot any USS set without allocated PDCCH candidates for monitoring on </w:t>
            </w:r>
            <w:r>
              <w:rPr>
                <w:rFonts w:eastAsia="Times New Roman"/>
                <w:strike/>
                <w:color w:val="C00000"/>
              </w:rPr>
              <w:t xml:space="preserve">both </w:t>
            </w:r>
            <w:r>
              <w:rPr>
                <w:rFonts w:eastAsia="Times New Roman"/>
              </w:rPr>
              <w:t>the target MCG</w:t>
            </w:r>
            <w:r>
              <w:rPr>
                <w:rFonts w:eastAsia="Times New Roman"/>
                <w:strike/>
                <w:color w:val="C00000"/>
              </w:rPr>
              <w:t xml:space="preserve"> and the source MCG</w:t>
            </w:r>
            <w:r>
              <w:rPr>
                <w:rFonts w:eastAsia="Times New Roman"/>
              </w:rPr>
              <w:t>.</w:t>
            </w:r>
          </w:p>
        </w:tc>
      </w:tr>
    </w:tbl>
    <w:p w14:paraId="47B59FF2" w14:textId="77777777" w:rsidR="00822C0D" w:rsidRDefault="00822C0D" w:rsidP="00822C0D">
      <w:pPr>
        <w:pStyle w:val="BodyText"/>
        <w:spacing w:after="0"/>
        <w:rPr>
          <w:rFonts w:ascii="Times New Roman" w:hAnsi="Times New Roman"/>
          <w:sz w:val="22"/>
          <w:szCs w:val="22"/>
          <w:lang w:eastAsia="zh-CN"/>
        </w:rPr>
      </w:pPr>
    </w:p>
    <w:p w14:paraId="1DC5ECBE" w14:textId="5B0C7F9F"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[5]:</w:t>
      </w:r>
    </w:p>
    <w:p w14:paraId="17C8AD98" w14:textId="0EF14187" w:rsidR="000A18AB" w:rsidRPr="000F241C" w:rsidRDefault="000A18AB" w:rsidP="000A18AB">
      <w:pPr>
        <w:pStyle w:val="Heading2"/>
        <w:rPr>
          <w:rFonts w:ascii="Times New Roman" w:hAnsi="Times New Roman"/>
          <w:lang w:eastAsia="zh-CN"/>
        </w:rPr>
      </w:pPr>
      <w:r>
        <w:rPr>
          <w:lang w:eastAsia="zh-CN"/>
        </w:rPr>
        <w:t>TP #2</w:t>
      </w:r>
    </w:p>
    <w:tbl>
      <w:tblPr>
        <w:tblStyle w:val="TableGrid"/>
        <w:tblW w:w="0" w:type="auto"/>
        <w:tblLook w:val="04A0" w:firstRow="1" w:lastRow="0" w:firstColumn="1" w:lastColumn="0" w:noHBand="0" w:noVBand="1"/>
      </w:tblPr>
      <w:tblGrid>
        <w:gridCol w:w="9629"/>
      </w:tblGrid>
      <w:tr w:rsidR="00822C0D" w14:paraId="41750E4E"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2E21AFEB" w14:textId="77777777" w:rsidR="00822C0D" w:rsidRDefault="00822C0D">
            <w:r>
              <w:t>For intra-frequency DAPS HO operation, the UE expects that an active DL BWP and an active UL BWP on the target cell are within an active DL BWP and an active UL BWP on the source cell, respectively.</w:t>
            </w:r>
          </w:p>
          <w:p w14:paraId="5D6687D0" w14:textId="77777777" w:rsidR="00822C0D" w:rsidRDefault="00822C0D">
            <w:pPr>
              <w:rPr>
                <w:strike/>
                <w:color w:val="FF0000"/>
              </w:rPr>
            </w:pPr>
            <w:r>
              <w:rPr>
                <w:strike/>
                <w:color w:val="FF0000"/>
              </w:rPr>
              <w:t xml:space="preserve">The UE can provide </w:t>
            </w:r>
            <w:r>
              <w:rPr>
                <w:bCs/>
                <w:i/>
                <w:iCs/>
                <w:strike/>
                <w:color w:val="FF0000"/>
                <w:lang w:eastAsia="ko-KR"/>
              </w:rPr>
              <w:t>pdcch-BlindDetectionMCG1-UE</w:t>
            </w:r>
            <w:r>
              <w:rPr>
                <w:strike/>
                <w:color w:val="FF0000"/>
              </w:rPr>
              <w:t xml:space="preserve"> to indicate</w:t>
            </w:r>
            <w:r>
              <w:rPr>
                <w:strike/>
                <w:color w:val="FF0000"/>
                <w:lang w:eastAsia="ko-KR"/>
              </w:rPr>
              <w:t xml:space="preserve"> a capability </w:t>
            </w:r>
            <w:r>
              <w:rPr>
                <w:strike/>
                <w:color w:val="FF0000"/>
              </w:rPr>
              <w:t xml:space="preserve">to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Pr>
                <w:strike/>
                <w:color w:val="FF0000"/>
              </w:rPr>
              <w:t xml:space="preserve"> downlink cells for the target MCG and </w:t>
            </w:r>
            <w:r>
              <w:rPr>
                <w:bCs/>
                <w:i/>
                <w:iCs/>
                <w:strike/>
                <w:color w:val="FF0000"/>
                <w:lang w:eastAsia="ko-KR"/>
              </w:rPr>
              <w:t>pdcch-BlindDetectionMCG2-UE</w:t>
            </w:r>
            <w:r>
              <w:rPr>
                <w:strike/>
                <w:color w:val="FF0000"/>
              </w:rPr>
              <w:t xml:space="preserve"> to indicate a capability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Pr>
                <w:strike/>
                <w:color w:val="FF0000"/>
              </w:rPr>
              <w:t xml:space="preserve"> downlink cells for the source MCG</w:t>
            </w:r>
            <w:r>
              <w:rPr>
                <w:strike/>
                <w:color w:val="FF0000"/>
                <w:lang w:eastAsia="ko-KR"/>
              </w:rPr>
              <w:t>.</w:t>
            </w:r>
            <w:r>
              <w:t xml:space="preserve"> If the UE is provided search space sets on both the target MCG and the source MCG, the UE does not expect to have in any slot any USS set </w:t>
            </w:r>
            <w:r>
              <w:rPr>
                <w:rFonts w:eastAsiaTheme="minorEastAsia"/>
              </w:rPr>
              <w:t xml:space="preserve">without allocated PDCCH candidates </w:t>
            </w:r>
            <w:r>
              <w:t>for monitoring on both the target MCG and the source MCG.</w:t>
            </w:r>
          </w:p>
        </w:tc>
      </w:tr>
    </w:tbl>
    <w:p w14:paraId="42B294B6" w14:textId="77777777" w:rsidR="00822C0D" w:rsidRDefault="00822C0D" w:rsidP="00822C0D">
      <w:pPr>
        <w:pStyle w:val="BodyText"/>
        <w:spacing w:after="0"/>
        <w:rPr>
          <w:rFonts w:ascii="Times New Roman" w:hAnsi="Times New Roman"/>
          <w:sz w:val="22"/>
          <w:szCs w:val="22"/>
          <w:lang w:eastAsia="zh-CN"/>
        </w:rPr>
      </w:pPr>
    </w:p>
    <w:p w14:paraId="57FFE3CE"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[6]</w:t>
      </w:r>
    </w:p>
    <w:p w14:paraId="0ED33FF0" w14:textId="77777777"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Confirm that the specification related to PDCCH overbooking during DAPS HO implies that overbooking is allowed in source or target.</w:t>
      </w:r>
    </w:p>
    <w:p w14:paraId="59489574" w14:textId="77777777" w:rsidR="00822C0D" w:rsidRDefault="00822C0D" w:rsidP="00822C0D">
      <w:pPr>
        <w:pStyle w:val="BodyText"/>
        <w:spacing w:after="0"/>
        <w:rPr>
          <w:rFonts w:ascii="Times New Roman" w:hAnsi="Times New Roman"/>
          <w:sz w:val="22"/>
          <w:szCs w:val="22"/>
          <w:lang w:eastAsia="zh-CN"/>
        </w:rPr>
      </w:pPr>
    </w:p>
    <w:p w14:paraId="509A76FB"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[8]</w:t>
      </w:r>
    </w:p>
    <w:p w14:paraId="50D34DFB" w14:textId="586B8E4B"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Clarify the agreement made in RAN1 meeting #99 and allow overbooking in source MCG during the DAPS HO.</w:t>
      </w:r>
    </w:p>
    <w:p w14:paraId="4D7717E3" w14:textId="01BE36E5" w:rsidR="000A18AB" w:rsidRPr="000F241C" w:rsidRDefault="000A18AB" w:rsidP="000A18AB">
      <w:pPr>
        <w:pStyle w:val="Heading2"/>
        <w:rPr>
          <w:rFonts w:ascii="Times New Roman" w:hAnsi="Times New Roman"/>
          <w:lang w:eastAsia="zh-CN"/>
        </w:rPr>
      </w:pPr>
      <w:r>
        <w:rPr>
          <w:lang w:eastAsia="zh-CN"/>
        </w:rPr>
        <w:t>TP #3</w:t>
      </w:r>
    </w:p>
    <w:tbl>
      <w:tblPr>
        <w:tblStyle w:val="TableGrid"/>
        <w:tblW w:w="0" w:type="auto"/>
        <w:tblLook w:val="04A0" w:firstRow="1" w:lastRow="0" w:firstColumn="1" w:lastColumn="0" w:noHBand="0" w:noVBand="1"/>
      </w:tblPr>
      <w:tblGrid>
        <w:gridCol w:w="9629"/>
      </w:tblGrid>
      <w:tr w:rsidR="00822C0D" w14:paraId="6126DADC"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55636502" w14:textId="77777777" w:rsidR="00822C0D" w:rsidRDefault="00822C0D">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Pr>
                <w:rFonts w:eastAsia="Times New Roman"/>
                <w:strike/>
                <w:color w:val="FF0000"/>
              </w:rPr>
              <w:t xml:space="preserve">both </w:t>
            </w:r>
            <w:r>
              <w:rPr>
                <w:rFonts w:eastAsia="Times New Roman"/>
              </w:rPr>
              <w:t>the target MCG</w:t>
            </w:r>
            <w:r>
              <w:rPr>
                <w:rFonts w:eastAsia="Times New Roman"/>
                <w:strike/>
                <w:color w:val="FF0000"/>
              </w:rPr>
              <w:t xml:space="preserve"> and the source MCG</w:t>
            </w:r>
            <w:r>
              <w:rPr>
                <w:rFonts w:eastAsia="Times New Roman"/>
              </w:rPr>
              <w:t>.</w:t>
            </w:r>
          </w:p>
        </w:tc>
      </w:tr>
    </w:tbl>
    <w:p w14:paraId="2AA721A9" w14:textId="77777777" w:rsidR="00822C0D" w:rsidRDefault="00822C0D" w:rsidP="00822C0D">
      <w:pPr>
        <w:pStyle w:val="BodyText"/>
        <w:spacing w:after="0"/>
        <w:rPr>
          <w:rFonts w:ascii="Times New Roman" w:hAnsi="Times New Roman"/>
          <w:sz w:val="22"/>
          <w:szCs w:val="22"/>
          <w:lang w:eastAsia="zh-CN"/>
        </w:rPr>
      </w:pPr>
    </w:p>
    <w:p w14:paraId="0B8497CB" w14:textId="77777777" w:rsidR="008B7591" w:rsidRDefault="008B7591">
      <w:pPr>
        <w:pStyle w:val="BodyText"/>
        <w:spacing w:after="0"/>
        <w:rPr>
          <w:rFonts w:ascii="Times New Roman" w:hAnsi="Times New Roman"/>
          <w:sz w:val="22"/>
          <w:szCs w:val="22"/>
          <w:lang w:eastAsia="zh-CN"/>
        </w:rPr>
      </w:pPr>
    </w:p>
    <w:p w14:paraId="78C0103F" w14:textId="77777777"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A9F948D" w14:textId="77777777" w:rsidR="008B7661" w:rsidRDefault="008B7661">
      <w:pPr>
        <w:pStyle w:val="BodyText"/>
        <w:spacing w:after="0"/>
        <w:rPr>
          <w:rFonts w:ascii="Times New Roman" w:hAnsi="Times New Roman"/>
          <w:sz w:val="22"/>
          <w:szCs w:val="22"/>
          <w:lang w:eastAsia="zh-CN"/>
        </w:rPr>
      </w:pPr>
    </w:p>
    <w:p w14:paraId="65EDB256" w14:textId="28C0F29D" w:rsidR="008B7661" w:rsidRDefault="008B766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two issues</w:t>
      </w:r>
      <w:r w:rsidR="00D8655B">
        <w:rPr>
          <w:rFonts w:ascii="Times New Roman" w:hAnsi="Times New Roman"/>
          <w:sz w:val="22"/>
          <w:szCs w:val="22"/>
          <w:lang w:eastAsia="zh-CN"/>
        </w:rPr>
        <w:t>.</w:t>
      </w:r>
    </w:p>
    <w:p w14:paraId="0D282F61" w14:textId="1426D906" w:rsidR="00D8655B" w:rsidRDefault="00D8655B"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Correction of specification text from removal of PDCCH monitoring capability for DAPS.</w:t>
      </w:r>
    </w:p>
    <w:p w14:paraId="316080DD" w14:textId="66757254" w:rsidR="000F241C" w:rsidRDefault="00D22C04" w:rsidP="000F241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#2</w:t>
      </w:r>
    </w:p>
    <w:p w14:paraId="13CEB7DE" w14:textId="42AFF687" w:rsidR="00D8655B" w:rsidRDefault="000F241C"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Issue of overbooking in source MCG during DAPS HO.</w:t>
      </w:r>
    </w:p>
    <w:p w14:paraId="7391761A" w14:textId="4F76D569" w:rsidR="00D22C04" w:rsidRDefault="00D22C04" w:rsidP="00D22C04">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#3</w:t>
      </w:r>
    </w:p>
    <w:p w14:paraId="0FECE8E1" w14:textId="77777777" w:rsidR="00D8655B" w:rsidRDefault="00D8655B">
      <w:pPr>
        <w:pStyle w:val="BodyText"/>
        <w:spacing w:after="0"/>
        <w:rPr>
          <w:rFonts w:ascii="Times New Roman" w:hAnsi="Times New Roman"/>
          <w:sz w:val="22"/>
          <w:szCs w:val="22"/>
          <w:lang w:eastAsia="zh-CN"/>
        </w:rPr>
      </w:pPr>
    </w:p>
    <w:p w14:paraId="52B0B47B" w14:textId="7498D296"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w:t>
      </w:r>
      <w:r w:rsidR="00841210">
        <w:rPr>
          <w:rFonts w:ascii="Times New Roman" w:hAnsi="Times New Roman"/>
          <w:sz w:val="22"/>
          <w:szCs w:val="22"/>
          <w:lang w:eastAsia="zh-CN"/>
        </w:rPr>
        <w:t xml:space="preserve">TP #2 and TP #3 </w:t>
      </w:r>
      <w:r>
        <w:rPr>
          <w:rFonts w:ascii="Times New Roman" w:hAnsi="Times New Roman"/>
          <w:sz w:val="22"/>
          <w:szCs w:val="22"/>
          <w:lang w:eastAsia="zh-CN"/>
        </w:rPr>
        <w:t>are acceptable or not. Also, if companies have a modified/reformulated proposal based on proposals from above companies, please do provide them below as well.</w:t>
      </w:r>
    </w:p>
    <w:p w14:paraId="6008C266" w14:textId="77777777" w:rsidR="008B7591" w:rsidRDefault="008B7591">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8B7591" w:rsidRPr="0005606C" w14:paraId="3A9EC56D" w14:textId="77777777" w:rsidTr="007D2C7F">
        <w:trPr>
          <w:trHeight w:val="73"/>
        </w:trPr>
        <w:tc>
          <w:tcPr>
            <w:tcW w:w="1871" w:type="dxa"/>
            <w:shd w:val="clear" w:color="auto" w:fill="C5E0B3" w:themeFill="accent6" w:themeFillTint="66"/>
          </w:tcPr>
          <w:p w14:paraId="4B16BC9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C5E0B3" w:themeFill="accent6" w:themeFillTint="66"/>
          </w:tcPr>
          <w:p w14:paraId="424DB829"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8B7591" w:rsidRPr="0005606C" w14:paraId="6621EE95" w14:textId="77777777" w:rsidTr="007D2C7F">
        <w:trPr>
          <w:trHeight w:val="24"/>
        </w:trPr>
        <w:tc>
          <w:tcPr>
            <w:tcW w:w="1871" w:type="dxa"/>
          </w:tcPr>
          <w:p w14:paraId="7808B9D7" w14:textId="3AAAA90D" w:rsidR="008B7591" w:rsidRPr="0005606C" w:rsidRDefault="00214E55" w:rsidP="007D2C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1CE65BF" w14:textId="551C92E6" w:rsidR="008B7591" w:rsidRPr="0005606C" w:rsidRDefault="00214E55" w:rsidP="00214E55">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Issue 1: support to endorse TP #2</w:t>
            </w:r>
            <w:r>
              <w:rPr>
                <w:rFonts w:ascii="Times New Roman" w:hAnsi="Times New Roman"/>
                <w:sz w:val="22"/>
                <w:szCs w:val="22"/>
                <w:lang w:eastAsia="zh-CN"/>
              </w:rPr>
              <w:br/>
              <w:t>Issue 2: support to endorse TP #3</w:t>
            </w:r>
          </w:p>
        </w:tc>
      </w:tr>
      <w:tr w:rsidR="009C275D" w:rsidRPr="0005606C" w14:paraId="4F7982A8" w14:textId="77777777" w:rsidTr="007D2C7F">
        <w:trPr>
          <w:trHeight w:val="339"/>
        </w:trPr>
        <w:tc>
          <w:tcPr>
            <w:tcW w:w="1871" w:type="dxa"/>
          </w:tcPr>
          <w:p w14:paraId="3ECAABB0" w14:textId="0747D98C" w:rsidR="009C275D" w:rsidRPr="0005606C" w:rsidRDefault="009C275D" w:rsidP="009C275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501EFA6A" w14:textId="6A718608" w:rsidR="009C275D" w:rsidRPr="0005606C" w:rsidRDefault="009C275D" w:rsidP="009C275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TP#2 is ok. </w:t>
            </w:r>
            <w:r>
              <w:rPr>
                <w:rFonts w:ascii="Times New Roman" w:hAnsi="Times New Roman"/>
                <w:sz w:val="22"/>
                <w:szCs w:val="22"/>
                <w:lang w:eastAsia="zh-CN"/>
              </w:rPr>
              <w:t>TP#3 needs more discussion, failed to understand the statement that “the overbooking rules for DAPS-HO is more stringent than what was agreed in RAN1 #99”. The agreement says “</w:t>
            </w:r>
            <w:r w:rsidRPr="00AB1787">
              <w:rPr>
                <w:rFonts w:ascii="Times New Roman" w:hAnsi="Times New Roman"/>
                <w:sz w:val="22"/>
                <w:szCs w:val="22"/>
                <w:lang w:eastAsia="zh-CN"/>
              </w:rPr>
              <w:t>the UE is not expected to be provided with PDCCH configuration leading to PDCCH overbooking at both source and target cells</w:t>
            </w:r>
            <w:r>
              <w:rPr>
                <w:rFonts w:ascii="Times New Roman" w:hAnsi="Times New Roman"/>
                <w:sz w:val="22"/>
                <w:szCs w:val="22"/>
                <w:lang w:eastAsia="zh-CN"/>
              </w:rPr>
              <w:t>”. To my understanding, the current spec correctly reflected not allowing overbooking is either source or target cell. If considering overbooking for one of both, why is it source but not target?</w:t>
            </w:r>
          </w:p>
        </w:tc>
      </w:tr>
      <w:tr w:rsidR="008B7591" w:rsidRPr="0005606C" w14:paraId="307416CC" w14:textId="77777777" w:rsidTr="007D2C7F">
        <w:trPr>
          <w:trHeight w:val="339"/>
        </w:trPr>
        <w:tc>
          <w:tcPr>
            <w:tcW w:w="1871" w:type="dxa"/>
          </w:tcPr>
          <w:p w14:paraId="0396522F" w14:textId="177509BE" w:rsidR="008B7591" w:rsidRPr="0005606C" w:rsidRDefault="00EC53B5" w:rsidP="007D2C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34DDC3D4" w14:textId="1AB88C23" w:rsidR="008B7591" w:rsidRDefault="00394E13" w:rsidP="007D2C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TP#2 and TP#3.</w:t>
            </w:r>
          </w:p>
          <w:p w14:paraId="34E4DE60" w14:textId="77777777" w:rsidR="00C63C36" w:rsidRDefault="00C63C36" w:rsidP="007D2C7F">
            <w:pPr>
              <w:pStyle w:val="BodyText"/>
              <w:spacing w:before="0" w:after="0" w:line="240" w:lineRule="auto"/>
              <w:rPr>
                <w:rFonts w:ascii="Times New Roman" w:hAnsi="Times New Roman"/>
                <w:sz w:val="22"/>
                <w:szCs w:val="22"/>
                <w:lang w:eastAsia="zh-CN"/>
              </w:rPr>
            </w:pPr>
          </w:p>
          <w:p w14:paraId="579CABB5" w14:textId="38A20AD6" w:rsidR="00394E13" w:rsidRPr="0005606C" w:rsidRDefault="00394E13" w:rsidP="007D2C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TP#3, while the agreement does state it is not expected to</w:t>
            </w:r>
            <w:r w:rsidR="00C63C36">
              <w:rPr>
                <w:rFonts w:ascii="Times New Roman" w:hAnsi="Times New Roman"/>
                <w:sz w:val="22"/>
                <w:szCs w:val="22"/>
                <w:lang w:eastAsia="zh-CN"/>
              </w:rPr>
              <w:t xml:space="preserve"> perform overbooking, based on our understanding the original intent was to limit the overbooking only in one of the MCG and not limit overbooking in both MCGs.</w:t>
            </w:r>
            <w:r w:rsidR="001B0A42">
              <w:rPr>
                <w:rFonts w:ascii="Times New Roman" w:hAnsi="Times New Roman"/>
                <w:sz w:val="22"/>
                <w:szCs w:val="22"/>
                <w:lang w:eastAsia="zh-CN"/>
              </w:rPr>
              <w:t xml:space="preserve"> The support of overbooking for PCell is a mandatory feature for the UE, so UE should be able to support overbooking at least in one of the MCGs.</w:t>
            </w:r>
            <w:bookmarkStart w:id="1" w:name="_GoBack"/>
            <w:bookmarkEnd w:id="1"/>
          </w:p>
        </w:tc>
      </w:tr>
      <w:tr w:rsidR="008B7591" w:rsidRPr="0005606C" w14:paraId="0035FCCE" w14:textId="77777777" w:rsidTr="007D2C7F">
        <w:trPr>
          <w:trHeight w:val="339"/>
        </w:trPr>
        <w:tc>
          <w:tcPr>
            <w:tcW w:w="1871" w:type="dxa"/>
          </w:tcPr>
          <w:p w14:paraId="709B53FE" w14:textId="3B02044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77151E3D" w14:textId="55911C93" w:rsidR="008B7591" w:rsidRPr="0005606C" w:rsidRDefault="008B7591" w:rsidP="007D2C7F">
            <w:pPr>
              <w:pStyle w:val="BodyText"/>
              <w:spacing w:before="0" w:after="0" w:line="240" w:lineRule="auto"/>
              <w:rPr>
                <w:rFonts w:ascii="Times New Roman" w:hAnsi="Times New Roman"/>
                <w:sz w:val="22"/>
                <w:szCs w:val="22"/>
                <w:lang w:eastAsia="zh-CN"/>
              </w:rPr>
            </w:pPr>
          </w:p>
        </w:tc>
      </w:tr>
    </w:tbl>
    <w:p w14:paraId="09C2836A" w14:textId="02EF8AFD" w:rsidR="008B7591" w:rsidRDefault="008B7591">
      <w:pPr>
        <w:pStyle w:val="BodyText"/>
        <w:spacing w:after="0"/>
        <w:rPr>
          <w:rFonts w:ascii="Times New Roman" w:hAnsi="Times New Roman"/>
          <w:sz w:val="22"/>
          <w:szCs w:val="22"/>
          <w:lang w:eastAsia="zh-CN"/>
        </w:rPr>
      </w:pPr>
    </w:p>
    <w:p w14:paraId="3AB3C18F" w14:textId="1D1566E4" w:rsidR="008C3C9D" w:rsidRDefault="008C3C9D">
      <w:pPr>
        <w:pStyle w:val="BodyText"/>
        <w:spacing w:after="0"/>
        <w:rPr>
          <w:rFonts w:ascii="Times New Roman" w:hAnsi="Times New Roman"/>
          <w:sz w:val="22"/>
          <w:szCs w:val="22"/>
          <w:lang w:eastAsia="zh-CN"/>
        </w:rPr>
      </w:pPr>
    </w:p>
    <w:p w14:paraId="06382B6A" w14:textId="279624F5" w:rsidR="008B7591" w:rsidRDefault="008B7591">
      <w:pPr>
        <w:pStyle w:val="BodyText"/>
        <w:spacing w:after="0"/>
        <w:rPr>
          <w:rFonts w:ascii="Times New Roman" w:hAnsi="Times New Roman"/>
          <w:sz w:val="22"/>
          <w:szCs w:val="22"/>
          <w:lang w:eastAsia="zh-CN"/>
        </w:rPr>
      </w:pPr>
    </w:p>
    <w:p w14:paraId="46149CC0" w14:textId="77777777" w:rsidR="001C67C4" w:rsidRDefault="001C67C4">
      <w:pPr>
        <w:pStyle w:val="BodyText"/>
        <w:spacing w:after="0"/>
        <w:rPr>
          <w:rFonts w:ascii="Times New Roman" w:hAnsi="Times New Roman"/>
          <w:sz w:val="22"/>
          <w:szCs w:val="22"/>
          <w:lang w:eastAsia="zh-CN"/>
        </w:rPr>
      </w:pPr>
    </w:p>
    <w:p w14:paraId="710E2466" w14:textId="7FC61C4A" w:rsidR="0036036F" w:rsidRDefault="0036036F" w:rsidP="0036036F">
      <w:pPr>
        <w:pStyle w:val="Heading1"/>
        <w:numPr>
          <w:ilvl w:val="0"/>
          <w:numId w:val="5"/>
        </w:numPr>
        <w:spacing w:line="259" w:lineRule="auto"/>
        <w:ind w:left="360"/>
        <w:rPr>
          <w:rFonts w:cs="Arial"/>
          <w:sz w:val="32"/>
          <w:szCs w:val="32"/>
          <w:lang w:val="en-US"/>
        </w:rPr>
      </w:pPr>
      <w:r>
        <w:rPr>
          <w:rFonts w:cs="Arial"/>
          <w:sz w:val="32"/>
          <w:szCs w:val="32"/>
        </w:rPr>
        <w:t>Conclusion of the Email Discussion [10</w:t>
      </w:r>
      <w:r w:rsidR="006B473C">
        <w:rPr>
          <w:rFonts w:cs="Arial"/>
          <w:sz w:val="32"/>
          <w:szCs w:val="32"/>
        </w:rPr>
        <w:t>1</w:t>
      </w:r>
      <w:r>
        <w:rPr>
          <w:rFonts w:cs="Arial"/>
          <w:sz w:val="32"/>
          <w:szCs w:val="32"/>
        </w:rPr>
        <w:t>-e-NR-Mob-Enh-0</w:t>
      </w:r>
      <w:r w:rsidR="006B473C">
        <w:rPr>
          <w:rFonts w:cs="Arial"/>
          <w:sz w:val="32"/>
          <w:szCs w:val="32"/>
        </w:rPr>
        <w:t>3</w:t>
      </w:r>
      <w:r>
        <w:rPr>
          <w:rFonts w:cs="Arial"/>
          <w:sz w:val="32"/>
          <w:szCs w:val="32"/>
        </w:rPr>
        <w:t>]</w:t>
      </w:r>
    </w:p>
    <w:p w14:paraId="7E9316F5" w14:textId="77777777" w:rsidR="006B473C" w:rsidRDefault="006B473C" w:rsidP="006B47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BE4A817" w14:textId="77777777" w:rsidR="006B473C" w:rsidRDefault="006B473C" w:rsidP="006B473C">
      <w:pPr>
        <w:pStyle w:val="BodyText"/>
        <w:spacing w:after="0"/>
        <w:rPr>
          <w:rFonts w:ascii="Times New Roman" w:hAnsi="Times New Roman"/>
          <w:sz w:val="22"/>
          <w:szCs w:val="22"/>
          <w:lang w:eastAsia="zh-CN"/>
        </w:rPr>
      </w:pPr>
    </w:p>
    <w:p w14:paraId="3E117A8F" w14:textId="77777777" w:rsidR="006B473C" w:rsidRDefault="006B473C" w:rsidP="006B473C">
      <w:pPr>
        <w:pStyle w:val="BodyText"/>
        <w:numPr>
          <w:ilvl w:val="0"/>
          <w:numId w:val="15"/>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31C81F56" w14:textId="77777777" w:rsidR="007B5DF2" w:rsidRDefault="007B5DF2">
      <w:pPr>
        <w:pStyle w:val="BodyText"/>
        <w:spacing w:after="0"/>
        <w:rPr>
          <w:rFonts w:ascii="Times New Roman" w:hAnsi="Times New Roman"/>
          <w:sz w:val="22"/>
          <w:szCs w:val="22"/>
          <w:lang w:eastAsia="zh-CN"/>
        </w:rPr>
      </w:pPr>
    </w:p>
    <w:p w14:paraId="33E633F0" w14:textId="77777777" w:rsidR="008B7591" w:rsidRDefault="008B7591">
      <w:pPr>
        <w:pStyle w:val="BodyText"/>
        <w:spacing w:after="0"/>
        <w:rPr>
          <w:rFonts w:ascii="Times New Roman" w:hAnsi="Times New Roman"/>
          <w:sz w:val="22"/>
          <w:szCs w:val="22"/>
          <w:lang w:eastAsia="zh-CN"/>
        </w:rPr>
      </w:pPr>
    </w:p>
    <w:p w14:paraId="21633B08" w14:textId="77777777" w:rsidR="008B7591" w:rsidRDefault="007F5094">
      <w:pPr>
        <w:pStyle w:val="Heading1"/>
        <w:textAlignment w:val="auto"/>
        <w:rPr>
          <w:rFonts w:cs="Arial"/>
          <w:sz w:val="32"/>
          <w:szCs w:val="32"/>
          <w:lang w:val="en-US"/>
        </w:rPr>
      </w:pPr>
      <w:r>
        <w:rPr>
          <w:rFonts w:cs="Arial"/>
          <w:sz w:val="32"/>
          <w:szCs w:val="32"/>
          <w:lang w:val="en-US"/>
        </w:rPr>
        <w:t>Reference</w:t>
      </w:r>
    </w:p>
    <w:p w14:paraId="1BBFAAD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30A3DBF"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R1-2003506, “Remaining issues on DAPS-HO,” Huawei, HiSilicon</w:t>
      </w:r>
    </w:p>
    <w:p w14:paraId="5AEF85F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1F3AD80"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C53CDA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6049A4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599FEC03"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72E14D7"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6DE26F9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lastRenderedPageBreak/>
        <w:t>R1-2003331, “Discussion on FR2 mobility interruption enhancements,” ZTE</w:t>
      </w:r>
    </w:p>
    <w:p w14:paraId="22DF0A5C"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R1-2004148, “Remaining PHY aspects for CHO,” Huawei, HiSilicon</w:t>
      </w:r>
    </w:p>
    <w:p w14:paraId="619D287D" w14:textId="3D24007A"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5271EAC" w14:textId="77777777" w:rsidR="00A80CD0" w:rsidRDefault="00A80CD0" w:rsidP="00A80CD0">
      <w:pPr>
        <w:jc w:val="right"/>
        <w:rPr>
          <w:lang w:eastAsia="zh-CN"/>
        </w:rPr>
      </w:pPr>
    </w:p>
    <w:p w14:paraId="34E70BC9" w14:textId="77777777" w:rsidR="008B7591" w:rsidRDefault="008B7591">
      <w:pPr>
        <w:pStyle w:val="ListParagraph"/>
        <w:ind w:left="540"/>
        <w:rPr>
          <w:rFonts w:ascii="Times New Roman" w:hAnsi="Times New Roman"/>
          <w:lang w:eastAsia="zh-CN"/>
        </w:rPr>
      </w:pPr>
    </w:p>
    <w:p w14:paraId="1EBBE880" w14:textId="77777777" w:rsidR="008B7591" w:rsidRDefault="008B7591">
      <w:pPr>
        <w:jc w:val="right"/>
        <w:rPr>
          <w:lang w:eastAsia="zh-CN"/>
        </w:rPr>
      </w:pPr>
    </w:p>
    <w:sectPr w:rsidR="008B7591">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14033" w14:textId="77777777" w:rsidR="00BB5E37" w:rsidRDefault="00BB5E37">
      <w:pPr>
        <w:spacing w:after="0"/>
      </w:pPr>
      <w:r>
        <w:separator/>
      </w:r>
    </w:p>
  </w:endnote>
  <w:endnote w:type="continuationSeparator" w:id="0">
    <w:p w14:paraId="4BFDBE3A" w14:textId="77777777" w:rsidR="00BB5E37" w:rsidRDefault="00BB5E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F43D" w14:textId="77777777" w:rsidR="008B7591" w:rsidRDefault="007F5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7B629" w14:textId="77777777" w:rsidR="008B7591" w:rsidRDefault="008B7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0377" w14:textId="77777777" w:rsidR="008B7591" w:rsidRDefault="007F5094">
    <w:pPr>
      <w:pStyle w:val="Footer"/>
      <w:ind w:right="360"/>
    </w:pPr>
    <w:r>
      <w:rPr>
        <w:rStyle w:val="PageNumber"/>
      </w:rPr>
      <w:fldChar w:fldCharType="begin"/>
    </w:r>
    <w:r>
      <w:rPr>
        <w:rStyle w:val="PageNumber"/>
      </w:rPr>
      <w:instrText xml:space="preserve"> PAGE </w:instrText>
    </w:r>
    <w:r>
      <w:rPr>
        <w:rStyle w:val="PageNumber"/>
      </w:rPr>
      <w:fldChar w:fldCharType="separate"/>
    </w:r>
    <w:r w:rsidR="009C275D">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275D">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CEB2" w14:textId="77777777" w:rsidR="00BB5E37" w:rsidRDefault="00BB5E37">
      <w:pPr>
        <w:spacing w:after="0"/>
      </w:pPr>
      <w:r>
        <w:separator/>
      </w:r>
    </w:p>
  </w:footnote>
  <w:footnote w:type="continuationSeparator" w:id="0">
    <w:p w14:paraId="63A146C8" w14:textId="77777777" w:rsidR="00BB5E37" w:rsidRDefault="00BB5E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E2C9" w14:textId="77777777" w:rsidR="008B7591" w:rsidRDefault="007F50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1E0E7E"/>
    <w:multiLevelType w:val="hybridMultilevel"/>
    <w:tmpl w:val="2FC6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E451FB"/>
    <w:multiLevelType w:val="hybridMultilevel"/>
    <w:tmpl w:val="9CB4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E640F0"/>
    <w:multiLevelType w:val="hybridMultilevel"/>
    <w:tmpl w:val="BC76A0D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6636DF"/>
    <w:multiLevelType w:val="hybridMultilevel"/>
    <w:tmpl w:val="B54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1"/>
  </w:num>
  <w:num w:numId="8">
    <w:abstractNumId w:val="6"/>
  </w:num>
  <w:num w:numId="9">
    <w:abstractNumId w:val="13"/>
  </w:num>
  <w:num w:numId="10">
    <w:abstractNumId w:val="12"/>
  </w:num>
  <w:num w:numId="11">
    <w:abstractNumId w:val="5"/>
  </w:num>
  <w:num w:numId="12">
    <w:abstractNumId w:val="2"/>
  </w:num>
  <w:num w:numId="13">
    <w:abstractNumId w:val="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A42"/>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E55"/>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499"/>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4E13"/>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75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5E37"/>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3C3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3B5"/>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442"/>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A77F"/>
  <w15:docId w15:val="{1CDED87E-B0B3-3F46-8817-A60298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6783">
      <w:bodyDiv w:val="1"/>
      <w:marLeft w:val="0"/>
      <w:marRight w:val="0"/>
      <w:marTop w:val="0"/>
      <w:marBottom w:val="0"/>
      <w:divBdr>
        <w:top w:val="none" w:sz="0" w:space="0" w:color="auto"/>
        <w:left w:val="none" w:sz="0" w:space="0" w:color="auto"/>
        <w:bottom w:val="none" w:sz="0" w:space="0" w:color="auto"/>
        <w:right w:val="none" w:sz="0" w:space="0" w:color="auto"/>
      </w:divBdr>
    </w:div>
    <w:div w:id="386956357">
      <w:bodyDiv w:val="1"/>
      <w:marLeft w:val="0"/>
      <w:marRight w:val="0"/>
      <w:marTop w:val="0"/>
      <w:marBottom w:val="0"/>
      <w:divBdr>
        <w:top w:val="none" w:sz="0" w:space="0" w:color="auto"/>
        <w:left w:val="none" w:sz="0" w:space="0" w:color="auto"/>
        <w:bottom w:val="none" w:sz="0" w:space="0" w:color="auto"/>
        <w:right w:val="none" w:sz="0" w:space="0" w:color="auto"/>
      </w:divBdr>
    </w:div>
    <w:div w:id="494299750">
      <w:bodyDiv w:val="1"/>
      <w:marLeft w:val="0"/>
      <w:marRight w:val="0"/>
      <w:marTop w:val="0"/>
      <w:marBottom w:val="0"/>
      <w:divBdr>
        <w:top w:val="none" w:sz="0" w:space="0" w:color="auto"/>
        <w:left w:val="none" w:sz="0" w:space="0" w:color="auto"/>
        <w:bottom w:val="none" w:sz="0" w:space="0" w:color="auto"/>
        <w:right w:val="none" w:sz="0" w:space="0" w:color="auto"/>
      </w:divBdr>
    </w:div>
    <w:div w:id="584724936">
      <w:bodyDiv w:val="1"/>
      <w:marLeft w:val="0"/>
      <w:marRight w:val="0"/>
      <w:marTop w:val="0"/>
      <w:marBottom w:val="0"/>
      <w:divBdr>
        <w:top w:val="none" w:sz="0" w:space="0" w:color="auto"/>
        <w:left w:val="none" w:sz="0" w:space="0" w:color="auto"/>
        <w:bottom w:val="none" w:sz="0" w:space="0" w:color="auto"/>
        <w:right w:val="none" w:sz="0" w:space="0" w:color="auto"/>
      </w:divBdr>
    </w:div>
    <w:div w:id="621032289">
      <w:bodyDiv w:val="1"/>
      <w:marLeft w:val="0"/>
      <w:marRight w:val="0"/>
      <w:marTop w:val="0"/>
      <w:marBottom w:val="0"/>
      <w:divBdr>
        <w:top w:val="none" w:sz="0" w:space="0" w:color="auto"/>
        <w:left w:val="none" w:sz="0" w:space="0" w:color="auto"/>
        <w:bottom w:val="none" w:sz="0" w:space="0" w:color="auto"/>
        <w:right w:val="none" w:sz="0" w:space="0" w:color="auto"/>
      </w:divBdr>
    </w:div>
    <w:div w:id="1545601290">
      <w:bodyDiv w:val="1"/>
      <w:marLeft w:val="0"/>
      <w:marRight w:val="0"/>
      <w:marTop w:val="0"/>
      <w:marBottom w:val="0"/>
      <w:divBdr>
        <w:top w:val="none" w:sz="0" w:space="0" w:color="auto"/>
        <w:left w:val="none" w:sz="0" w:space="0" w:color="auto"/>
        <w:bottom w:val="none" w:sz="0" w:space="0" w:color="auto"/>
        <w:right w:val="none" w:sz="0" w:space="0" w:color="auto"/>
      </w:divBdr>
    </w:div>
    <w:div w:id="1603875236">
      <w:bodyDiv w:val="1"/>
      <w:marLeft w:val="0"/>
      <w:marRight w:val="0"/>
      <w:marTop w:val="0"/>
      <w:marBottom w:val="0"/>
      <w:divBdr>
        <w:top w:val="none" w:sz="0" w:space="0" w:color="auto"/>
        <w:left w:val="none" w:sz="0" w:space="0" w:color="auto"/>
        <w:bottom w:val="none" w:sz="0" w:space="0" w:color="auto"/>
        <w:right w:val="none" w:sz="0" w:space="0" w:color="auto"/>
      </w:divBdr>
    </w:div>
    <w:div w:id="2014187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D6CA7"/>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6689E"/>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purl.org/dc/terms/"/>
    <ds:schemaRef ds:uri="http://schemas.microsoft.com/office/2006/documentManagement/types"/>
    <ds:schemaRef ds:uri="http://purl.org/dc/dcmitype/"/>
    <ds:schemaRef ds:uri="55ae6c15-9962-46ae-a768-8deca3649a65"/>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28d22441-8343-43f8-ac6d-b59b0fa8fca6"/>
    <ds:schemaRef ds:uri="http://www.w3.org/XML/1998/namespace"/>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8360C822-835D-4354-B90F-A225CF8EFD5F}">
  <ds:schemaRefs>
    <ds:schemaRef ds:uri="http://schemas.openxmlformats.org/officeDocument/2006/bibliography"/>
  </ds:schemaRefs>
</ds:datastoreItem>
</file>

<file path=customXml/itemProps7.xml><?xml version="1.0" encoding="utf-8"?>
<ds:datastoreItem xmlns:ds="http://schemas.openxmlformats.org/officeDocument/2006/customXml" ds:itemID="{F8BF8BF1-060C-4348-AA60-4EF24699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41</TotalTime>
  <Pages>4</Pages>
  <Words>1054</Words>
  <Characters>5743</Characters>
  <Application>Microsoft Office Word</Application>
  <DocSecurity>0</DocSecurity>
  <Lines>131</Lines>
  <Paragraphs>62</Paragraphs>
  <ScaleCrop>false</ScaleCrop>
  <HeadingPairs>
    <vt:vector size="2" baseType="variant">
      <vt:variant>
        <vt:lpstr>Title</vt:lpstr>
      </vt:variant>
      <vt:variant>
        <vt:i4>1</vt:i4>
      </vt:variant>
    </vt:vector>
  </HeadingPairs>
  <TitlesOfParts>
    <vt:vector size="1" baseType="lpstr">
      <vt:lpstr>Summary of email discussions for [101-e-NR-Mob-Enh-03]</vt:lpstr>
    </vt:vector>
  </TitlesOfParts>
  <Company>Intel</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[101-e-NR-Mob-Enh-03]</dc:title>
  <dc:subject>R1-2004749</dc:subject>
  <dc:creator>Daewon Lee</dc:creator>
  <cp:keywords>CTPClassification=CTP_PUBLIC:VisualMarkings=, CTPClassification=CTP_NT</cp:keywords>
  <dc:description>e-Meeting, May 25 – June 05, 2020</dc:description>
  <cp:lastModifiedBy>Lee, Daewon</cp:lastModifiedBy>
  <cp:revision>9</cp:revision>
  <cp:lastPrinted>2011-11-09T07:49:00Z</cp:lastPrinted>
  <dcterms:created xsi:type="dcterms:W3CDTF">2020-05-25T12:17:00Z</dcterms:created>
  <dcterms:modified xsi:type="dcterms:W3CDTF">2020-05-26T18:02:00Z</dcterms:modified>
  <cp:category>#101-E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2020-05-26 18:02:24Z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