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37C5E" w14:textId="77777777" w:rsidR="00847597" w:rsidRDefault="0085655C">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14:paraId="7D1717DB" w14:textId="77777777" w:rsidR="00847597" w:rsidRDefault="0085655C">
      <w:pPr>
        <w:pStyle w:val="ab"/>
        <w:tabs>
          <w:tab w:val="left" w:pos="1800"/>
        </w:tabs>
        <w:ind w:left="1800" w:hanging="1800"/>
        <w:rPr>
          <w:rFonts w:eastAsia="宋体"/>
          <w:sz w:val="22"/>
          <w:lang w:eastAsia="zh-CN"/>
        </w:rPr>
      </w:pPr>
      <w:r>
        <w:rPr>
          <w:rFonts w:eastAsia="宋体"/>
          <w:sz w:val="22"/>
          <w:lang w:eastAsia="zh-CN"/>
        </w:rPr>
        <w:t>e-Meeting, May 20</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14:paraId="79FB3A78" w14:textId="77777777" w:rsidR="00847597" w:rsidRDefault="00847597">
      <w:pPr>
        <w:pStyle w:val="ab"/>
        <w:tabs>
          <w:tab w:val="left" w:pos="1800"/>
        </w:tabs>
        <w:ind w:left="1800" w:hanging="1800"/>
        <w:rPr>
          <w:rFonts w:eastAsia="宋体"/>
          <w:sz w:val="22"/>
          <w:lang w:eastAsia="zh-CN"/>
        </w:rPr>
      </w:pPr>
    </w:p>
    <w:p w14:paraId="35FF0EFF" w14:textId="77777777" w:rsidR="00847597" w:rsidRDefault="0085655C">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4EF1ACA" w14:textId="77777777" w:rsidR="00847597" w:rsidRDefault="0085655C">
      <w:pPr>
        <w:pStyle w:val="ab"/>
        <w:tabs>
          <w:tab w:val="clear" w:pos="4536"/>
          <w:tab w:val="left" w:pos="1800"/>
        </w:tabs>
        <w:spacing w:line="288" w:lineRule="auto"/>
        <w:ind w:left="1800" w:hanging="1800"/>
        <w:rPr>
          <w:rFonts w:eastAsia="宋体"/>
          <w:sz w:val="22"/>
          <w:lang w:eastAsia="zh-CN"/>
        </w:rPr>
      </w:pPr>
      <w:r>
        <w:rPr>
          <w:sz w:val="22"/>
        </w:rPr>
        <w:t>Title:</w:t>
      </w:r>
      <w:r>
        <w:rPr>
          <w:sz w:val="22"/>
        </w:rPr>
        <w:tab/>
        <w:t>Discussion on Issue#b-2</w:t>
      </w:r>
      <w:r>
        <w:rPr>
          <w:rFonts w:eastAsia="宋体"/>
          <w:sz w:val="22"/>
          <w:lang w:eastAsia="zh-CN"/>
        </w:rPr>
        <w:t xml:space="preserve"> in Email Thread 2</w:t>
      </w:r>
    </w:p>
    <w:p w14:paraId="33E37C2B" w14:textId="77777777" w:rsidR="00847597" w:rsidRDefault="0085655C">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14:paraId="391F4DB8" w14:textId="77777777" w:rsidR="00847597" w:rsidRDefault="0085655C">
      <w:pPr>
        <w:pStyle w:val="ab"/>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r>
        <w:rPr>
          <w:i/>
          <w:iCs/>
        </w:rPr>
        <w:t>RepSchemeEnabler</w:t>
      </w:r>
      <w:r>
        <w:t xml:space="preserve">  and </w:t>
      </w:r>
      <w:r>
        <w:rPr>
          <w:i/>
          <w:iCs/>
        </w:rPr>
        <w:t>pdsch-AggregationFactor</w:t>
      </w:r>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r>
        <w:rPr>
          <w:i/>
          <w:iCs/>
        </w:rPr>
        <w:t>pdsch-AggregationFactor</w:t>
      </w:r>
      <w:r>
        <w:t xml:space="preserve"> that was specified in rel15.  They all propose that the </w:t>
      </w:r>
      <w:r>
        <w:rPr>
          <w:i/>
          <w:iCs/>
        </w:rPr>
        <w:t>RepNumR16</w:t>
      </w:r>
      <w:r>
        <w:t xml:space="preserve"> of scheme 4 and parameter </w:t>
      </w:r>
      <w:r>
        <w:rPr>
          <w:i/>
          <w:iCs/>
        </w:rPr>
        <w:t xml:space="preserve">pdsch-AggregationFactor </w:t>
      </w:r>
      <w:r>
        <w:t xml:space="preserve"> can not be used simultaneously. But their proposal has some difference:</w:t>
      </w:r>
    </w:p>
    <w:p w14:paraId="79E6D111" w14:textId="77777777" w:rsidR="00847597" w:rsidRDefault="0085655C">
      <w:pPr>
        <w:pStyle w:val="00Text"/>
        <w:numPr>
          <w:ilvl w:val="0"/>
          <w:numId w:val="7"/>
        </w:numPr>
      </w:pPr>
      <w:r>
        <w:t xml:space="preserve">[4] proposed that </w:t>
      </w:r>
      <w:r>
        <w:rPr>
          <w:i/>
          <w:iCs/>
        </w:rPr>
        <w:t>pdsch-AggregationFactor</w:t>
      </w:r>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r>
        <w:rPr>
          <w:i/>
          <w:iCs/>
        </w:rPr>
        <w:t>pdsch-TimeDomainAllocationList</w:t>
      </w:r>
      <w:r>
        <w:t xml:space="preserve"> contains RepNumR16, the UE will ignore the </w:t>
      </w:r>
      <w:r>
        <w:rPr>
          <w:i/>
          <w:iCs/>
        </w:rPr>
        <w:t>AggregationFactor</w:t>
      </w:r>
      <w:r>
        <w:t xml:space="preserve">. </w:t>
      </w:r>
    </w:p>
    <w:p w14:paraId="495E6F06" w14:textId="77777777" w:rsidR="00847597" w:rsidRDefault="0085655C">
      <w:pPr>
        <w:pStyle w:val="00Text"/>
        <w:numPr>
          <w:ilvl w:val="0"/>
          <w:numId w:val="7"/>
        </w:numPr>
      </w:pPr>
      <w:r>
        <w:t xml:space="preserve">[17] proposed that </w:t>
      </w:r>
      <w:r>
        <w:rPr>
          <w:i/>
          <w:iCs/>
        </w:rPr>
        <w:t>pdsch-AggregationFactor</w:t>
      </w:r>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r>
        <w:rPr>
          <w:i/>
          <w:iCs/>
        </w:rPr>
        <w:t>pdsch-TimeDomainAllocationList</w:t>
      </w:r>
      <w:r>
        <w:t xml:space="preserve"> contains RepNumR16, the UE does not expect to be configured with </w:t>
      </w:r>
      <w:r>
        <w:rPr>
          <w:i/>
          <w:iCs/>
        </w:rPr>
        <w:t>AggregationFactor</w:t>
      </w:r>
      <w:r>
        <w:t>.</w:t>
      </w:r>
    </w:p>
    <w:p w14:paraId="1D5C9BB9" w14:textId="77777777" w:rsidR="00847597" w:rsidRDefault="0085655C">
      <w:pPr>
        <w:pStyle w:val="00Text"/>
      </w:pPr>
      <w:r>
        <w:t xml:space="preserve">[18] also discussed the issue of simultaneous configuration of scheme 2a/2b/3 and </w:t>
      </w:r>
      <w:r>
        <w:rPr>
          <w:rFonts w:eastAsia="PMingLiU"/>
          <w:i/>
        </w:rPr>
        <w:t>pdsch-AggregationFactor</w:t>
      </w:r>
      <w:r>
        <w:t xml:space="preserve"> and proposed that simultaneous configuration of scheme 2a/2b/3 and </w:t>
      </w:r>
      <w:r>
        <w:rPr>
          <w:rFonts w:eastAsia="PMingLiU"/>
          <w:i/>
        </w:rPr>
        <w:t>pdsch-AggregationFactor</w:t>
      </w:r>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r>
        <w:rPr>
          <w:b/>
          <w:bCs/>
          <w:i/>
          <w:iCs/>
        </w:rPr>
        <w:t>AggregationFactor</w:t>
      </w:r>
      <w:r>
        <w:rPr>
          <w:b/>
          <w:bCs/>
        </w:rPr>
        <w:t>, down-select from:</w:t>
      </w:r>
    </w:p>
    <w:p w14:paraId="4C2BD08E" w14:textId="77777777" w:rsidR="00847597" w:rsidRDefault="0085655C">
      <w:pPr>
        <w:pStyle w:val="00Text"/>
        <w:numPr>
          <w:ilvl w:val="0"/>
          <w:numId w:val="8"/>
        </w:numPr>
        <w:rPr>
          <w:b/>
          <w:bCs/>
        </w:rPr>
      </w:pPr>
      <w:r>
        <w:rPr>
          <w:b/>
          <w:bCs/>
        </w:rPr>
        <w:t xml:space="preserve">Alt1: </w:t>
      </w:r>
      <w:r>
        <w:rPr>
          <w:b/>
          <w:bCs/>
          <w:i/>
          <w:iCs/>
        </w:rPr>
        <w:t>pdsch-AggregationFactor</w:t>
      </w:r>
      <w:r>
        <w:rPr>
          <w:b/>
          <w:bCs/>
        </w:rPr>
        <w:t xml:space="preserve"> is </w:t>
      </w:r>
      <w:del w:id="0" w:author="作者">
        <w:r>
          <w:rPr>
            <w:b/>
            <w:bCs/>
          </w:rPr>
          <w:delText xml:space="preserve">overwritten by </w:delText>
        </w:r>
        <w:r>
          <w:rPr>
            <w:b/>
            <w:bCs/>
            <w:i/>
            <w:iCs/>
          </w:rPr>
          <w:delText>RepetitionNumber-r16</w:delText>
        </w:r>
      </w:del>
      <w:ins w:id="1" w:author="作者">
        <w:r>
          <w:rPr>
            <w:rFonts w:hint="eastAsia"/>
            <w:b/>
            <w:bCs/>
          </w:rPr>
          <w:t>applied only</w:t>
        </w:r>
      </w:ins>
      <w:r>
        <w:rPr>
          <w:b/>
          <w:bCs/>
        </w:rPr>
        <w:t xml:space="preserve"> when the Rel-16 repetition number </w:t>
      </w:r>
      <w:r>
        <w:rPr>
          <w:b/>
          <w:bCs/>
          <w:i/>
          <w:iCs/>
        </w:rPr>
        <w:t>RepetitionNumber-r16</w:t>
      </w:r>
      <w:r>
        <w:rPr>
          <w:b/>
          <w:bCs/>
        </w:rPr>
        <w:t xml:space="preserve"> is </w:t>
      </w:r>
      <w:ins w:id="2" w:author="作者">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r>
        <w:rPr>
          <w:b/>
          <w:bCs/>
          <w:i/>
          <w:iCs/>
        </w:rPr>
        <w:t xml:space="preserve">AggregationFactor </w:t>
      </w:r>
      <w:r>
        <w:rPr>
          <w:b/>
          <w:bCs/>
        </w:rPr>
        <w:t xml:space="preserve">is </w:t>
      </w:r>
      <w:del w:id="3" w:author="作者">
        <w:r>
          <w:rPr>
            <w:b/>
            <w:bCs/>
          </w:rPr>
          <w:delText xml:space="preserve">ignored </w:delText>
        </w:r>
      </w:del>
      <w:ins w:id="4" w:author="作者">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作者">
        <w:r>
          <w:rPr>
            <w:rFonts w:hint="eastAsia"/>
            <w:b/>
            <w:bCs/>
          </w:rPr>
          <w:t xml:space="preserve">not </w:t>
        </w:r>
      </w:ins>
      <w:r>
        <w:rPr>
          <w:b/>
          <w:bCs/>
        </w:rPr>
        <w:t xml:space="preserve">included in </w:t>
      </w:r>
      <w:del w:id="6" w:author="作者">
        <w:r>
          <w:rPr>
            <w:b/>
            <w:bCs/>
          </w:rPr>
          <w:delText>at least one</w:delText>
        </w:r>
      </w:del>
      <w:ins w:id="7" w:author="作者">
        <w:r>
          <w:rPr>
            <w:rFonts w:hint="eastAsia"/>
            <w:b/>
            <w:bCs/>
          </w:rPr>
          <w:t>any</w:t>
        </w:r>
      </w:ins>
      <w:r>
        <w:rPr>
          <w:b/>
          <w:bCs/>
        </w:rPr>
        <w:t xml:space="preserve"> entry in </w:t>
      </w:r>
      <w:r>
        <w:rPr>
          <w:b/>
          <w:bCs/>
          <w:i/>
          <w:iCs/>
        </w:rPr>
        <w:t>pdsch-TimeDomainAllocationList.</w:t>
      </w:r>
    </w:p>
    <w:p w14:paraId="5EC12FDF" w14:textId="77777777" w:rsidR="00847597" w:rsidRDefault="0085655C">
      <w:pPr>
        <w:pStyle w:val="00Text"/>
        <w:numPr>
          <w:ilvl w:val="0"/>
          <w:numId w:val="8"/>
        </w:numPr>
        <w:rPr>
          <w:b/>
          <w:bCs/>
        </w:rPr>
      </w:pPr>
      <w:r>
        <w:rPr>
          <w:b/>
          <w:bCs/>
        </w:rPr>
        <w:t xml:space="preserve">Alt3: When at least one entry in </w:t>
      </w:r>
      <w:r>
        <w:rPr>
          <w:b/>
          <w:bCs/>
          <w:i/>
          <w:iCs/>
        </w:rPr>
        <w:t>pdsch-TimeDomainAllocationList</w:t>
      </w:r>
      <w:r>
        <w:rPr>
          <w:b/>
          <w:bCs/>
        </w:rPr>
        <w:t xml:space="preserve"> contains </w:t>
      </w:r>
      <w:r>
        <w:rPr>
          <w:b/>
          <w:bCs/>
          <w:i/>
          <w:iCs/>
        </w:rPr>
        <w:t>RepetitionNumber-r16</w:t>
      </w:r>
      <w:r>
        <w:rPr>
          <w:b/>
          <w:bCs/>
        </w:rPr>
        <w:t xml:space="preserve">, the UE does not expect to be configured with </w:t>
      </w:r>
      <w:r>
        <w:rPr>
          <w:b/>
          <w:bCs/>
          <w:i/>
          <w:iCs/>
        </w:rPr>
        <w:t>AggregationFactor</w:t>
      </w:r>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r>
        <w:rPr>
          <w:b/>
          <w:bCs/>
          <w:i/>
          <w:iCs/>
          <w:color w:val="000000"/>
          <w:kern w:val="2"/>
        </w:rPr>
        <w:t>FDMSchemeA</w:t>
      </w:r>
      <w:r>
        <w:rPr>
          <w:b/>
          <w:bCs/>
          <w:color w:val="000000"/>
          <w:kern w:val="2"/>
        </w:rPr>
        <w:t>', '</w:t>
      </w:r>
      <w:r>
        <w:rPr>
          <w:b/>
          <w:bCs/>
          <w:i/>
          <w:iCs/>
          <w:color w:val="000000"/>
          <w:kern w:val="2"/>
        </w:rPr>
        <w:t>FDMSchemeB</w:t>
      </w:r>
      <w:r>
        <w:rPr>
          <w:b/>
          <w:bCs/>
          <w:color w:val="000000"/>
          <w:kern w:val="2"/>
        </w:rPr>
        <w:t>' and '</w:t>
      </w:r>
      <w:r>
        <w:rPr>
          <w:b/>
          <w:bCs/>
          <w:i/>
          <w:iCs/>
          <w:color w:val="000000"/>
          <w:kern w:val="2"/>
        </w:rPr>
        <w:t>TDMSchemeA</w:t>
      </w:r>
      <w:r>
        <w:rPr>
          <w:b/>
          <w:bCs/>
          <w:color w:val="000000"/>
          <w:kern w:val="2"/>
        </w:rPr>
        <w:t>'</w:t>
      </w:r>
      <w:r>
        <w:rPr>
          <w:b/>
          <w:bCs/>
        </w:rPr>
        <w:t>, the UE does not expect to be configured with AggregationFactor.</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Since all the parameters are provided by RRC, gNB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r>
              <w:t>MediaTek</w:t>
            </w:r>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r>
              <w:rPr>
                <w:bCs/>
                <w:i/>
                <w:iCs/>
              </w:rPr>
              <w:t>pdsch-AggregationFactor</w:t>
            </w:r>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r>
              <w:rPr>
                <w:bCs/>
                <w:i/>
                <w:iCs/>
              </w:rPr>
              <w:t>pdsch-TimeDomainAllocationList</w:t>
            </w:r>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gNB to use </w:t>
            </w:r>
            <w:r>
              <w:rPr>
                <w:bCs/>
                <w:i/>
                <w:iCs/>
              </w:rPr>
              <w:t>pdsch-AggregationFactor</w:t>
            </w:r>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r>
              <w:rPr>
                <w:b/>
                <w:bCs/>
                <w:i/>
                <w:iCs/>
              </w:rPr>
              <w:t>pdsch-TimeDomainAllocationList</w:t>
            </w:r>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r>
              <w:rPr>
                <w:bCs/>
                <w:i/>
                <w:iCs/>
              </w:rPr>
              <w:t>pdsch-AggregationFactor</w:t>
            </w:r>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r>
              <w:rPr>
                <w:rFonts w:hint="eastAsia"/>
                <w:i/>
                <w:iCs/>
              </w:rPr>
              <w:t>pdsch-AggregationFactor</w:t>
            </w:r>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等线"/>
                <w:szCs w:val="20"/>
                <w:lang w:val="en-GB"/>
              </w:rPr>
            </w:pPr>
            <w:r w:rsidRPr="001E399D">
              <w:rPr>
                <w:rFonts w:eastAsia="等线"/>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等线"/>
                <w:i/>
                <w:szCs w:val="20"/>
                <w:lang w:val="en-GB"/>
              </w:rPr>
              <w:t>K</w:t>
            </w:r>
            <w:r w:rsidRPr="001E399D">
              <w:rPr>
                <w:rFonts w:eastAsia="等线"/>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if </w:t>
            </w:r>
            <w:r w:rsidRPr="001E399D">
              <w:rPr>
                <w:rFonts w:eastAsia="等线"/>
                <w:i/>
                <w:szCs w:val="20"/>
                <w:lang w:val="x-none"/>
              </w:rPr>
              <w:t>numberofrepetitions</w:t>
            </w:r>
            <w:r w:rsidRPr="001E399D">
              <w:rPr>
                <w:rFonts w:eastAsia="等线"/>
                <w:szCs w:val="20"/>
                <w:lang w:val="x-none"/>
              </w:rPr>
              <w:t xml:space="preserve"> is present in the resource allocation table, the number of repetitions K is equal to </w:t>
            </w:r>
            <w:r w:rsidRPr="001E399D">
              <w:rPr>
                <w:rFonts w:eastAsia="等线"/>
                <w:i/>
                <w:szCs w:val="20"/>
                <w:lang w:val="x-none"/>
              </w:rPr>
              <w:t>numberofrepetitions</w:t>
            </w:r>
            <w:r w:rsidRPr="001E399D">
              <w:rPr>
                <w:rFonts w:eastAsia="等线"/>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elseif the UE is configured with </w:t>
            </w:r>
            <w:r w:rsidRPr="001E399D">
              <w:rPr>
                <w:rFonts w:eastAsia="等线"/>
                <w:i/>
                <w:szCs w:val="20"/>
                <w:lang w:val="x-none"/>
              </w:rPr>
              <w:t>pusch-AggregationFactor</w:t>
            </w:r>
            <w:r w:rsidRPr="001E399D">
              <w:rPr>
                <w:rFonts w:eastAsia="等线"/>
                <w:szCs w:val="20"/>
                <w:lang w:val="x-none"/>
              </w:rPr>
              <w:t xml:space="preserve">, the number of repetitions </w:t>
            </w:r>
            <w:r w:rsidRPr="001E399D">
              <w:rPr>
                <w:rFonts w:eastAsia="等线"/>
                <w:i/>
                <w:szCs w:val="20"/>
                <w:lang w:val="x-none"/>
              </w:rPr>
              <w:t>K</w:t>
            </w:r>
            <w:r w:rsidRPr="001E399D">
              <w:rPr>
                <w:rFonts w:eastAsia="等线"/>
                <w:szCs w:val="20"/>
                <w:lang w:val="x-none"/>
              </w:rPr>
              <w:t xml:space="preserve"> is equal to </w:t>
            </w:r>
            <w:r w:rsidRPr="001E399D">
              <w:rPr>
                <w:rFonts w:eastAsia="等线"/>
                <w:i/>
                <w:szCs w:val="20"/>
                <w:lang w:val="x-none"/>
              </w:rPr>
              <w:t>pusch-AggregationFactor</w:t>
            </w:r>
            <w:r w:rsidRPr="001E399D">
              <w:rPr>
                <w:rFonts w:eastAsia="等线"/>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等线"/>
                <w:szCs w:val="20"/>
                <w:lang w:val="x-none"/>
              </w:rPr>
            </w:pPr>
            <w:r w:rsidRPr="001E399D">
              <w:rPr>
                <w:rFonts w:eastAsia="等线"/>
                <w:szCs w:val="20"/>
                <w:lang w:val="x-none"/>
              </w:rPr>
              <w:t>-</w:t>
            </w:r>
            <w:r w:rsidRPr="001E399D">
              <w:rPr>
                <w:rFonts w:eastAsia="等线"/>
                <w:szCs w:val="20"/>
                <w:lang w:val="x-none"/>
              </w:rPr>
              <w:tab/>
              <w:t xml:space="preserve">otherwise </w:t>
            </w:r>
            <w:r w:rsidRPr="001E399D">
              <w:rPr>
                <w:rFonts w:eastAsia="等线"/>
                <w:i/>
                <w:szCs w:val="20"/>
                <w:lang w:val="x-none"/>
              </w:rPr>
              <w:t>K=1</w:t>
            </w:r>
            <w:r w:rsidRPr="001E399D">
              <w:rPr>
                <w:rFonts w:eastAsia="等线"/>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r>
              <w:rPr>
                <w:rFonts w:hint="eastAsia"/>
              </w:rPr>
              <w:t>S</w:t>
            </w:r>
            <w:r>
              <w:t>preadtrum</w:t>
            </w:r>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r w:rsidRPr="008D4CB7">
              <w:rPr>
                <w:i/>
                <w:highlight w:val="yellow"/>
              </w:rPr>
              <w:t>numberofrepetitions</w:t>
            </w:r>
            <w:r w:rsidRPr="008D4CB7">
              <w:rPr>
                <w:highlight w:val="yellow"/>
              </w:rPr>
              <w:t xml:space="preserve"> is present in the resource allocation table, the number of repetitions K is equal to </w:t>
            </w:r>
            <w:r w:rsidRPr="008D4CB7">
              <w:rPr>
                <w:i/>
                <w:highlight w:val="yellow"/>
              </w:rPr>
              <w:t>numberofrepetitions</w:t>
            </w:r>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elseif the UE is configured with </w:t>
            </w:r>
            <w:r w:rsidRPr="008D4CB7">
              <w:rPr>
                <w:i/>
                <w:highlight w:val="yellow"/>
              </w:rPr>
              <w:t>pusch-AggregationFactor</w:t>
            </w:r>
            <w:r w:rsidRPr="008D4CB7">
              <w:rPr>
                <w:highlight w:val="yellow"/>
              </w:rPr>
              <w:t xml:space="preserve">, the number of repetitions </w:t>
            </w:r>
            <w:r w:rsidRPr="008D4CB7">
              <w:rPr>
                <w:i/>
                <w:highlight w:val="yellow"/>
              </w:rPr>
              <w:t>K</w:t>
            </w:r>
            <w:r w:rsidRPr="008D4CB7">
              <w:rPr>
                <w:highlight w:val="yellow"/>
              </w:rPr>
              <w:t xml:space="preserve"> is equal to </w:t>
            </w:r>
            <w:r w:rsidRPr="008D4CB7">
              <w:rPr>
                <w:i/>
                <w:highlight w:val="yellow"/>
              </w:rPr>
              <w:t>pusch-AggregationFactor</w:t>
            </w:r>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HARQ-Ack,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AggregationFactor should not be configured/used). Otherwise, Type-1 HARQ-Ack codebook determination requires additional specification efforts.</w:t>
            </w:r>
            <w:r w:rsidR="00B306AA">
              <w:t xml:space="preserve"> Note that such an impact does not exists for the case of PUSCH in eURLLC (as it does not impact the HARQ-Ack).</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r w:rsidRPr="00256023">
              <w:rPr>
                <w:i/>
                <w:iCs/>
                <w:szCs w:val="20"/>
                <w:lang w:val="en-GB"/>
              </w:rPr>
              <w:t>pdsch-AggregationFactor</w:t>
            </w:r>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r w:rsidRPr="00256023">
              <w:rPr>
                <w:i/>
                <w:szCs w:val="20"/>
                <w:lang w:val="en-GB"/>
              </w:rPr>
              <w:t>pdsch-TimeDomainAllocationList</w:t>
            </w:r>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PDSCH-TimeDomainResourceAllocation</w:t>
            </w:r>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r w:rsidRPr="00256023">
              <w:rPr>
                <w:i/>
                <w:iCs/>
                <w:szCs w:val="20"/>
                <w:lang w:val="en-GB"/>
              </w:rPr>
              <w:t>pdsch-AggregationFactor</w:t>
            </w:r>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r w:rsidRPr="00256023">
              <w:rPr>
                <w:i/>
                <w:iCs/>
                <w:szCs w:val="20"/>
                <w:lang w:val="x-none" w:eastAsia="ko-KR"/>
              </w:rPr>
              <w:t>pdsch-TimeDomainAllocationList</w:t>
            </w:r>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w:t>
            </w:r>
            <w:r>
              <w:lastRenderedPageBreak/>
              <w:t xml:space="preserve">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lastRenderedPageBreak/>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r w:rsidRPr="004A4DD9">
              <w:rPr>
                <w:i/>
                <w:iCs/>
              </w:rPr>
              <w:t>AggregationFactor</w:t>
            </w:r>
            <w:r w:rsidRPr="004A4DD9">
              <w:t xml:space="preserve"> is configured. </w:t>
            </w:r>
            <w:r w:rsidR="007B22A2">
              <w:t xml:space="preserve">As alt.2 behaviour is already captured in </w:t>
            </w:r>
            <w:r w:rsidRPr="004A4DD9">
              <w:t>HARQ-Ack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Malgun Gothic"/>
                <w:lang w:eastAsia="ko-KR"/>
              </w:rPr>
            </w:pPr>
            <w:r>
              <w:rPr>
                <w:rFonts w:eastAsia="Malgun Gothic"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Regarding Proposal 1, </w:t>
            </w:r>
            <w:r>
              <w:rPr>
                <w:rFonts w:eastAsia="Malgun Gothic"/>
                <w:lang w:eastAsia="ko-KR"/>
              </w:rPr>
              <w:t>Alt 1 and 2 introduce unnecessary priority when both aggregation factor and repetition number are configured</w:t>
            </w:r>
            <w:r w:rsidR="001E1992">
              <w:rPr>
                <w:rFonts w:eastAsia="Malgun Gothic"/>
                <w:lang w:eastAsia="ko-KR"/>
              </w:rPr>
              <w:t>. Such configuration can be avoided by capturing “UE does not expect …” as Alt 3 and it is well aligned with Proposal 2 as well.</w:t>
            </w:r>
          </w:p>
        </w:tc>
      </w:tr>
      <w:tr w:rsidR="009D1467" w14:paraId="4B56CB86"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0E46347" w14:textId="1A899092" w:rsidR="009D1467" w:rsidRPr="009D1467" w:rsidRDefault="009D1467" w:rsidP="001C35D0">
            <w:pPr>
              <w:pStyle w:val="00Text"/>
              <w:rPr>
                <w:rFonts w:eastAsiaTheme="minorEastAsia"/>
              </w:rPr>
            </w:pPr>
            <w:r>
              <w:rPr>
                <w:rFonts w:eastAsia="Malgun Gothic" w:hint="eastAsia"/>
                <w:lang w:eastAsia="ko-KR"/>
              </w:rPr>
              <w:t>OPPO</w:t>
            </w:r>
            <w:r>
              <w:rPr>
                <w:rFonts w:eastAsiaTheme="minorEastAsia" w:hint="eastAsia"/>
              </w:rPr>
              <w:t>1</w:t>
            </w:r>
          </w:p>
        </w:tc>
        <w:tc>
          <w:tcPr>
            <w:tcW w:w="6484" w:type="dxa"/>
          </w:tcPr>
          <w:p w14:paraId="44C16BF1" w14:textId="0237F0EC" w:rsidR="009D1467" w:rsidRPr="009D1467" w:rsidRDefault="009D1467" w:rsidP="009D1467">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Regarding QC</w:t>
            </w:r>
            <w:r>
              <w:rPr>
                <w:rFonts w:eastAsiaTheme="minorEastAsia"/>
              </w:rPr>
              <w:t>’</w:t>
            </w:r>
            <w:r>
              <w:rPr>
                <w:rFonts w:eastAsiaTheme="minorEastAsia" w:hint="eastAsia"/>
              </w:rPr>
              <w:t>s comments, we don</w:t>
            </w:r>
            <w:r>
              <w:rPr>
                <w:rFonts w:eastAsiaTheme="minorEastAsia"/>
              </w:rPr>
              <w:t>’</w:t>
            </w:r>
            <w:r>
              <w:rPr>
                <w:rFonts w:eastAsiaTheme="minorEastAsia" w:hint="eastAsia"/>
              </w:rPr>
              <w:t xml:space="preserve">t think any modification is needed for </w:t>
            </w:r>
            <w:r>
              <w:t>Type-1 HARQ-A</w:t>
            </w:r>
            <w:r>
              <w:rPr>
                <w:rFonts w:hint="eastAsia"/>
              </w:rPr>
              <w:t xml:space="preserve">CK </w:t>
            </w:r>
            <w:r>
              <w:t>codebook determination</w:t>
            </w:r>
            <w:r>
              <w:rPr>
                <w:rFonts w:hint="eastAsia"/>
              </w:rPr>
              <w:t xml:space="preserve"> in 38.213. Even when </w:t>
            </w:r>
            <w:r w:rsidRPr="00256023">
              <w:rPr>
                <w:i/>
                <w:iCs/>
                <w:szCs w:val="20"/>
                <w:lang w:val="en-GB"/>
              </w:rPr>
              <w:t>pdsch-AggregationFactor</w:t>
            </w:r>
            <w:r>
              <w:rPr>
                <w:rFonts w:hint="eastAsia"/>
              </w:rPr>
              <w:t xml:space="preserve"> and </w:t>
            </w:r>
            <w:r w:rsidRPr="00256023">
              <w:rPr>
                <w:rFonts w:cs="Calibri"/>
                <w:i/>
                <w:iCs/>
                <w:szCs w:val="20"/>
                <w:lang w:val="en-GB"/>
              </w:rPr>
              <w:t>RepNumR16</w:t>
            </w:r>
            <w:r w:rsidRPr="00256023">
              <w:rPr>
                <w:szCs w:val="20"/>
                <w:lang w:val="en-GB"/>
              </w:rPr>
              <w:t xml:space="preserve"> </w:t>
            </w:r>
            <w:r>
              <w:rPr>
                <w:rFonts w:hint="eastAsia"/>
              </w:rPr>
              <w:t xml:space="preserve">are both configured, there is no issue with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Pr>
                <w:rFonts w:hint="eastAsia"/>
                <w:szCs w:val="20"/>
                <w:lang w:val="en-GB"/>
              </w:rPr>
              <w:t xml:space="preserve"> according to the rules in 38.213. And I don</w:t>
            </w:r>
            <w:r>
              <w:rPr>
                <w:szCs w:val="20"/>
                <w:lang w:val="en-GB"/>
              </w:rPr>
              <w:t>’</w:t>
            </w:r>
            <w:r>
              <w:rPr>
                <w:rFonts w:hint="eastAsia"/>
                <w:szCs w:val="20"/>
                <w:lang w:val="en-GB"/>
              </w:rPr>
              <w:t xml:space="preserve">t know why we need to </w:t>
            </w:r>
            <w:r>
              <w:rPr>
                <w:szCs w:val="20"/>
                <w:lang w:val="en-GB"/>
              </w:rPr>
              <w:t>restrict</w:t>
            </w:r>
            <w:r>
              <w:rPr>
                <w:rFonts w:hint="eastAsia"/>
                <w:szCs w:val="20"/>
                <w:lang w:val="en-GB"/>
              </w:rPr>
              <w:t xml:space="preserve"> </w:t>
            </w:r>
            <w:r>
              <w:rPr>
                <w:szCs w:val="20"/>
                <w:lang w:val="en-GB"/>
              </w:rPr>
              <w:t>configuration</w:t>
            </w:r>
            <w:r>
              <w:rPr>
                <w:rFonts w:hint="eastAsia"/>
                <w:szCs w:val="20"/>
                <w:lang w:val="en-GB"/>
              </w:rPr>
              <w:t xml:space="preserve"> of </w:t>
            </w:r>
            <w:r w:rsidRPr="00256023">
              <w:rPr>
                <w:i/>
                <w:iCs/>
                <w:szCs w:val="20"/>
                <w:lang w:val="en-GB"/>
              </w:rPr>
              <w:t>pdsch-AggregationFactor</w:t>
            </w:r>
            <w:r>
              <w:rPr>
                <w:rFonts w:hint="eastAsia"/>
                <w:i/>
                <w:iCs/>
                <w:szCs w:val="20"/>
                <w:lang w:val="en-GB"/>
              </w:rPr>
              <w:t xml:space="preserve"> </w:t>
            </w:r>
            <w:r w:rsidRPr="009D1467">
              <w:rPr>
                <w:rFonts w:hint="eastAsia"/>
                <w:iCs/>
                <w:szCs w:val="20"/>
                <w:lang w:val="en-GB"/>
              </w:rPr>
              <w:t xml:space="preserve">for DCI format 1_0 and 1_1, </w:t>
            </w:r>
            <w:r>
              <w:rPr>
                <w:rFonts w:hint="eastAsia"/>
                <w:iCs/>
                <w:szCs w:val="20"/>
                <w:lang w:val="en-GB"/>
              </w:rPr>
              <w:t>when</w:t>
            </w:r>
            <w:r w:rsidRPr="009D1467">
              <w:rPr>
                <w:rFonts w:hint="eastAsia"/>
                <w:iCs/>
                <w:szCs w:val="20"/>
                <w:lang w:val="en-GB"/>
              </w:rPr>
              <w:t xml:space="preserve"> </w:t>
            </w:r>
            <w:r>
              <w:rPr>
                <w:rFonts w:hint="eastAsia"/>
                <w:iCs/>
                <w:szCs w:val="20"/>
                <w:lang w:val="en-GB"/>
              </w:rPr>
              <w:t xml:space="preserve">gNB configures </w:t>
            </w:r>
            <w:r w:rsidRPr="00256023">
              <w:rPr>
                <w:rFonts w:cs="Calibri"/>
                <w:i/>
                <w:iCs/>
                <w:szCs w:val="20"/>
                <w:lang w:val="en-GB"/>
              </w:rPr>
              <w:t>RepNumR16</w:t>
            </w:r>
            <w:r>
              <w:rPr>
                <w:rFonts w:hint="eastAsia"/>
                <w:iCs/>
                <w:szCs w:val="20"/>
                <w:lang w:val="en-GB"/>
              </w:rPr>
              <w:t xml:space="preserve"> for URLLC for DCI format 1_2. Alt3 actually introduces additional </w:t>
            </w:r>
            <w:r>
              <w:rPr>
                <w:iCs/>
                <w:szCs w:val="20"/>
                <w:lang w:val="en-GB"/>
              </w:rPr>
              <w:t>scheduling</w:t>
            </w:r>
            <w:r>
              <w:rPr>
                <w:rFonts w:hint="eastAsia"/>
                <w:iCs/>
                <w:szCs w:val="20"/>
                <w:lang w:val="en-GB"/>
              </w:rPr>
              <w:t xml:space="preserve"> restriction.</w:t>
            </w:r>
          </w:p>
        </w:tc>
      </w:tr>
      <w:tr w:rsidR="00C91ECD" w14:paraId="61E64AB8"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E2C877" w14:textId="38865B42" w:rsidR="00C91ECD" w:rsidRDefault="00C91ECD" w:rsidP="00C91ECD">
            <w:pPr>
              <w:pStyle w:val="00Text"/>
              <w:rPr>
                <w:rFonts w:eastAsia="Malgun Gothic"/>
                <w:lang w:eastAsia="ko-KR"/>
              </w:rPr>
            </w:pPr>
            <w:r>
              <w:rPr>
                <w:rFonts w:eastAsia="Malgun Gothic" w:hint="eastAsia"/>
                <w:lang w:eastAsia="ko-KR"/>
              </w:rPr>
              <w:t>Samsung</w:t>
            </w:r>
          </w:p>
        </w:tc>
        <w:tc>
          <w:tcPr>
            <w:tcW w:w="6484" w:type="dxa"/>
          </w:tcPr>
          <w:p w14:paraId="1567C1BB"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Proposal 1 with Alt3, proposal 2, and proposal 3.</w:t>
            </w:r>
          </w:p>
          <w:p w14:paraId="487FD2BD" w14:textId="77777777"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In RAN1#99, we already discussed whether simultaneous configuration of </w:t>
            </w:r>
            <w:r w:rsidRPr="007C3529">
              <w:rPr>
                <w:rFonts w:eastAsia="Malgun Gothic"/>
                <w:i/>
                <w:lang w:eastAsia="ko-KR"/>
              </w:rPr>
              <w:t>RepetitionNumber-r16</w:t>
            </w:r>
            <w:r w:rsidRPr="007C3529">
              <w:rPr>
                <w:rFonts w:eastAsia="Malgun Gothic"/>
                <w:lang w:eastAsia="ko-KR"/>
              </w:rPr>
              <w:t xml:space="preserve"> and </w:t>
            </w:r>
            <w:r w:rsidRPr="007C3529">
              <w:rPr>
                <w:rFonts w:eastAsia="Malgun Gothic"/>
                <w:i/>
                <w:lang w:eastAsia="ko-KR"/>
              </w:rPr>
              <w:t>AggregationFactor</w:t>
            </w:r>
            <w:r>
              <w:rPr>
                <w:rFonts w:eastAsia="Malgun Gothic"/>
                <w:lang w:eastAsia="ko-KR"/>
              </w:rPr>
              <w:t xml:space="preserve"> is allowed or not. We concluded to not support any additional cases except the rows in the following agreement. So Alt3 is exactly what we’ve agreed for Proposal 1.</w:t>
            </w:r>
          </w:p>
          <w:tbl>
            <w:tblPr>
              <w:tblStyle w:val="af0"/>
              <w:tblW w:w="0" w:type="auto"/>
              <w:tblLayout w:type="fixed"/>
              <w:tblLook w:val="04A0" w:firstRow="1" w:lastRow="0" w:firstColumn="1" w:lastColumn="0" w:noHBand="0" w:noVBand="1"/>
            </w:tblPr>
            <w:tblGrid>
              <w:gridCol w:w="6253"/>
            </w:tblGrid>
            <w:tr w:rsidR="00C91ECD" w14:paraId="77C12384"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C91ECD" w:rsidRPr="007C3529" w14:paraId="671711C9" w14:textId="77777777" w:rsidTr="00B96462">
                    <w:trPr>
                      <w:trHeight w:val="226"/>
                    </w:trPr>
                    <w:tc>
                      <w:tcPr>
                        <w:tcW w:w="1016" w:type="dxa"/>
                        <w:shd w:val="clear" w:color="auto" w:fill="auto"/>
                      </w:tcPr>
                      <w:p w14:paraId="6AC47227" w14:textId="77777777" w:rsidR="00C91ECD" w:rsidRPr="007C3529" w:rsidRDefault="00C91ECD" w:rsidP="00C91ECD">
                        <w:pPr>
                          <w:rPr>
                            <w:rFonts w:ascii="Times" w:eastAsia="Batang" w:hAnsi="Times" w:cs="Times"/>
                            <w:color w:val="000000"/>
                            <w:sz w:val="10"/>
                            <w:szCs w:val="20"/>
                            <w:lang w:val="en-GB"/>
                          </w:rPr>
                        </w:pPr>
                      </w:p>
                    </w:tc>
                    <w:tc>
                      <w:tcPr>
                        <w:tcW w:w="502" w:type="dxa"/>
                        <w:shd w:val="clear" w:color="auto" w:fill="auto"/>
                      </w:tcPr>
                      <w:p w14:paraId="0D5C25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  TCI states</w:t>
                        </w:r>
                      </w:p>
                    </w:tc>
                    <w:tc>
                      <w:tcPr>
                        <w:tcW w:w="603" w:type="dxa"/>
                        <w:shd w:val="clear" w:color="auto" w:fill="auto"/>
                      </w:tcPr>
                      <w:p w14:paraId="231E19B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CDM groups</w:t>
                        </w:r>
                      </w:p>
                    </w:tc>
                    <w:tc>
                      <w:tcPr>
                        <w:tcW w:w="702" w:type="dxa"/>
                        <w:shd w:val="clear" w:color="auto" w:fill="auto"/>
                      </w:tcPr>
                      <w:p w14:paraId="54CD605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URLLCRepNum</w:t>
                        </w:r>
                      </w:p>
                    </w:tc>
                    <w:tc>
                      <w:tcPr>
                        <w:tcW w:w="1004" w:type="dxa"/>
                        <w:shd w:val="clear" w:color="auto" w:fill="auto"/>
                      </w:tcPr>
                      <w:p w14:paraId="65F5C1C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URLLCSchemeEnabler</w:t>
                        </w:r>
                      </w:p>
                    </w:tc>
                    <w:tc>
                      <w:tcPr>
                        <w:tcW w:w="1980" w:type="dxa"/>
                        <w:shd w:val="clear" w:color="auto" w:fill="auto"/>
                      </w:tcPr>
                      <w:p w14:paraId="201880E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UE Behavior </w:t>
                        </w:r>
                      </w:p>
                    </w:tc>
                  </w:tr>
                  <w:tr w:rsidR="00C91ECD" w:rsidRPr="007C3529" w14:paraId="324DB840" w14:textId="77777777" w:rsidTr="00B96462">
                    <w:trPr>
                      <w:trHeight w:val="205"/>
                    </w:trPr>
                    <w:tc>
                      <w:tcPr>
                        <w:tcW w:w="1016" w:type="dxa"/>
                        <w:shd w:val="clear" w:color="auto" w:fill="auto"/>
                      </w:tcPr>
                      <w:p w14:paraId="7B1238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0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05093AA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4E1BDDA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1E141AD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004" w:type="dxa"/>
                        <w:shd w:val="clear" w:color="auto" w:fill="auto"/>
                      </w:tcPr>
                      <w:p w14:paraId="0456F15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 applicable</w:t>
                        </w:r>
                      </w:p>
                    </w:tc>
                    <w:tc>
                      <w:tcPr>
                        <w:tcW w:w="1980" w:type="dxa"/>
                        <w:shd w:val="clear" w:color="auto" w:fill="auto"/>
                      </w:tcPr>
                      <w:p w14:paraId="16756FC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Rel 15 </w:t>
                        </w:r>
                      </w:p>
                    </w:tc>
                  </w:tr>
                  <w:tr w:rsidR="00C91ECD" w:rsidRPr="007C3529" w14:paraId="3A73BB01" w14:textId="77777777" w:rsidTr="00B96462">
                    <w:trPr>
                      <w:trHeight w:val="453"/>
                    </w:trPr>
                    <w:tc>
                      <w:tcPr>
                        <w:tcW w:w="1016" w:type="dxa"/>
                        <w:shd w:val="clear" w:color="auto" w:fill="auto"/>
                      </w:tcPr>
                      <w:p w14:paraId="6AA247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6E98AC0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720B67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3A8C6C8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382CA1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or not configured </w:t>
                        </w:r>
                      </w:p>
                    </w:tc>
                    <w:tc>
                      <w:tcPr>
                        <w:tcW w:w="1980" w:type="dxa"/>
                        <w:shd w:val="clear" w:color="auto" w:fill="auto"/>
                      </w:tcPr>
                      <w:p w14:paraId="234834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 with repetition from the same TRP</w:t>
                        </w:r>
                      </w:p>
                      <w:p w14:paraId="2403A23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Limitations agreed for Scheme 4 apply</w:t>
                        </w:r>
                      </w:p>
                    </w:tc>
                  </w:tr>
                  <w:tr w:rsidR="00C91ECD" w:rsidRPr="007C3529" w14:paraId="6C695C08" w14:textId="77777777" w:rsidTr="00B96462">
                    <w:trPr>
                      <w:trHeight w:val="205"/>
                    </w:trPr>
                    <w:tc>
                      <w:tcPr>
                        <w:tcW w:w="1016" w:type="dxa"/>
                        <w:shd w:val="clear" w:color="auto" w:fill="auto"/>
                      </w:tcPr>
                      <w:p w14:paraId="04D9DBBA"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A’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4CF113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06D3352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FAA12E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6AA3C83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2844A48C"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Rel 15 </w:t>
                        </w:r>
                      </w:p>
                    </w:tc>
                  </w:tr>
                  <w:tr w:rsidR="00C91ECD" w:rsidRPr="007C3529" w14:paraId="05721C12" w14:textId="77777777" w:rsidTr="00B96462">
                    <w:trPr>
                      <w:trHeight w:val="226"/>
                    </w:trPr>
                    <w:tc>
                      <w:tcPr>
                        <w:tcW w:w="1016" w:type="dxa"/>
                        <w:shd w:val="clear" w:color="auto" w:fill="auto"/>
                      </w:tcPr>
                      <w:p w14:paraId="20FCA2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B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6F500F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50330CB3"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17B0A5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1</w:t>
                        </w:r>
                      </w:p>
                    </w:tc>
                    <w:tc>
                      <w:tcPr>
                        <w:tcW w:w="1004" w:type="dxa"/>
                        <w:shd w:val="clear" w:color="auto" w:fill="auto"/>
                      </w:tcPr>
                      <w:p w14:paraId="78497B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361CAEF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4</w:t>
                        </w:r>
                      </w:p>
                    </w:tc>
                  </w:tr>
                  <w:tr w:rsidR="00C91ECD" w:rsidRPr="007C3529" w14:paraId="626748EF" w14:textId="77777777" w:rsidTr="00B96462">
                    <w:trPr>
                      <w:trHeight w:val="205"/>
                    </w:trPr>
                    <w:tc>
                      <w:tcPr>
                        <w:tcW w:w="1016" w:type="dxa"/>
                        <w:shd w:val="clear" w:color="auto" w:fill="auto"/>
                      </w:tcPr>
                      <w:p w14:paraId="05AB913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21EDD68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3C4C9938"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19EC37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22BCDEE8"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42C032BD"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6F9C1CDC" w14:textId="77777777" w:rsidTr="00B96462">
                    <w:trPr>
                      <w:trHeight w:val="226"/>
                    </w:trPr>
                    <w:tc>
                      <w:tcPr>
                        <w:tcW w:w="1016" w:type="dxa"/>
                        <w:shd w:val="clear" w:color="auto" w:fill="auto"/>
                      </w:tcPr>
                      <w:p w14:paraId="2F65F59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E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758B192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74513766" w14:textId="77777777" w:rsidR="00C91ECD" w:rsidRPr="007C3529" w:rsidRDefault="00C91ECD" w:rsidP="00C91ECD">
                        <w:pPr>
                          <w:rPr>
                            <w:rFonts w:ascii="Times" w:eastAsia="Batang" w:hAnsi="Times" w:cs="Times"/>
                            <w:color w:val="FF0000"/>
                            <w:sz w:val="10"/>
                            <w:szCs w:val="20"/>
                            <w:lang w:val="en-GB"/>
                          </w:rPr>
                        </w:pPr>
                        <w:r w:rsidRPr="007C3529">
                          <w:rPr>
                            <w:rFonts w:ascii="Times" w:eastAsia="Batang" w:hAnsi="Times" w:cs="Times"/>
                            <w:color w:val="FF0000"/>
                            <w:sz w:val="10"/>
                            <w:szCs w:val="20"/>
                            <w:lang w:val="en-GB"/>
                          </w:rPr>
                          <w:t>2</w:t>
                        </w:r>
                      </w:p>
                    </w:tc>
                    <w:tc>
                      <w:tcPr>
                        <w:tcW w:w="702" w:type="dxa"/>
                        <w:shd w:val="clear" w:color="auto" w:fill="auto"/>
                      </w:tcPr>
                      <w:p w14:paraId="6AC7277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5429B62"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Not configured </w:t>
                        </w:r>
                      </w:p>
                    </w:tc>
                    <w:tc>
                      <w:tcPr>
                        <w:tcW w:w="1980" w:type="dxa"/>
                        <w:shd w:val="clear" w:color="auto" w:fill="auto"/>
                      </w:tcPr>
                      <w:p w14:paraId="174FE8A1"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4E6852A2" w14:textId="77777777" w:rsidTr="00B96462">
                    <w:trPr>
                      <w:trHeight w:val="226"/>
                    </w:trPr>
                    <w:tc>
                      <w:tcPr>
                        <w:tcW w:w="1016" w:type="dxa"/>
                        <w:shd w:val="clear" w:color="auto" w:fill="auto"/>
                      </w:tcPr>
                      <w:p w14:paraId="530C22D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F (</w:t>
                        </w:r>
                        <w:r w:rsidRPr="007C3529">
                          <w:rPr>
                            <w:rFonts w:ascii="Times" w:eastAsia="Batang" w:hAnsi="Times" w:cs="Times"/>
                            <w:sz w:val="10"/>
                            <w:szCs w:val="20"/>
                            <w:lang w:val="en-GB"/>
                          </w:rPr>
                          <w:t>in spec draft</w:t>
                        </w:r>
                        <w:r w:rsidRPr="007C3529">
                          <w:rPr>
                            <w:rFonts w:ascii="Times" w:eastAsia="Batang" w:hAnsi="Times" w:cs="Times"/>
                            <w:color w:val="000000"/>
                            <w:sz w:val="10"/>
                            <w:szCs w:val="20"/>
                            <w:lang w:val="en-GB"/>
                          </w:rPr>
                          <w:t>)</w:t>
                        </w:r>
                      </w:p>
                    </w:tc>
                    <w:tc>
                      <w:tcPr>
                        <w:tcW w:w="502" w:type="dxa"/>
                        <w:shd w:val="clear" w:color="auto" w:fill="auto"/>
                      </w:tcPr>
                      <w:p w14:paraId="13A1D3A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4241419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702" w:type="dxa"/>
                        <w:shd w:val="clear" w:color="auto" w:fill="auto"/>
                      </w:tcPr>
                      <w:p w14:paraId="5C7E708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79B0FFF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165823F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Scheme 2a/2b/3</w:t>
                        </w:r>
                      </w:p>
                    </w:tc>
                  </w:tr>
                  <w:tr w:rsidR="00C91ECD" w:rsidRPr="007C3529" w14:paraId="3380BEDE" w14:textId="77777777" w:rsidTr="00B96462">
                    <w:trPr>
                      <w:trHeight w:val="205"/>
                    </w:trPr>
                    <w:tc>
                      <w:tcPr>
                        <w:tcW w:w="1016" w:type="dxa"/>
                        <w:shd w:val="clear" w:color="auto" w:fill="auto"/>
                      </w:tcPr>
                      <w:p w14:paraId="1336E88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D’’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3C82FDB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603" w:type="dxa"/>
                        <w:shd w:val="clear" w:color="auto" w:fill="auto"/>
                      </w:tcPr>
                      <w:p w14:paraId="084C800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2</w:t>
                        </w:r>
                      </w:p>
                    </w:tc>
                    <w:tc>
                      <w:tcPr>
                        <w:tcW w:w="702" w:type="dxa"/>
                        <w:shd w:val="clear" w:color="auto" w:fill="auto"/>
                      </w:tcPr>
                      <w:p w14:paraId="79D8032C"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6EFEBA80"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3D45A2B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1a/NCJT</w:t>
                        </w:r>
                      </w:p>
                    </w:tc>
                  </w:tr>
                  <w:tr w:rsidR="00C91ECD" w:rsidRPr="007C3529" w14:paraId="5C9E4AC9" w14:textId="77777777" w:rsidTr="00B96462">
                    <w:trPr>
                      <w:trHeight w:val="226"/>
                    </w:trPr>
                    <w:tc>
                      <w:tcPr>
                        <w:tcW w:w="1016" w:type="dxa"/>
                        <w:shd w:val="clear" w:color="auto" w:fill="auto"/>
                      </w:tcPr>
                      <w:p w14:paraId="6D2729CE"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127BB7E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2F4ADA55"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65A6B84F"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2</w:t>
                        </w:r>
                      </w:p>
                    </w:tc>
                    <w:tc>
                      <w:tcPr>
                        <w:tcW w:w="1004" w:type="dxa"/>
                        <w:shd w:val="clear" w:color="auto" w:fill="auto"/>
                      </w:tcPr>
                      <w:p w14:paraId="47F988D6"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B036749"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Rel 15 </w:t>
                        </w:r>
                      </w:p>
                    </w:tc>
                  </w:tr>
                  <w:tr w:rsidR="00C91ECD" w:rsidRPr="007C3529" w14:paraId="0AE521F7" w14:textId="77777777" w:rsidTr="00B96462">
                    <w:trPr>
                      <w:trHeight w:val="226"/>
                    </w:trPr>
                    <w:tc>
                      <w:tcPr>
                        <w:tcW w:w="1016" w:type="dxa"/>
                        <w:shd w:val="clear" w:color="auto" w:fill="auto"/>
                      </w:tcPr>
                      <w:p w14:paraId="3FA7F71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 (</w:t>
                        </w:r>
                        <w:r w:rsidRPr="007C3529">
                          <w:rPr>
                            <w:rFonts w:ascii="Times" w:eastAsia="Batang" w:hAnsi="Times" w:cs="Times"/>
                            <w:sz w:val="10"/>
                            <w:szCs w:val="20"/>
                            <w:lang w:val="en-GB"/>
                          </w:rPr>
                          <w:t>one scheme</w:t>
                        </w:r>
                        <w:r w:rsidRPr="007C3529">
                          <w:rPr>
                            <w:rFonts w:ascii="Times" w:eastAsia="Batang" w:hAnsi="Times" w:cs="Times"/>
                            <w:color w:val="000000"/>
                            <w:sz w:val="10"/>
                            <w:szCs w:val="20"/>
                            <w:lang w:val="en-GB"/>
                          </w:rPr>
                          <w:t>)</w:t>
                        </w:r>
                      </w:p>
                    </w:tc>
                    <w:tc>
                      <w:tcPr>
                        <w:tcW w:w="502" w:type="dxa"/>
                        <w:shd w:val="clear" w:color="auto" w:fill="auto"/>
                      </w:tcPr>
                      <w:p w14:paraId="29BFAAD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1</w:t>
                        </w:r>
                      </w:p>
                    </w:tc>
                    <w:tc>
                      <w:tcPr>
                        <w:tcW w:w="603" w:type="dxa"/>
                        <w:shd w:val="clear" w:color="auto" w:fill="auto"/>
                      </w:tcPr>
                      <w:p w14:paraId="3909C06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&gt;=1</w:t>
                        </w:r>
                      </w:p>
                    </w:tc>
                    <w:tc>
                      <w:tcPr>
                        <w:tcW w:w="702" w:type="dxa"/>
                        <w:shd w:val="clear" w:color="auto" w:fill="auto"/>
                      </w:tcPr>
                      <w:p w14:paraId="46267E5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Condition 4</w:t>
                        </w:r>
                      </w:p>
                    </w:tc>
                    <w:tc>
                      <w:tcPr>
                        <w:tcW w:w="1004" w:type="dxa"/>
                        <w:shd w:val="clear" w:color="auto" w:fill="auto"/>
                      </w:tcPr>
                      <w:p w14:paraId="4DC9AA6B"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Configured </w:t>
                        </w:r>
                      </w:p>
                    </w:tc>
                    <w:tc>
                      <w:tcPr>
                        <w:tcW w:w="1980" w:type="dxa"/>
                        <w:shd w:val="clear" w:color="auto" w:fill="auto"/>
                      </w:tcPr>
                      <w:p w14:paraId="4C9BAA67"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 xml:space="preserve">Rel 15 </w:t>
                        </w:r>
                      </w:p>
                    </w:tc>
                  </w:tr>
                </w:tbl>
                <w:p w14:paraId="1354AD77" w14:textId="77777777" w:rsidR="00C91ECD" w:rsidRPr="007C3529" w:rsidRDefault="00C91ECD" w:rsidP="00C91ECD">
                  <w:pPr>
                    <w:rPr>
                      <w:rFonts w:ascii="Times" w:eastAsia="Batang" w:hAnsi="Times" w:cs="Times"/>
                      <w:b/>
                      <w:bCs/>
                      <w:sz w:val="10"/>
                      <w:szCs w:val="20"/>
                      <w:highlight w:val="green"/>
                      <w:lang w:val="en-GB" w:eastAsia="x-none"/>
                    </w:rPr>
                  </w:pPr>
                  <w:r w:rsidRPr="007C3529">
                    <w:rPr>
                      <w:rFonts w:ascii="Times" w:eastAsia="Batang" w:hAnsi="Times" w:cs="Times"/>
                      <w:b/>
                      <w:bCs/>
                      <w:sz w:val="10"/>
                      <w:szCs w:val="20"/>
                      <w:highlight w:val="green"/>
                      <w:lang w:val="en-GB" w:eastAsia="x-none"/>
                    </w:rPr>
                    <w:t>Agreement</w:t>
                  </w:r>
                </w:p>
                <w:p w14:paraId="328F7291" w14:textId="77777777" w:rsidR="00C91ECD" w:rsidRPr="007C3529" w:rsidRDefault="00C91ECD" w:rsidP="00C91ECD">
                  <w:pPr>
                    <w:jc w:val="both"/>
                    <w:rPr>
                      <w:rFonts w:ascii="Times" w:eastAsia="Batang" w:hAnsi="Times" w:cs="Times"/>
                      <w:sz w:val="10"/>
                      <w:szCs w:val="20"/>
                      <w:lang w:val="en-GB"/>
                    </w:rPr>
                  </w:pPr>
                  <w:r w:rsidRPr="007C3529">
                    <w:rPr>
                      <w:rFonts w:ascii="Times" w:eastAsia="Batang" w:hAnsi="Times" w:cs="Times"/>
                      <w:sz w:val="10"/>
                      <w:szCs w:val="20"/>
                      <w:lang w:val="en-GB"/>
                    </w:rPr>
                    <w:t>Following TCI state and joint schemes are supported</w:t>
                  </w:r>
                </w:p>
                <w:p w14:paraId="442AF154" w14:textId="77777777" w:rsidR="00C91ECD" w:rsidRPr="007C3529" w:rsidRDefault="00C91ECD" w:rsidP="00C91ECD">
                  <w:pPr>
                    <w:rPr>
                      <w:rFonts w:ascii="Times" w:eastAsia="Batang" w:hAnsi="Times" w:cs="Times"/>
                      <w:color w:val="000000"/>
                      <w:sz w:val="10"/>
                      <w:szCs w:val="20"/>
                      <w:lang w:val="en-GB"/>
                    </w:rPr>
                  </w:pPr>
                  <w:r w:rsidRPr="007C3529">
                    <w:rPr>
                      <w:rFonts w:ascii="Times" w:eastAsia="Batang" w:hAnsi="Times" w:cs="Times"/>
                      <w:color w:val="000000"/>
                      <w:sz w:val="10"/>
                      <w:szCs w:val="20"/>
                      <w:lang w:val="en-GB"/>
                    </w:rPr>
                    <w:t>Note:</w:t>
                  </w:r>
                </w:p>
                <w:p w14:paraId="3E78F663"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sz w:val="10"/>
                      <w:szCs w:val="20"/>
                      <w:lang w:val="en-GB" w:eastAsia="ja-JP"/>
                    </w:rPr>
                    <w:t xml:space="preserve">Condition 1: </w:t>
                  </w:r>
                  <w:r w:rsidRPr="007C3529">
                    <w:rPr>
                      <w:rFonts w:eastAsia="宋体" w:cs="Times"/>
                      <w:color w:val="000000"/>
                      <w:sz w:val="10"/>
                      <w:szCs w:val="20"/>
                      <w:lang w:val="en-GB" w:eastAsia="ja-JP"/>
                    </w:rPr>
                    <w:t xml:space="preserve">indicates </w:t>
                  </w:r>
                  <w:r w:rsidRPr="007C3529">
                    <w:rPr>
                      <w:rFonts w:eastAsia="宋体" w:cs="Times"/>
                      <w:strike/>
                      <w:color w:val="FF0000"/>
                      <w:sz w:val="10"/>
                      <w:szCs w:val="20"/>
                      <w:lang w:val="en-GB" w:eastAsia="ja-JP"/>
                    </w:rPr>
                    <w:t>at least</w:t>
                  </w:r>
                  <w:r w:rsidRPr="007C3529">
                    <w:rPr>
                      <w:rFonts w:eastAsia="宋体" w:cs="Times"/>
                      <w:color w:val="000000"/>
                      <w:sz w:val="10"/>
                      <w:szCs w:val="20"/>
                      <w:lang w:val="en-GB" w:eastAsia="ja-JP"/>
                    </w:rPr>
                    <w:t xml:space="preserve"> one entry in </w:t>
                  </w:r>
                  <w:r w:rsidRPr="007C3529">
                    <w:rPr>
                      <w:rFonts w:eastAsia="宋体" w:cs="Times"/>
                      <w:i/>
                      <w:iCs/>
                      <w:sz w:val="10"/>
                      <w:szCs w:val="20"/>
                      <w:lang w:val="en-GB" w:eastAsia="ja-JP"/>
                    </w:rPr>
                    <w:t xml:space="preserve">pdsch-TimeDomainAllocationList </w:t>
                  </w:r>
                  <w:r w:rsidRPr="007C3529">
                    <w:rPr>
                      <w:rFonts w:eastAsia="宋体" w:cs="Times"/>
                      <w:iCs/>
                      <w:sz w:val="10"/>
                      <w:szCs w:val="20"/>
                      <w:lang w:val="en-GB" w:eastAsia="ja-JP"/>
                    </w:rPr>
                    <w:t>containing</w:t>
                  </w:r>
                  <w:r w:rsidRPr="007C3529">
                    <w:rPr>
                      <w:rFonts w:eastAsia="宋体" w:cs="Times"/>
                      <w:i/>
                      <w:iCs/>
                      <w:sz w:val="10"/>
                      <w:szCs w:val="20"/>
                      <w:lang w:val="en-GB" w:eastAsia="ja-JP"/>
                    </w:rPr>
                    <w:t xml:space="preserve"> </w:t>
                  </w:r>
                  <w:r w:rsidRPr="007C3529">
                    <w:rPr>
                      <w:rFonts w:eastAsia="宋体" w:cs="Times"/>
                      <w:i/>
                      <w:color w:val="000000"/>
                      <w:sz w:val="10"/>
                      <w:szCs w:val="20"/>
                      <w:lang w:val="en-GB" w:eastAsia="ja-JP"/>
                    </w:rPr>
                    <w:t>URLLCRepNum</w:t>
                  </w:r>
                  <w:r w:rsidRPr="007C3529">
                    <w:rPr>
                      <w:rFonts w:eastAsia="宋体" w:cs="Times"/>
                      <w:color w:val="000000"/>
                      <w:sz w:val="10"/>
                      <w:szCs w:val="20"/>
                      <w:lang w:val="en-GB" w:eastAsia="ja-JP"/>
                    </w:rPr>
                    <w:t xml:space="preserve"> (&gt;1) in </w:t>
                  </w:r>
                  <w:r w:rsidRPr="007C3529">
                    <w:rPr>
                      <w:rFonts w:eastAsia="宋体" w:cs="Times"/>
                      <w:i/>
                      <w:color w:val="000000"/>
                      <w:sz w:val="10"/>
                      <w:szCs w:val="20"/>
                      <w:lang w:val="en-GB" w:eastAsia="ja-JP"/>
                    </w:rPr>
                    <w:t xml:space="preserve">TDRA </w:t>
                  </w:r>
                  <w:r w:rsidRPr="007C3529">
                    <w:rPr>
                      <w:rFonts w:eastAsia="宋体" w:cs="Times"/>
                      <w:i/>
                      <w:color w:val="FF0000"/>
                      <w:sz w:val="10"/>
                      <w:szCs w:val="20"/>
                      <w:lang w:val="en-GB" w:eastAsia="ja-JP"/>
                    </w:rPr>
                    <w:t>by DCI</w:t>
                  </w:r>
                </w:p>
                <w:p w14:paraId="419109C2" w14:textId="77777777" w:rsidR="00C91ECD" w:rsidRPr="007C3529" w:rsidRDefault="00C91ECD" w:rsidP="00C91ECD">
                  <w:pPr>
                    <w:numPr>
                      <w:ilvl w:val="0"/>
                      <w:numId w:val="10"/>
                    </w:numPr>
                    <w:contextualSpacing/>
                    <w:rPr>
                      <w:rFonts w:eastAsia="宋体" w:cs="Times"/>
                      <w:color w:val="000000"/>
                      <w:sz w:val="10"/>
                      <w:szCs w:val="20"/>
                      <w:lang w:val="en-GB" w:eastAsia="ja-JP"/>
                    </w:rPr>
                  </w:pPr>
                  <w:r w:rsidRPr="007C3529">
                    <w:rPr>
                      <w:rFonts w:eastAsia="宋体" w:cs="Times"/>
                      <w:color w:val="000000"/>
                      <w:sz w:val="10"/>
                      <w:szCs w:val="20"/>
                      <w:lang w:val="en-GB" w:eastAsia="ja-JP"/>
                    </w:rPr>
                    <w:t xml:space="preserve">Condition 2: indicates one entry in </w:t>
                  </w:r>
                  <w:r w:rsidRPr="007C3529">
                    <w:rPr>
                      <w:rFonts w:eastAsia="宋体" w:cs="Times"/>
                      <w:i/>
                      <w:iCs/>
                      <w:sz w:val="10"/>
                      <w:szCs w:val="20"/>
                      <w:lang w:val="en-GB" w:eastAsia="ja-JP"/>
                    </w:rPr>
                    <w:t xml:space="preserve">pdsch-TimeDomainAllocationList </w:t>
                  </w:r>
                  <w:r w:rsidRPr="007C3529">
                    <w:rPr>
                      <w:rFonts w:eastAsia="宋体" w:cs="Times"/>
                      <w:iCs/>
                      <w:sz w:val="10"/>
                      <w:szCs w:val="20"/>
                      <w:lang w:val="en-GB" w:eastAsia="ja-JP"/>
                    </w:rPr>
                    <w:t>having no</w:t>
                  </w:r>
                  <w:r w:rsidRPr="007C3529">
                    <w:rPr>
                      <w:rFonts w:eastAsia="宋体" w:cs="Times"/>
                      <w:i/>
                      <w:iCs/>
                      <w:sz w:val="10"/>
                      <w:szCs w:val="20"/>
                      <w:lang w:val="en-GB" w:eastAsia="ja-JP"/>
                    </w:rPr>
                    <w:t xml:space="preserve"> </w:t>
                  </w:r>
                  <w:r w:rsidRPr="007C3529">
                    <w:rPr>
                      <w:rFonts w:eastAsia="宋体" w:cs="Times"/>
                      <w:i/>
                      <w:color w:val="000000"/>
                      <w:sz w:val="10"/>
                      <w:szCs w:val="20"/>
                      <w:lang w:val="en-GB" w:eastAsia="ja-JP"/>
                    </w:rPr>
                    <w:t xml:space="preserve">URLLCRepNum </w:t>
                  </w:r>
                  <w:r w:rsidRPr="007C3529">
                    <w:rPr>
                      <w:rFonts w:eastAsia="宋体" w:cs="Times"/>
                      <w:i/>
                      <w:color w:val="FF0000"/>
                      <w:sz w:val="10"/>
                      <w:szCs w:val="20"/>
                      <w:lang w:val="en-GB" w:eastAsia="ja-JP"/>
                    </w:rPr>
                    <w:t>by DCI</w:t>
                  </w:r>
                  <w:r w:rsidRPr="007C3529">
                    <w:rPr>
                      <w:rFonts w:eastAsia="宋体" w:cs="Times"/>
                      <w:color w:val="000000"/>
                      <w:sz w:val="10"/>
                      <w:szCs w:val="20"/>
                      <w:lang w:val="en-GB" w:eastAsia="ja-JP"/>
                    </w:rPr>
                    <w:t>, but at least one entry having URLLCRepNum</w:t>
                  </w:r>
                </w:p>
                <w:p w14:paraId="7430307D" w14:textId="77777777" w:rsidR="00C91ECD" w:rsidRPr="007C3529" w:rsidRDefault="00C91ECD" w:rsidP="00C91ECD">
                  <w:pPr>
                    <w:numPr>
                      <w:ilvl w:val="0"/>
                      <w:numId w:val="10"/>
                    </w:numPr>
                    <w:contextualSpacing/>
                    <w:rPr>
                      <w:rFonts w:eastAsia="宋体" w:cs="Times"/>
                      <w:color w:val="FF0000"/>
                      <w:sz w:val="10"/>
                      <w:szCs w:val="20"/>
                      <w:lang w:val="en-GB" w:eastAsia="ja-JP"/>
                    </w:rPr>
                  </w:pPr>
                  <w:r w:rsidRPr="007C3529">
                    <w:rPr>
                      <w:rFonts w:eastAsia="宋体" w:cs="Times"/>
                      <w:color w:val="FF0000"/>
                      <w:sz w:val="10"/>
                      <w:szCs w:val="20"/>
                      <w:lang w:val="en-GB" w:eastAsia="ja-JP"/>
                    </w:rPr>
                    <w:t xml:space="preserve">Condition 4: None of entry in TDRA contains </w:t>
                  </w:r>
                  <w:r w:rsidRPr="007C3529">
                    <w:rPr>
                      <w:rFonts w:eastAsia="宋体" w:cs="Times"/>
                      <w:i/>
                      <w:iCs/>
                      <w:color w:val="FF0000"/>
                      <w:sz w:val="10"/>
                      <w:szCs w:val="20"/>
                      <w:lang w:val="en-GB" w:eastAsia="ja-JP"/>
                    </w:rPr>
                    <w:t>URLLCRepNum</w:t>
                  </w:r>
                </w:p>
              </w:tc>
            </w:tr>
          </w:tbl>
          <w:p w14:paraId="3F315067" w14:textId="477C85C0" w:rsidR="00C91ECD" w:rsidRDefault="00C91ECD" w:rsidP="00C91ECD">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Malgun Gothic" w:hint="eastAsia"/>
                <w:lang w:eastAsia="ko-KR"/>
              </w:rPr>
              <w:t>Support Proposal 2 for the same reason.</w:t>
            </w:r>
          </w:p>
        </w:tc>
      </w:tr>
      <w:tr w:rsidR="003251E0" w14:paraId="1543FBE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E0604EA" w14:textId="18F61EF2" w:rsidR="003251E0" w:rsidRDefault="003251E0" w:rsidP="003251E0">
            <w:pPr>
              <w:pStyle w:val="00Text"/>
              <w:rPr>
                <w:rFonts w:eastAsia="Malgun Gothic" w:hint="eastAsia"/>
                <w:lang w:eastAsia="ko-KR"/>
              </w:rPr>
            </w:pPr>
            <w:bookmarkStart w:id="8" w:name="_GoBack" w:colFirst="0" w:colLast="-1"/>
            <w:r>
              <w:rPr>
                <w:rFonts w:hint="eastAsia"/>
                <w:b w:val="0"/>
                <w:bCs w:val="0"/>
              </w:rPr>
              <w:t>N</w:t>
            </w:r>
            <w:r>
              <w:rPr>
                <w:b w:val="0"/>
                <w:bCs w:val="0"/>
              </w:rPr>
              <w:t>TT DOCOMO</w:t>
            </w:r>
          </w:p>
        </w:tc>
        <w:tc>
          <w:tcPr>
            <w:tcW w:w="6484" w:type="dxa"/>
          </w:tcPr>
          <w:p w14:paraId="350DDEAA" w14:textId="77777777"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Alt.2 in proposal 1, and also support proposal 2 and proposal 3.</w:t>
            </w:r>
          </w:p>
          <w:p w14:paraId="67F74CA3" w14:textId="7023F4CC" w:rsidR="003251E0" w:rsidRDefault="003251E0" w:rsidP="003251E0">
            <w:pPr>
              <w:pStyle w:val="00Text"/>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hint="eastAsia"/>
              </w:rPr>
              <w:t>F</w:t>
            </w:r>
            <w:r>
              <w:t xml:space="preserve">rom NW perspective, we don’t see the need to restrict the configuration of </w:t>
            </w:r>
            <w:r w:rsidRPr="00E4625E">
              <w:rPr>
                <w:i/>
                <w:iCs/>
              </w:rPr>
              <w:lastRenderedPageBreak/>
              <w:t>pdsch-AggregationFactor</w:t>
            </w:r>
            <w:r w:rsidRPr="00E4625E">
              <w:t>.</w:t>
            </w:r>
            <w:r>
              <w:rPr>
                <w:b/>
                <w:bCs/>
                <w:i/>
                <w:iCs/>
              </w:rPr>
              <w:t xml:space="preserve"> </w:t>
            </w:r>
            <w:r w:rsidRPr="00E4625E">
              <w:t xml:space="preserve">What we </w:t>
            </w:r>
            <w:r>
              <w:t>can do is</w:t>
            </w:r>
            <w:r w:rsidRPr="00E4625E">
              <w:t xml:space="preserve"> to </w:t>
            </w:r>
            <w:r>
              <w:t>clarify the UE behavior when such configuration happens. For Alt.1, we have similar view as ZTE, it doesn’t support repetition number =1 if</w:t>
            </w:r>
            <w:r>
              <w:rPr>
                <w:rFonts w:hint="eastAsia"/>
              </w:rPr>
              <w:t xml:space="preserve"> </w:t>
            </w:r>
            <w:r>
              <w:rPr>
                <w:rFonts w:hint="eastAsia"/>
                <w:i/>
                <w:iCs/>
              </w:rPr>
              <w:t>pdsch-AggregationFactor</w:t>
            </w:r>
            <w:r>
              <w:rPr>
                <w:rFonts w:hint="eastAsia"/>
              </w:rPr>
              <w:t xml:space="preserve"> is configured</w:t>
            </w:r>
            <w:r>
              <w:t xml:space="preserve">. For Alt.2 and Alt.3, Alt.2 is preferred to have flexible NW configuration. </w:t>
            </w:r>
          </w:p>
        </w:tc>
      </w:tr>
      <w:bookmarkEnd w:id="8"/>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Huawei, HiSilicon</w:t>
      </w:r>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t>MediaTek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t>Spreadtrum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t>Convida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DFBF5" w14:textId="77777777" w:rsidR="000B334F" w:rsidRDefault="000B334F">
      <w:r>
        <w:separator/>
      </w:r>
    </w:p>
  </w:endnote>
  <w:endnote w:type="continuationSeparator" w:id="0">
    <w:p w14:paraId="10E2B75B" w14:textId="77777777" w:rsidR="000B334F" w:rsidRDefault="000B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16C69" w14:textId="77777777" w:rsidR="000B334F" w:rsidRDefault="000B334F">
      <w:r>
        <w:separator/>
      </w:r>
    </w:p>
  </w:footnote>
  <w:footnote w:type="continuationSeparator" w:id="0">
    <w:p w14:paraId="34DF3CBB" w14:textId="77777777" w:rsidR="000B334F" w:rsidRDefault="000B3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27AC" w14:textId="77777777" w:rsidR="00847597" w:rsidRDefault="00847597">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334F"/>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51E0"/>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73424"/>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1467"/>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1ECD"/>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C6C53"/>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43E2"/>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qFormat/>
    <w:pPr>
      <w:tabs>
        <w:tab w:val="center" w:pos="4536"/>
        <w:tab w:val="right" w:pos="9072"/>
      </w:tabs>
    </w:pPr>
    <w:rPr>
      <w:rFonts w:ascii="Arial" w:eastAsia="MS Mincho" w:hAnsi="Arial"/>
      <w:b/>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Pr>
      <w:color w:val="0000FF"/>
      <w:u w:val="single"/>
    </w:rPr>
  </w:style>
  <w:style w:type="character" w:styleId="af2">
    <w:name w:val="annotation reference"/>
    <w:basedOn w:val="a1"/>
    <w:unhideWhenUsed/>
    <w:qFormat/>
    <w:rPr>
      <w:sz w:val="16"/>
      <w:szCs w:val="16"/>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qFormat/>
    <w:rPr>
      <w:rFonts w:ascii="Helvetica" w:eastAsia="MS Mincho" w:hAnsi="Helvetica" w:cs="Arial"/>
      <w:bCs/>
      <w:iCs/>
      <w:sz w:val="24"/>
      <w:szCs w:val="28"/>
      <w:lang w:eastAsia="en-US"/>
    </w:rPr>
  </w:style>
  <w:style w:type="character" w:customStyle="1" w:styleId="30">
    <w:name w:val="标题 3 字符"/>
    <w:basedOn w:val="a1"/>
    <w:link w:val="3"/>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after="100" w:afterAutospacing="1"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semiHidden/>
    <w:qFormat/>
    <w:rPr>
      <w:rFonts w:ascii="Times New Roman" w:eastAsia="Times New Roman" w:hAnsi="Times New Roman" w:cs="Times New Roman"/>
      <w:sz w:val="20"/>
      <w:szCs w:val="24"/>
      <w:lang w:eastAsia="en-US"/>
    </w:rPr>
  </w:style>
  <w:style w:type="character" w:styleId="af3">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4">
    <w:name w:val="List Paragraph"/>
    <w:basedOn w:val="a"/>
    <w:link w:val="af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5">
    <w:name w:val="列表段落 字符"/>
    <w:link w:val="af4"/>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11155</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2020-05-26T02:08:00Z</dcterms:created>
  <dcterms:modified xsi:type="dcterms:W3CDTF">2020-05-26T02:09:00Z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