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4DCF907B"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6071941C" w14:textId="75098568"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004BE3F2" w14:textId="599C6072"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52AF15CB" w14:textId="77777777" w:rsidTr="00785AED">
        <w:tc>
          <w:tcPr>
            <w:tcW w:w="1696" w:type="dxa"/>
          </w:tcPr>
          <w:p w14:paraId="60541D25" w14:textId="5CFE2BA0"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15EF080F" w14:textId="725DDB74"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0E14E558" w14:textId="1ADAF805"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10D026A" w14:textId="77777777" w:rsidTr="00785AED">
        <w:tc>
          <w:tcPr>
            <w:tcW w:w="1696" w:type="dxa"/>
          </w:tcPr>
          <w:p w14:paraId="21E3E8C3" w14:textId="34547C69"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3F65366A" w14:textId="28359CD1"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28E5557A" w14:textId="65F931BE"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5F0906E1" w14:textId="77777777" w:rsidR="00846555" w:rsidRDefault="00846555" w:rsidP="00846555">
      <w:pPr>
        <w:spacing w:beforeLines="50" w:before="120"/>
        <w:rPr>
          <w:rFonts w:ascii="Arial" w:hAnsi="Arial"/>
          <w:b/>
          <w:i/>
          <w:sz w:val="28"/>
          <w:szCs w:val="20"/>
          <w:lang w:val="en-GB"/>
        </w:rPr>
      </w:pPr>
    </w:p>
    <w:p w14:paraId="46E70645" w14:textId="77777777" w:rsidR="006D78C8" w:rsidRDefault="00937173" w:rsidP="00937173">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14:paraId="1C5625D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FF68D36"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180F41A5" w14:textId="092238A7" w:rsidR="006D78C8" w:rsidRDefault="006D78C8" w:rsidP="00937173">
      <w:pPr>
        <w:spacing w:beforeLines="50" w:before="120"/>
        <w:rPr>
          <w:rFonts w:ascii="Calibri" w:eastAsia="Calibri" w:hAnsi="Calibri"/>
          <w:sz w:val="22"/>
          <w:szCs w:val="22"/>
        </w:rPr>
      </w:pPr>
      <w:r>
        <w:rPr>
          <w:rFonts w:ascii="Calibri" w:eastAsia="Calibri" w:hAnsi="Calibri"/>
          <w:sz w:val="22"/>
          <w:szCs w:val="22"/>
        </w:rPr>
        <w:t>As a result RAN1 should confirm one of the following alternatives:</w:t>
      </w:r>
    </w:p>
    <w:p w14:paraId="7B619BFB" w14:textId="5EF27A8D" w:rsidR="006D78C8" w:rsidRDefault="006D78C8" w:rsidP="00937173">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55A41D79" w14:textId="44696B11" w:rsidR="006D78C8" w:rsidRDefault="006D78C8" w:rsidP="006D78C8">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00E40509" w14:textId="140B9B6D" w:rsidR="006D78C8" w:rsidRPr="006D78C8" w:rsidRDefault="006D78C8" w:rsidP="00937173">
      <w:pPr>
        <w:spacing w:beforeLines="50" w:before="120"/>
        <w:rPr>
          <w:rFonts w:ascii="Calibri" w:eastAsia="Calibri" w:hAnsi="Calibri"/>
          <w:b/>
          <w:bCs/>
          <w:sz w:val="22"/>
          <w:szCs w:val="22"/>
        </w:rPr>
      </w:pPr>
    </w:p>
    <w:p w14:paraId="608161DF" w14:textId="3832BAD6" w:rsidR="00937173" w:rsidRDefault="00D6271B" w:rsidP="00937173">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 xml:space="preserve">indicate that it would be </w:t>
      </w:r>
      <w:proofErr w:type="spellStart"/>
      <w:r>
        <w:rPr>
          <w:rFonts w:ascii="Calibri" w:eastAsia="Calibri" w:hAnsi="Calibri"/>
          <w:sz w:val="22"/>
          <w:szCs w:val="22"/>
        </w:rPr>
        <w:t>beneifical</w:t>
      </w:r>
      <w:proofErr w:type="spellEnd"/>
      <w:r>
        <w:rPr>
          <w:rFonts w:ascii="Calibri" w:eastAsia="Calibri" w:hAnsi="Calibri"/>
          <w:sz w:val="22"/>
          <w:szCs w:val="22"/>
        </w:rPr>
        <w:t xml:space="preserve">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w:t>
      </w:r>
      <w:proofErr w:type="spellStart"/>
      <w:r w:rsidR="00365790">
        <w:rPr>
          <w:rFonts w:ascii="Calibri" w:eastAsia="Calibri" w:hAnsi="Calibri"/>
          <w:sz w:val="22"/>
          <w:szCs w:val="22"/>
        </w:rPr>
        <w:t>downselect</w:t>
      </w:r>
      <w:proofErr w:type="spellEnd"/>
      <w:r w:rsidR="00365790">
        <w:rPr>
          <w:rFonts w:ascii="Calibri" w:eastAsia="Calibri" w:hAnsi="Calibri"/>
          <w:sz w:val="22"/>
          <w:szCs w:val="22"/>
        </w:rPr>
        <w:t xml:space="preserve">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5E949555" w14:textId="77777777" w:rsidR="00937173" w:rsidRDefault="00937173" w:rsidP="00937173">
      <w:pPr>
        <w:spacing w:beforeLines="50" w:before="120"/>
        <w:rPr>
          <w:rFonts w:ascii="Calibri" w:eastAsia="Calibri" w:hAnsi="Calibri"/>
          <w:b/>
          <w:bCs/>
          <w:sz w:val="22"/>
          <w:szCs w:val="22"/>
        </w:rPr>
      </w:pPr>
    </w:p>
    <w:p w14:paraId="63C36E6A" w14:textId="77777777" w:rsidR="006D78C8" w:rsidRDefault="00937173" w:rsidP="006D78C8">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23857E62" w14:textId="4E4FBAF0" w:rsidR="006D78C8" w:rsidRDefault="006D78C8" w:rsidP="006D78C8">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534E4B8B" w14:textId="4D819D4E"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B4FA72" w14:textId="007C8791"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0B30C1A3" w14:textId="77777777" w:rsidR="006D78C8" w:rsidRDefault="006D78C8" w:rsidP="00937173">
      <w:pPr>
        <w:rPr>
          <w:rFonts w:ascii="Calibri" w:eastAsia="Calibri" w:hAnsi="Calibri"/>
          <w:b/>
          <w:bCs/>
          <w:sz w:val="22"/>
          <w:szCs w:val="22"/>
        </w:rPr>
      </w:pPr>
    </w:p>
    <w:p w14:paraId="279054FA" w14:textId="681E2898"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79F885" w14:textId="77777777" w:rsidR="003E76BF" w:rsidRDefault="003E76BF" w:rsidP="00937173">
      <w:pPr>
        <w:rPr>
          <w:rFonts w:ascii="Calibri" w:eastAsia="Calibri" w:hAnsi="Calibri"/>
          <w:b/>
          <w:bCs/>
          <w:sz w:val="22"/>
          <w:szCs w:val="22"/>
        </w:rPr>
      </w:pPr>
    </w:p>
    <w:p w14:paraId="0531B83F" w14:textId="2D5276B6"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54FCA335" w14:textId="6871601F" w:rsidR="0047580F" w:rsidRDefault="0047580F">
      <w:pPr>
        <w:rPr>
          <w:rFonts w:ascii="Arial" w:hAnsi="Arial"/>
          <w:b/>
          <w:i/>
          <w:sz w:val="28"/>
          <w:szCs w:val="20"/>
          <w:lang w:val="en-GB"/>
        </w:rPr>
      </w:pPr>
    </w:p>
    <w:p w14:paraId="7BF6C52B" w14:textId="21D3144C"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5A14ECCA" w14:textId="77777777" w:rsidTr="006D78C8">
        <w:tc>
          <w:tcPr>
            <w:tcW w:w="1696" w:type="dxa"/>
          </w:tcPr>
          <w:p w14:paraId="44F6F76F"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17F3E0E" w14:textId="60BE77AF"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97C8C09"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7735F89" w14:textId="77777777" w:rsidTr="006D78C8">
        <w:tc>
          <w:tcPr>
            <w:tcW w:w="1696" w:type="dxa"/>
          </w:tcPr>
          <w:p w14:paraId="7CF9C994" w14:textId="441CB5BD"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1C74EDA7"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15B73F42" w14:textId="4CCDD8EA"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10075A29" w14:textId="77777777" w:rsidR="001A5564" w:rsidRDefault="001A5564" w:rsidP="001A5564">
            <w:pPr>
              <w:rPr>
                <w:rFonts w:ascii="Calibri" w:eastAsia="Calibri" w:hAnsi="Calibri"/>
                <w:sz w:val="22"/>
                <w:szCs w:val="22"/>
              </w:rPr>
            </w:pPr>
            <w:r>
              <w:rPr>
                <w:rFonts w:ascii="Calibri" w:eastAsia="Calibri" w:hAnsi="Calibri"/>
                <w:sz w:val="22"/>
                <w:szCs w:val="22"/>
              </w:rPr>
              <w:t>We suggest to clarify the meaning of “pairing” of MT cell with DU cell in the proposal, eventually.</w:t>
            </w:r>
          </w:p>
          <w:p w14:paraId="051A7F82"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649A62EF"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320290A2" w14:textId="11D25A52"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bl>
    <w:p w14:paraId="410F021C" w14:textId="6FCCF213" w:rsidR="003E76BF" w:rsidRDefault="003E76BF">
      <w:pPr>
        <w:rPr>
          <w:rFonts w:ascii="Arial" w:hAnsi="Arial"/>
          <w:b/>
          <w:i/>
          <w:sz w:val="28"/>
          <w:szCs w:val="20"/>
          <w:lang w:val="en-GB"/>
        </w:rPr>
      </w:pPr>
    </w:p>
    <w:p w14:paraId="232AB74D" w14:textId="77777777" w:rsidR="00365790" w:rsidRDefault="00365790">
      <w:pPr>
        <w:rPr>
          <w:rFonts w:ascii="Arial" w:hAnsi="Arial"/>
          <w:b/>
          <w:i/>
          <w:sz w:val="28"/>
          <w:szCs w:val="20"/>
          <w:lang w:val="en-GB"/>
        </w:rPr>
      </w:pPr>
      <w:r>
        <w:rPr>
          <w:lang w:val="en-GB"/>
        </w:rPr>
        <w:br w:type="page"/>
      </w:r>
    </w:p>
    <w:p w14:paraId="7DAA0D46" w14:textId="0602595B"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7C533704" w14:textId="09E9E9B9"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45C46B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68A9E9D0"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5930862D" w14:textId="77777777" w:rsidTr="002F7777">
        <w:tc>
          <w:tcPr>
            <w:tcW w:w="1696" w:type="dxa"/>
          </w:tcPr>
          <w:p w14:paraId="0E36606A" w14:textId="3D35FFF5"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571D7F46" w14:textId="05DA8FC6"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1A8862F" w14:textId="2A237E13"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for Solution 2, in a multi-vendor deployment, there is nothing preventing a CU from one vendor to cause a signaling storm in a another vendor’s DU which is highly undesirable.</w:t>
            </w:r>
          </w:p>
        </w:tc>
      </w:tr>
      <w:tr w:rsidR="007B5BC7" w:rsidRPr="00B45171" w14:paraId="32F9CA62" w14:textId="77777777" w:rsidTr="002F7777">
        <w:tc>
          <w:tcPr>
            <w:tcW w:w="1696" w:type="dxa"/>
          </w:tcPr>
          <w:p w14:paraId="4213F152" w14:textId="100C3047" w:rsidR="007B5BC7" w:rsidRPr="007B5BC7" w:rsidRDefault="007B5BC7"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21D9D60" w14:textId="7FF3AF4F"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152B2366" w14:textId="4B54B8D1"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agree to say solution 2 is feasible from RAN1 perspective. Regarding solution 1, this is totally </w:t>
            </w:r>
            <w:proofErr w:type="spellStart"/>
            <w:r>
              <w:rPr>
                <w:rFonts w:asciiTheme="minorHAnsi" w:eastAsiaTheme="minorEastAsia" w:hAnsiTheme="minorHAnsi" w:cstheme="minorHAnsi"/>
                <w:bCs/>
                <w:sz w:val="22"/>
                <w:szCs w:val="22"/>
                <w:lang w:eastAsia="zh-CN"/>
              </w:rPr>
              <w:t>singaling</w:t>
            </w:r>
            <w:proofErr w:type="spellEnd"/>
            <w:r>
              <w:rPr>
                <w:rFonts w:asciiTheme="minorHAnsi" w:eastAsiaTheme="minorEastAsia" w:hAnsiTheme="minorHAnsi" w:cstheme="minorHAnsi"/>
                <w:bCs/>
                <w:sz w:val="22"/>
                <w:szCs w:val="22"/>
                <w:lang w:eastAsia="zh-CN"/>
              </w:rPr>
              <w:t xml:space="preserve"> aspect and up to RAN3 whether to support a duplicated solution..</w:t>
            </w:r>
          </w:p>
        </w:tc>
      </w:tr>
      <w:tr w:rsidR="003A3C16" w:rsidRPr="00B45171" w14:paraId="7FCDF46B" w14:textId="77777777" w:rsidTr="002F7777">
        <w:tc>
          <w:tcPr>
            <w:tcW w:w="1696" w:type="dxa"/>
          </w:tcPr>
          <w:p w14:paraId="07F26EC2" w14:textId="4D9B6F81"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7A8FCBD5" w14:textId="5F118453"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798BB5E4" w14:textId="3E0E4389"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0003FFE3" w14:textId="4D4A18E9" w:rsidR="000F0207" w:rsidRDefault="000F0207">
      <w:pPr>
        <w:rPr>
          <w:rFonts w:asciiTheme="minorHAnsi" w:hAnsiTheme="minorHAnsi" w:cstheme="minorHAnsi"/>
          <w:b/>
          <w:sz w:val="28"/>
          <w:szCs w:val="28"/>
          <w:lang w:val="en-GB"/>
        </w:rPr>
      </w:pPr>
    </w:p>
    <w:p w14:paraId="2EAA7BA9" w14:textId="06DCD85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724935A0"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45589497" w14:textId="7762466C" w:rsidR="00BE6B78" w:rsidRDefault="00BE6B78">
      <w:pPr>
        <w:rPr>
          <w:rFonts w:ascii="Calibri" w:eastAsia="Calibri" w:hAnsi="Calibri"/>
          <w:b/>
          <w:bCs/>
          <w:sz w:val="22"/>
          <w:szCs w:val="22"/>
        </w:rPr>
      </w:pPr>
    </w:p>
    <w:p w14:paraId="4706FC43"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ABB6FC0" w14:textId="77777777" w:rsidR="00A275D3" w:rsidRDefault="00A275D3">
      <w:pPr>
        <w:rPr>
          <w:rFonts w:ascii="Calibri" w:eastAsia="Calibri" w:hAnsi="Calibri"/>
          <w:b/>
          <w:bCs/>
          <w:sz w:val="22"/>
          <w:szCs w:val="22"/>
        </w:rPr>
      </w:pPr>
    </w:p>
    <w:p w14:paraId="1034A708" w14:textId="19D6445C"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6AF17CB" w14:textId="77777777" w:rsidR="00B66CB7" w:rsidRDefault="00B66CB7">
      <w:pPr>
        <w:rPr>
          <w:rFonts w:asciiTheme="minorHAnsi" w:hAnsiTheme="minorHAnsi" w:cstheme="minorHAnsi"/>
          <w:b/>
          <w:sz w:val="28"/>
          <w:szCs w:val="28"/>
          <w:lang w:val="en-GB"/>
        </w:rPr>
      </w:pPr>
    </w:p>
    <w:p w14:paraId="447361C5"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97A9CA2" w14:textId="06DA6A81"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4F59B315"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B84964" w14:textId="1FA71E19"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4816B15A" w14:textId="197AAB18"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5680BBE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6ED0E90" w14:textId="00D4E68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6B6FB1E0" w14:textId="0CFE498D"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12586338" w14:textId="63E30946"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8E7E3FD" w14:textId="19F09832"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3E0B68F7" w14:textId="56C6AB6A"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EAAD9A0" w14:textId="1B6B99FB"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60D7AD"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BF0B63" w:rsidRPr="008040F5" w14:paraId="46BC197A" w14:textId="77777777" w:rsidTr="008D1466">
        <w:tc>
          <w:tcPr>
            <w:tcW w:w="1696" w:type="dxa"/>
          </w:tcPr>
          <w:p w14:paraId="3F3ED7DF"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8EC5F8D"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4F1A806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285BD169" w14:textId="77777777" w:rsidTr="008D1466">
        <w:tc>
          <w:tcPr>
            <w:tcW w:w="1696" w:type="dxa"/>
          </w:tcPr>
          <w:p w14:paraId="350A81E4" w14:textId="1CF55202"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3ADE1187"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6F25DD78" w14:textId="586D4446"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5BF7B102" w14:textId="77777777" w:rsidR="008D1466" w:rsidRDefault="008D1466" w:rsidP="008D1466">
            <w:pPr>
              <w:rPr>
                <w:rFonts w:ascii="Calibri" w:eastAsia="Calibri" w:hAnsi="Calibri"/>
                <w:sz w:val="22"/>
                <w:szCs w:val="22"/>
              </w:rPr>
            </w:pPr>
            <w:r>
              <w:rPr>
                <w:rFonts w:ascii="Calibri" w:eastAsia="Calibri" w:hAnsi="Calibri"/>
                <w:sz w:val="22"/>
                <w:szCs w:val="22"/>
              </w:rPr>
              <w:t xml:space="preserve">It should be noted that the first portion of the second approach suggested by RAN3, </w:t>
            </w:r>
            <w:proofErr w:type="spellStart"/>
            <w:r>
              <w:rPr>
                <w:rFonts w:ascii="Calibri" w:eastAsia="Calibri" w:hAnsi="Calibri"/>
                <w:sz w:val="22"/>
                <w:szCs w:val="22"/>
              </w:rPr>
              <w:t>i.e</w:t>
            </w:r>
            <w:proofErr w:type="spellEnd"/>
            <w:r>
              <w:rPr>
                <w:rFonts w:ascii="Calibri" w:eastAsia="Calibri" w:hAnsi="Calibri"/>
                <w:sz w:val="22"/>
                <w:szCs w:val="22"/>
              </w:rPr>
              <w:t xml:space="preserv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1AAE360A" w14:textId="5103E1B0"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bl>
    <w:p w14:paraId="09FEF745" w14:textId="77777777" w:rsidR="00BF0B63" w:rsidRP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219BE833" w14:textId="77777777" w:rsidR="00BF0B63" w:rsidRDefault="00BF0B63">
      <w:pPr>
        <w:rPr>
          <w:rFonts w:ascii="Arial" w:hAnsi="Arial"/>
          <w:b/>
          <w:i/>
          <w:sz w:val="28"/>
          <w:szCs w:val="20"/>
          <w:lang w:val="en-GB"/>
        </w:rPr>
      </w:pPr>
      <w:r>
        <w:rPr>
          <w:lang w:val="en-GB"/>
        </w:rPr>
        <w:br w:type="page"/>
      </w:r>
    </w:p>
    <w:p w14:paraId="347C59D1" w14:textId="392A2A0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ko-KR"/>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8D1466" w:rsidRDefault="008D1466"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8D1466" w:rsidRDefault="008D1466"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6D78C8">
        <w:tc>
          <w:tcPr>
            <w:tcW w:w="1435" w:type="dxa"/>
            <w:tcBorders>
              <w:top w:val="single" w:sz="12" w:space="0" w:color="auto"/>
              <w:left w:val="single" w:sz="12" w:space="0" w:color="auto"/>
            </w:tcBorders>
            <w:shd w:val="clear" w:color="auto" w:fill="auto"/>
          </w:tcPr>
          <w:p w14:paraId="52BF056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6D78C8">
        <w:tc>
          <w:tcPr>
            <w:tcW w:w="1435" w:type="dxa"/>
            <w:tcBorders>
              <w:left w:val="single" w:sz="12" w:space="0" w:color="auto"/>
            </w:tcBorders>
            <w:shd w:val="clear" w:color="auto" w:fill="auto"/>
          </w:tcPr>
          <w:p w14:paraId="3916B26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6D78C8">
        <w:tc>
          <w:tcPr>
            <w:tcW w:w="1435" w:type="dxa"/>
            <w:tcBorders>
              <w:left w:val="single" w:sz="12" w:space="0" w:color="auto"/>
              <w:bottom w:val="single" w:sz="12" w:space="0" w:color="auto"/>
            </w:tcBorders>
            <w:shd w:val="clear" w:color="auto" w:fill="auto"/>
          </w:tcPr>
          <w:p w14:paraId="53CBEC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6D78C8">
        <w:tc>
          <w:tcPr>
            <w:tcW w:w="1435" w:type="dxa"/>
            <w:tcBorders>
              <w:top w:val="single" w:sz="12" w:space="0" w:color="auto"/>
              <w:left w:val="single" w:sz="12" w:space="0" w:color="auto"/>
            </w:tcBorders>
            <w:shd w:val="clear" w:color="auto" w:fill="auto"/>
          </w:tcPr>
          <w:p w14:paraId="08EDDB2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6D78C8">
        <w:tc>
          <w:tcPr>
            <w:tcW w:w="1435" w:type="dxa"/>
            <w:tcBorders>
              <w:left w:val="single" w:sz="12" w:space="0" w:color="auto"/>
            </w:tcBorders>
            <w:shd w:val="clear" w:color="auto" w:fill="auto"/>
          </w:tcPr>
          <w:p w14:paraId="24CB126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6D78C8">
        <w:tc>
          <w:tcPr>
            <w:tcW w:w="1435" w:type="dxa"/>
            <w:tcBorders>
              <w:left w:val="single" w:sz="12" w:space="0" w:color="auto"/>
              <w:bottom w:val="single" w:sz="12" w:space="0" w:color="auto"/>
            </w:tcBorders>
            <w:shd w:val="clear" w:color="auto" w:fill="auto"/>
          </w:tcPr>
          <w:p w14:paraId="1486CD6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6D78C8">
        <w:tc>
          <w:tcPr>
            <w:tcW w:w="1696" w:type="dxa"/>
          </w:tcPr>
          <w:p w14:paraId="37E12684"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6D78C8">
        <w:tc>
          <w:tcPr>
            <w:tcW w:w="1696" w:type="dxa"/>
          </w:tcPr>
          <w:p w14:paraId="222ACA0F" w14:textId="56420C3F"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6D78C8">
        <w:tc>
          <w:tcPr>
            <w:tcW w:w="1696" w:type="dxa"/>
          </w:tcPr>
          <w:p w14:paraId="2F80403F" w14:textId="250F0C76"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6D78C8">
        <w:tc>
          <w:tcPr>
            <w:tcW w:w="1696" w:type="dxa"/>
          </w:tcPr>
          <w:p w14:paraId="542D2392" w14:textId="1E1490CB"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6D78C8">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14:paraId="4F4F4733" w14:textId="77777777" w:rsidTr="002F7777">
        <w:tc>
          <w:tcPr>
            <w:tcW w:w="1696" w:type="dxa"/>
          </w:tcPr>
          <w:p w14:paraId="301BEE10" w14:textId="10B83D3B"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3A889D86" w14:textId="447CD880"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261002FC"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D027CC9" w14:textId="77777777" w:rsidTr="002F7777">
        <w:tc>
          <w:tcPr>
            <w:tcW w:w="1696" w:type="dxa"/>
          </w:tcPr>
          <w:p w14:paraId="1732DBD5" w14:textId="0D284C1F"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5283A39" w14:textId="5F0245D3"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434E46E4" w14:textId="2E04D4E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This behavior is known by parent node, thus parent node performs proper scheduling. There is no ambiguity between child and parent node, i.e., no issue.</w:t>
            </w:r>
          </w:p>
        </w:tc>
      </w:tr>
      <w:tr w:rsidR="003A3C16" w:rsidRPr="00B45171" w14:paraId="0EA2CFF6" w14:textId="77777777" w:rsidTr="002F7777">
        <w:tc>
          <w:tcPr>
            <w:tcW w:w="1696" w:type="dxa"/>
          </w:tcPr>
          <w:p w14:paraId="67876040" w14:textId="1FEF8F18"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4F8464F2" w14:textId="43846268"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25216EC2" w14:textId="402C995D"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w:t>
            </w:r>
            <w:proofErr w:type="spellStart"/>
            <w:r>
              <w:rPr>
                <w:rFonts w:asciiTheme="minorHAnsi" w:eastAsiaTheme="minorEastAsia" w:hAnsiTheme="minorHAnsi" w:cstheme="minorHAnsi"/>
                <w:bCs/>
                <w:sz w:val="22"/>
                <w:szCs w:val="22"/>
                <w:lang w:eastAsia="zh-CN"/>
              </w:rPr>
              <w:t>uncertaintly</w:t>
            </w:r>
            <w:proofErr w:type="spellEnd"/>
            <w:r>
              <w:rPr>
                <w:rFonts w:asciiTheme="minorHAnsi" w:eastAsiaTheme="minorEastAsia" w:hAnsiTheme="minorHAnsi" w:cstheme="minorHAnsi"/>
                <w:bCs/>
                <w:sz w:val="22"/>
                <w:szCs w:val="22"/>
                <w:lang w:eastAsia="zh-CN"/>
              </w:rPr>
              <w:t xml:space="preserve">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14:paraId="35C1EC14" w14:textId="77777777" w:rsidR="00420DA2" w:rsidRDefault="00420DA2">
      <w:pPr>
        <w:rPr>
          <w:rFonts w:asciiTheme="minorHAnsi" w:hAnsiTheme="minorHAnsi" w:cstheme="minorHAnsi"/>
          <w:b/>
          <w:sz w:val="28"/>
          <w:szCs w:val="28"/>
          <w:lang w:val="en-GB"/>
        </w:rPr>
      </w:pPr>
    </w:p>
    <w:p w14:paraId="3AC9C98C" w14:textId="790A4D55"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8D16D39"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19A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288D6393" w14:textId="5331D04C"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11A99CAD" w14:textId="25244205"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TableGrid"/>
        <w:tblW w:w="0" w:type="auto"/>
        <w:tblLook w:val="04A0" w:firstRow="1" w:lastRow="0" w:firstColumn="1" w:lastColumn="0" w:noHBand="0" w:noVBand="1"/>
      </w:tblPr>
      <w:tblGrid>
        <w:gridCol w:w="1696"/>
        <w:gridCol w:w="2265"/>
        <w:gridCol w:w="6109"/>
      </w:tblGrid>
      <w:tr w:rsidR="00BF0B63" w:rsidRPr="008040F5" w14:paraId="0382CDF6" w14:textId="77777777" w:rsidTr="008D1466">
        <w:tc>
          <w:tcPr>
            <w:tcW w:w="1696" w:type="dxa"/>
          </w:tcPr>
          <w:p w14:paraId="32EC4535"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2D27CA1D" w14:textId="62F1456C"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14:paraId="6A81756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F8CD637" w14:textId="77777777" w:rsidTr="008D1466">
        <w:tc>
          <w:tcPr>
            <w:tcW w:w="1696" w:type="dxa"/>
          </w:tcPr>
          <w:p w14:paraId="0AFFCDE8" w14:textId="1C961E6B"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08165FBA" w14:textId="654857B7" w:rsidR="0095234C" w:rsidRDefault="0095234C" w:rsidP="0095234C">
            <w:pPr>
              <w:rPr>
                <w:rFonts w:ascii="Calibri" w:eastAsia="Calibri" w:hAnsi="Calibri"/>
                <w:sz w:val="22"/>
                <w:szCs w:val="22"/>
              </w:rPr>
            </w:pPr>
            <w:r>
              <w:rPr>
                <w:rFonts w:ascii="Calibri" w:eastAsia="Calibri" w:hAnsi="Calibri"/>
                <w:sz w:val="22"/>
                <w:szCs w:val="22"/>
              </w:rPr>
              <w:t>Yes, agree with proposal 2.</w:t>
            </w:r>
            <w:r>
              <w:rPr>
                <w:rFonts w:ascii="Calibri" w:eastAsia="Calibri" w:hAnsi="Calibri"/>
                <w:sz w:val="22"/>
                <w:szCs w:val="22"/>
              </w:rPr>
              <w:t>3</w:t>
            </w:r>
            <w:r>
              <w:rPr>
                <w:rFonts w:ascii="Calibri" w:eastAsia="Calibri" w:hAnsi="Calibri"/>
                <w:sz w:val="22"/>
                <w:szCs w:val="22"/>
              </w:rPr>
              <w:t>.2.</w:t>
            </w:r>
          </w:p>
          <w:p w14:paraId="128AE3B9" w14:textId="5D631512"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54EEAA6" w14:textId="3912E864"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bl>
    <w:p w14:paraId="19D7C2A1" w14:textId="7527BE32"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6D78C8">
        <w:tc>
          <w:tcPr>
            <w:tcW w:w="1696" w:type="dxa"/>
          </w:tcPr>
          <w:p w14:paraId="22A2D9C2"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6D78C8">
        <w:tc>
          <w:tcPr>
            <w:tcW w:w="1696" w:type="dxa"/>
          </w:tcPr>
          <w:p w14:paraId="6060B7E2" w14:textId="5BC62830"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6D78C8">
        <w:tc>
          <w:tcPr>
            <w:tcW w:w="1696" w:type="dxa"/>
          </w:tcPr>
          <w:p w14:paraId="4F9E6381" w14:textId="541D1B4C"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6D78C8">
        <w:tc>
          <w:tcPr>
            <w:tcW w:w="1696" w:type="dxa"/>
          </w:tcPr>
          <w:p w14:paraId="75375FCB" w14:textId="7CAB5C84"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6D78C8">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4100111B" w14:textId="1592EDDF"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2EC1B3AD" w14:textId="77777777" w:rsidTr="002F7777">
        <w:tc>
          <w:tcPr>
            <w:tcW w:w="1696" w:type="dxa"/>
          </w:tcPr>
          <w:p w14:paraId="62621B3E" w14:textId="42088E0F"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68BC1467" w14:textId="2D3216F6"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1267AF6D" w14:textId="77777777" w:rsidR="00417EE5" w:rsidRDefault="00417EE5" w:rsidP="003C4FCF">
            <w:pPr>
              <w:rPr>
                <w:rFonts w:ascii="Calibri" w:eastAsia="Yu Mincho" w:hAnsi="Calibri"/>
                <w:sz w:val="22"/>
                <w:szCs w:val="22"/>
                <w:lang w:eastAsia="ja-JP"/>
              </w:rPr>
            </w:pPr>
          </w:p>
        </w:tc>
      </w:tr>
      <w:tr w:rsidR="006D5177" w:rsidRPr="00B45171" w14:paraId="1E2CEFDB" w14:textId="77777777" w:rsidTr="002F7777">
        <w:tc>
          <w:tcPr>
            <w:tcW w:w="1696" w:type="dxa"/>
          </w:tcPr>
          <w:p w14:paraId="2D522EC9" w14:textId="15AC1AB6"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4D9A677" w14:textId="036A19B1"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CD40E13" w14:textId="77777777" w:rsidR="006D5177" w:rsidRDefault="006D5177" w:rsidP="003C4FCF">
            <w:pPr>
              <w:rPr>
                <w:rFonts w:ascii="Calibri" w:eastAsia="Yu Mincho" w:hAnsi="Calibri"/>
                <w:sz w:val="22"/>
                <w:szCs w:val="22"/>
                <w:lang w:eastAsia="ja-JP"/>
              </w:rPr>
            </w:pPr>
          </w:p>
        </w:tc>
      </w:tr>
      <w:tr w:rsidR="00E62B40" w:rsidRPr="00B45171" w14:paraId="402B1291" w14:textId="77777777" w:rsidTr="002F7777">
        <w:tc>
          <w:tcPr>
            <w:tcW w:w="1696" w:type="dxa"/>
          </w:tcPr>
          <w:p w14:paraId="0D197865" w14:textId="337C3022"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252C7DFB" w14:textId="30A96A18"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36E9BE02" w14:textId="57AEB080"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r w:rsidRPr="00A834D9">
              <w:rPr>
                <w:rFonts w:asciiTheme="minorHAnsi" w:eastAsia="Malgun Gothic" w:hAnsiTheme="minorHAnsi" w:cstheme="minorHAnsi"/>
                <w:sz w:val="22"/>
                <w:szCs w:val="22"/>
                <w:lang w:eastAsia="ko-KR"/>
              </w:rPr>
              <w:t>It</w:t>
            </w:r>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bl>
    <w:p w14:paraId="4C012314" w14:textId="37DFE10A" w:rsidR="004C776D" w:rsidRDefault="004C776D">
      <w:pPr>
        <w:rPr>
          <w:rFonts w:asciiTheme="minorHAnsi" w:hAnsiTheme="minorHAnsi" w:cstheme="minorHAnsi"/>
          <w:b/>
          <w:sz w:val="28"/>
          <w:szCs w:val="28"/>
          <w:lang w:val="en-GB"/>
        </w:rPr>
      </w:pPr>
    </w:p>
    <w:p w14:paraId="402CDCB7" w14:textId="4ECAB84C"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is left to the session chair for guidance.</w:t>
      </w:r>
    </w:p>
    <w:p w14:paraId="16FD19E6" w14:textId="772A0EC5" w:rsidR="00D968D9" w:rsidRDefault="00D968D9">
      <w:pPr>
        <w:rPr>
          <w:rFonts w:ascii="Calibri" w:eastAsia="Calibri" w:hAnsi="Calibri"/>
          <w:sz w:val="22"/>
          <w:szCs w:val="22"/>
        </w:rPr>
      </w:pPr>
    </w:p>
    <w:p w14:paraId="023A1B8E" w14:textId="4C9A94EB"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614FC985" w14:textId="1C4D4B55" w:rsidR="00D968D9" w:rsidRPr="00D968D9" w:rsidRDefault="00D968D9">
      <w:pPr>
        <w:rPr>
          <w:rFonts w:ascii="Calibri" w:eastAsia="Calibri" w:hAnsi="Calibri"/>
          <w:sz w:val="22"/>
          <w:szCs w:val="22"/>
        </w:rPr>
      </w:pPr>
    </w:p>
    <w:p w14:paraId="601F08CF"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377AD03E"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26362890" w14:textId="77777777" w:rsidR="00D968D9" w:rsidRDefault="00D968D9" w:rsidP="00D968D9">
      <w:pPr>
        <w:rPr>
          <w:rFonts w:ascii="Calibri" w:eastAsia="Calibri" w:hAnsi="Calibri"/>
          <w:b/>
          <w:bCs/>
          <w:sz w:val="22"/>
          <w:szCs w:val="22"/>
        </w:rPr>
      </w:pPr>
    </w:p>
    <w:p w14:paraId="06BEE5AC"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968D9" w:rsidRPr="008040F5" w14:paraId="456BE05C" w14:textId="77777777" w:rsidTr="008D1466">
        <w:tc>
          <w:tcPr>
            <w:tcW w:w="1696" w:type="dxa"/>
          </w:tcPr>
          <w:p w14:paraId="647DA44A"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3149C8D" w14:textId="2489A45C"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08C695C2"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288DFF6E" w14:textId="77777777" w:rsidTr="008D1466">
        <w:tc>
          <w:tcPr>
            <w:tcW w:w="1696" w:type="dxa"/>
          </w:tcPr>
          <w:p w14:paraId="568AFBB1" w14:textId="07539455"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2CE6A013" w14:textId="2C6E45F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2697CC86" w14:textId="1D7EDA5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bl>
    <w:p w14:paraId="5B025366" w14:textId="7D93B290"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12A54759"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449"/>
        <w:gridCol w:w="1743"/>
        <w:gridCol w:w="6878"/>
      </w:tblGrid>
      <w:tr w:rsidR="00C20EA7" w:rsidRPr="008040F5" w14:paraId="019E066B" w14:textId="77777777" w:rsidTr="00E62B40">
        <w:tc>
          <w:tcPr>
            <w:tcW w:w="1449" w:type="dxa"/>
          </w:tcPr>
          <w:p w14:paraId="13779C26"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6EAE25E2" w14:textId="35F6F115"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29F04544"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E62B40">
        <w:tc>
          <w:tcPr>
            <w:tcW w:w="1449" w:type="dxa"/>
          </w:tcPr>
          <w:p w14:paraId="7BAA4423" w14:textId="7BC6EF74"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4E04FDA2" w14:textId="248A6FAC"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E62B40">
        <w:tc>
          <w:tcPr>
            <w:tcW w:w="1449" w:type="dxa"/>
          </w:tcPr>
          <w:p w14:paraId="06E4488B" w14:textId="25CBE06D"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7EBFA315" w14:textId="76E33DAA"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E62B40">
        <w:tc>
          <w:tcPr>
            <w:tcW w:w="1449" w:type="dxa"/>
          </w:tcPr>
          <w:p w14:paraId="78AABA74" w14:textId="71194F0D"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48BFEB6D" w14:textId="43A037F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965BA05" w14:textId="3F119B04"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178D6C0D"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E62B40">
        <w:tc>
          <w:tcPr>
            <w:tcW w:w="1449"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1743"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E62B40">
        <w:tc>
          <w:tcPr>
            <w:tcW w:w="1449" w:type="dxa"/>
          </w:tcPr>
          <w:p w14:paraId="32102726"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30BAAF8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04EC95E7" w14:textId="77777777" w:rsidR="002F7777" w:rsidRPr="00526B2C" w:rsidRDefault="002F7777" w:rsidP="006D78C8">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it is desirable that dci-</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14:paraId="033F79D1" w14:textId="77777777" w:rsidR="002F7777" w:rsidRPr="002D5FA2" w:rsidRDefault="002F7777" w:rsidP="006D78C8">
            <w:pPr>
              <w:pStyle w:val="ListParagraph"/>
              <w:rPr>
                <w:rFonts w:asciiTheme="minorHAnsi" w:eastAsiaTheme="minorEastAsia" w:hAnsiTheme="minorHAnsi" w:cstheme="minorHAnsi"/>
                <w:sz w:val="22"/>
                <w:szCs w:val="22"/>
                <w:lang w:eastAsia="zh-CN"/>
              </w:rPr>
            </w:pPr>
          </w:p>
          <w:p w14:paraId="3530F190"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6D78C8">
            <w:pPr>
              <w:pStyle w:val="PL"/>
              <w:rPr>
                <w:sz w:val="10"/>
              </w:rPr>
            </w:pPr>
            <w:r w:rsidRPr="00E42E87">
              <w:rPr>
                <w:sz w:val="10"/>
              </w:rPr>
              <w:t>-- ASN1START</w:t>
            </w:r>
          </w:p>
          <w:p w14:paraId="438B7AA6" w14:textId="77777777" w:rsidR="002F7777" w:rsidRPr="00E42E87" w:rsidRDefault="002F7777" w:rsidP="006D78C8">
            <w:pPr>
              <w:pStyle w:val="PL"/>
              <w:rPr>
                <w:sz w:val="10"/>
              </w:rPr>
            </w:pPr>
            <w:r w:rsidRPr="00E42E87">
              <w:rPr>
                <w:sz w:val="10"/>
              </w:rPr>
              <w:t>-- TAG-AVAILABILITYINDICATOR-START</w:t>
            </w:r>
          </w:p>
          <w:p w14:paraId="58ED17FB" w14:textId="77777777" w:rsidR="002F7777" w:rsidRPr="00E42E87" w:rsidRDefault="002F7777" w:rsidP="006D78C8">
            <w:pPr>
              <w:pStyle w:val="PL"/>
              <w:rPr>
                <w:sz w:val="10"/>
              </w:rPr>
            </w:pPr>
          </w:p>
          <w:p w14:paraId="1ABDE4AF" w14:textId="77777777" w:rsidR="002F7777" w:rsidRPr="00E42E87" w:rsidRDefault="002F7777" w:rsidP="006D78C8">
            <w:pPr>
              <w:pStyle w:val="PL"/>
              <w:rPr>
                <w:sz w:val="10"/>
              </w:rPr>
            </w:pPr>
            <w:r w:rsidRPr="00E42E87">
              <w:rPr>
                <w:sz w:val="10"/>
              </w:rPr>
              <w:t>AvailabilityIndicator-r16 ::=    SEQUENCE {</w:t>
            </w:r>
          </w:p>
          <w:p w14:paraId="01FAC1A7" w14:textId="77777777" w:rsidR="002F7777" w:rsidRPr="00E42E87" w:rsidRDefault="002F7777" w:rsidP="006D78C8">
            <w:pPr>
              <w:pStyle w:val="PL"/>
              <w:rPr>
                <w:sz w:val="10"/>
              </w:rPr>
            </w:pPr>
            <w:r w:rsidRPr="00E42E87">
              <w:rPr>
                <w:sz w:val="10"/>
              </w:rPr>
              <w:t>    ai-RNTI-r16                      AI-RNTI-r16,</w:t>
            </w:r>
          </w:p>
          <w:p w14:paraId="0BE3E05D" w14:textId="77777777" w:rsidR="002F7777" w:rsidRPr="00E42E87" w:rsidRDefault="002F7777" w:rsidP="006D78C8">
            <w:pPr>
              <w:pStyle w:val="PL"/>
              <w:rPr>
                <w:sz w:val="10"/>
              </w:rPr>
            </w:pPr>
            <w:r w:rsidRPr="00E42E87">
              <w:rPr>
                <w:sz w:val="10"/>
              </w:rPr>
              <w:t>    dci-PayloadSize-AI-r16           INTEGER (1..maxAI-DCI-PayloadSize-r16),</w:t>
            </w:r>
          </w:p>
          <w:p w14:paraId="40230835" w14:textId="77777777" w:rsidR="002F7777" w:rsidRPr="00E42E87" w:rsidRDefault="002F7777" w:rsidP="006D78C8">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6D78C8">
            <w:pPr>
              <w:pStyle w:val="PL"/>
              <w:rPr>
                <w:sz w:val="10"/>
              </w:rPr>
            </w:pPr>
            <w:r w:rsidRPr="00E42E87">
              <w:rPr>
                <w:sz w:val="10"/>
              </w:rPr>
              <w:t>                                                                                                      OPTIONAL, -- Need FFS</w:t>
            </w:r>
          </w:p>
          <w:p w14:paraId="3A50FC8C" w14:textId="77777777" w:rsidR="002F7777" w:rsidRPr="00E42E87" w:rsidRDefault="002F7777" w:rsidP="006D78C8">
            <w:pPr>
              <w:pStyle w:val="PL"/>
              <w:rPr>
                <w:sz w:val="10"/>
              </w:rPr>
            </w:pPr>
            <w:r w:rsidRPr="00E42E87">
              <w:rPr>
                <w:sz w:val="10"/>
              </w:rPr>
              <w:t xml:space="preserve">    availableCombToReleaseList-r16   SEQUENCE (SIZE(1..maxNrofDUCells-r16)) OF </w:t>
            </w:r>
            <w:proofErr w:type="spellStart"/>
            <w:r w:rsidRPr="00E42E87">
              <w:rPr>
                <w:sz w:val="10"/>
              </w:rPr>
              <w:t>CellIdentity</w:t>
            </w:r>
            <w:proofErr w:type="spellEnd"/>
            <w:r w:rsidRPr="00E42E87">
              <w:rPr>
                <w:sz w:val="10"/>
              </w:rPr>
              <w:t>           OPTIONAL, -- Need FFS</w:t>
            </w:r>
          </w:p>
          <w:p w14:paraId="4FF56C89" w14:textId="77777777" w:rsidR="002F7777" w:rsidRPr="00E42E87" w:rsidRDefault="002F7777" w:rsidP="006D78C8">
            <w:pPr>
              <w:pStyle w:val="PL"/>
              <w:rPr>
                <w:sz w:val="10"/>
              </w:rPr>
            </w:pPr>
            <w:r w:rsidRPr="00E42E87">
              <w:rPr>
                <w:sz w:val="10"/>
              </w:rPr>
              <w:t>    ...</w:t>
            </w:r>
          </w:p>
          <w:p w14:paraId="1551B045" w14:textId="77777777" w:rsidR="002F7777" w:rsidRPr="00E42E87" w:rsidRDefault="002F7777" w:rsidP="006D78C8">
            <w:pPr>
              <w:pStyle w:val="PL"/>
              <w:rPr>
                <w:sz w:val="10"/>
              </w:rPr>
            </w:pPr>
            <w:r w:rsidRPr="00E42E87">
              <w:rPr>
                <w:sz w:val="10"/>
              </w:rPr>
              <w:t>}</w:t>
            </w:r>
          </w:p>
          <w:p w14:paraId="79E3FB23" w14:textId="77777777" w:rsidR="002F7777" w:rsidRPr="00E42E87" w:rsidRDefault="002F7777" w:rsidP="006D78C8">
            <w:pPr>
              <w:pStyle w:val="PL"/>
              <w:rPr>
                <w:sz w:val="10"/>
              </w:rPr>
            </w:pPr>
          </w:p>
          <w:p w14:paraId="3A267722" w14:textId="77777777" w:rsidR="002F7777" w:rsidRPr="00E42E87" w:rsidRDefault="002F7777" w:rsidP="006D78C8">
            <w:pPr>
              <w:pStyle w:val="PL"/>
              <w:rPr>
                <w:sz w:val="10"/>
              </w:rPr>
            </w:pPr>
            <w:r w:rsidRPr="00E42E87">
              <w:rPr>
                <w:sz w:val="10"/>
              </w:rPr>
              <w:t>AI-RNTI-r16 ::=                      RNTI-Value</w:t>
            </w:r>
          </w:p>
          <w:p w14:paraId="70B53248" w14:textId="77777777" w:rsidR="002F7777" w:rsidRPr="00E42E87" w:rsidRDefault="002F7777" w:rsidP="006D78C8">
            <w:pPr>
              <w:pStyle w:val="PL"/>
              <w:rPr>
                <w:sz w:val="10"/>
              </w:rPr>
            </w:pPr>
          </w:p>
          <w:p w14:paraId="7256F9AD" w14:textId="77777777" w:rsidR="002F7777" w:rsidRPr="00E42E87" w:rsidRDefault="002F7777" w:rsidP="006D78C8">
            <w:pPr>
              <w:pStyle w:val="PL"/>
              <w:rPr>
                <w:sz w:val="10"/>
              </w:rPr>
            </w:pPr>
            <w:r w:rsidRPr="00E42E87">
              <w:rPr>
                <w:sz w:val="10"/>
              </w:rPr>
              <w:t>-- TAG-AVAILABILITYINDICATOR-STOP</w:t>
            </w:r>
          </w:p>
          <w:p w14:paraId="0DB55611" w14:textId="77777777" w:rsidR="002F7777" w:rsidRPr="00E42E87" w:rsidRDefault="002F7777" w:rsidP="006D78C8">
            <w:pPr>
              <w:pStyle w:val="PL"/>
              <w:rPr>
                <w:sz w:val="10"/>
              </w:rPr>
            </w:pPr>
            <w:r w:rsidRPr="00E42E87">
              <w:rPr>
                <w:sz w:val="10"/>
              </w:rPr>
              <w:t>-- ASN1STOP</w:t>
            </w:r>
          </w:p>
          <w:p w14:paraId="00B3732A"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eastAsia="x-none"/>
              </w:rPr>
              <w:t>AvailabilityCombinationsPerCell</w:t>
            </w:r>
            <w:proofErr w:type="spellEnd"/>
            <w:r w:rsidRPr="00040A16">
              <w:rPr>
                <w:rFonts w:ascii="Arial" w:eastAsia="SimSun" w:hAnsi="Arial" w:cs="Arial"/>
                <w:b/>
                <w:bCs/>
                <w:sz w:val="12"/>
                <w:szCs w:val="20"/>
                <w:lang w:val="en-GB" w:eastAsia="ja-JP"/>
              </w:rPr>
              <w:t xml:space="preserve"> information element</w:t>
            </w:r>
          </w:p>
          <w:p w14:paraId="7F55D371"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1A9D974E"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2AC25717"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C93D954"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4F0572C3"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1F107770"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14:paraId="55C2B9E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14:paraId="2A63F32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5773ACCE"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0BB936E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5B7CDEA3" w14:textId="77777777" w:rsidR="002F7777" w:rsidRPr="002F0418" w:rsidRDefault="002F7777" w:rsidP="006D78C8">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9B7D24" w14:textId="77777777" w:rsidTr="00E62B40">
        <w:tc>
          <w:tcPr>
            <w:tcW w:w="1449" w:type="dxa"/>
          </w:tcPr>
          <w:p w14:paraId="62E623E7" w14:textId="704C071A"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31FC3F3E" w14:textId="1F80304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3512FDB3" w14:textId="7AB4BCDB"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Huawei,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14:paraId="32063A24" w14:textId="77777777" w:rsidTr="00E62B40">
        <w:tc>
          <w:tcPr>
            <w:tcW w:w="1449" w:type="dxa"/>
          </w:tcPr>
          <w:p w14:paraId="6B1B44D2" w14:textId="18CB4E4B"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102C23F4" w14:textId="39335E94"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086BFE44" w14:textId="03D2823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2"/>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commentRangeEnd w:id="22"/>
            <w:r w:rsidR="003D5719">
              <w:rPr>
                <w:rStyle w:val="CommentReference"/>
                <w:rFonts w:ascii="Arial" w:hAnsi="Arial"/>
              </w:rPr>
              <w:commentReference w:id="22"/>
            </w:r>
          </w:p>
        </w:tc>
      </w:tr>
      <w:tr w:rsidR="00E62B40" w:rsidRPr="002F0418" w14:paraId="46173F04" w14:textId="77777777" w:rsidTr="00E62B40">
        <w:tc>
          <w:tcPr>
            <w:tcW w:w="1449" w:type="dxa"/>
          </w:tcPr>
          <w:p w14:paraId="19C3DBE8" w14:textId="078CBD19"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09D81B71" w14:textId="3D3F2B98"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3442E13B" w14:textId="2FF6032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0BE3BCF2" w14:textId="6DE3391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42A16E74" w14:textId="3B75E0EE"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22C90730" w14:textId="19143076" w:rsidR="00C20EA7" w:rsidRDefault="00C20EA7">
      <w:pPr>
        <w:rPr>
          <w:rFonts w:asciiTheme="minorHAnsi" w:hAnsiTheme="minorHAnsi" w:cstheme="minorHAnsi"/>
          <w:b/>
          <w:sz w:val="28"/>
          <w:szCs w:val="28"/>
          <w:lang w:val="en-GB"/>
        </w:rPr>
      </w:pPr>
    </w:p>
    <w:p w14:paraId="64CB44AF" w14:textId="2373E07B"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4F098AE0" w14:textId="77777777" w:rsidR="00CA1915" w:rsidRPr="007609BB" w:rsidRDefault="00CA1915" w:rsidP="00CA1915"/>
    <w:p w14:paraId="0DAD7AA5" w14:textId="46B06CF4"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 xml:space="preserve">Usage of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 xml:space="preserve"> vs.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-IAB in 38.213 (R1-2004582)</w:t>
      </w:r>
    </w:p>
    <w:p w14:paraId="1C96268E" w14:textId="6EBB8337" w:rsidR="003D5719" w:rsidRDefault="00CA1915" w:rsidP="00CA1915">
      <w:pPr>
        <w:pStyle w:val="ListParagraph"/>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proofErr w:type="spellStart"/>
      <w:r w:rsidR="003D5719">
        <w:rPr>
          <w:i/>
          <w:iCs/>
        </w:rPr>
        <w:t>tdd</w:t>
      </w:r>
      <w:proofErr w:type="spellEnd"/>
      <w:r w:rsidR="003D5719" w:rsidRPr="00A740E9">
        <w:rPr>
          <w:i/>
          <w:iCs/>
        </w:rPr>
        <w:t>-UL-DL-</w:t>
      </w:r>
      <w:proofErr w:type="spellStart"/>
      <w:r w:rsidR="003D5719" w:rsidRPr="00A740E9">
        <w:rPr>
          <w:i/>
          <w:iCs/>
        </w:rPr>
        <w:t>ConfigDedicated</w:t>
      </w:r>
      <w:proofErr w:type="spellEnd"/>
      <w:r w:rsidR="003D5719" w:rsidRPr="00A740E9">
        <w:rPr>
          <w:i/>
          <w:iCs/>
        </w:rPr>
        <w:t>-IAB-MT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3A59AB18" w14:textId="4EC50414" w:rsidR="00CA1915" w:rsidRDefault="00CA1915" w:rsidP="00CA1915">
      <w:pPr>
        <w:rPr>
          <w:rFonts w:ascii="Calibri" w:eastAsia="Calibri" w:hAnsi="Calibri"/>
          <w:sz w:val="22"/>
          <w:szCs w:val="22"/>
        </w:rPr>
      </w:pPr>
    </w:p>
    <w:p w14:paraId="56154279" w14:textId="6B04FE29"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08A40B4E"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18525FAB" w14:textId="77777777" w:rsidR="00CA1915" w:rsidRDefault="00CA1915" w:rsidP="00CA1915">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B2CDCAB" w14:textId="77777777" w:rsidR="00CA1915" w:rsidRPr="00CA1915" w:rsidRDefault="00CA1915" w:rsidP="00CA1915">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-AI/dci-</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773A3FD7" w14:textId="57A6AAC5"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79066CC9"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02A61" w:rsidRPr="008040F5" w14:paraId="6ED71629" w14:textId="77777777" w:rsidTr="008D1466">
        <w:tc>
          <w:tcPr>
            <w:tcW w:w="1696" w:type="dxa"/>
          </w:tcPr>
          <w:p w14:paraId="06884186"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44677BD" w14:textId="7065D60E"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0E6C6122"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22C58F76" w14:textId="77777777" w:rsidTr="008D1466">
        <w:tc>
          <w:tcPr>
            <w:tcW w:w="1696" w:type="dxa"/>
          </w:tcPr>
          <w:p w14:paraId="4C7A27AB" w14:textId="4073796E" w:rsidR="00701172" w:rsidRPr="00877C78" w:rsidRDefault="00701172" w:rsidP="00701172">
            <w:pPr>
              <w:rPr>
                <w:rFonts w:ascii="Calibri" w:eastAsiaTheme="minorEastAsia" w:hAnsi="Calibri"/>
                <w:b/>
                <w:bCs/>
                <w:sz w:val="22"/>
                <w:szCs w:val="22"/>
                <w:lang w:eastAsia="zh-CN"/>
              </w:rPr>
            </w:pPr>
            <w:bookmarkStart w:id="23" w:name="_GoBack" w:colFirst="0" w:colLast="0"/>
            <w:r>
              <w:rPr>
                <w:rFonts w:ascii="Calibri" w:eastAsiaTheme="minorEastAsia" w:hAnsi="Calibri"/>
                <w:sz w:val="22"/>
                <w:szCs w:val="22"/>
                <w:lang w:eastAsia="zh-CN"/>
              </w:rPr>
              <w:t>Qualcomm</w:t>
            </w:r>
          </w:p>
        </w:tc>
        <w:tc>
          <w:tcPr>
            <w:tcW w:w="2265" w:type="dxa"/>
          </w:tcPr>
          <w:p w14:paraId="05509FDE" w14:textId="29064ACD"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0111CBD6" w14:textId="71706C24"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bookmarkEnd w:id="23"/>
    </w:tbl>
    <w:p w14:paraId="2FF22F1E" w14:textId="77777777" w:rsidR="00302A61" w:rsidRPr="00CA191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C66AF72"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6D78C8">
        <w:tc>
          <w:tcPr>
            <w:tcW w:w="1696" w:type="dxa"/>
          </w:tcPr>
          <w:p w14:paraId="0947A014"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6D78C8">
        <w:tc>
          <w:tcPr>
            <w:tcW w:w="1696" w:type="dxa"/>
          </w:tcPr>
          <w:p w14:paraId="60B259EC" w14:textId="3C12EF34"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6D78C8">
        <w:tc>
          <w:tcPr>
            <w:tcW w:w="1696" w:type="dxa"/>
          </w:tcPr>
          <w:p w14:paraId="2AB59F7E" w14:textId="24A02096"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6D78C8">
            <w:pPr>
              <w:rPr>
                <w:rFonts w:ascii="Calibri" w:eastAsiaTheme="minorEastAsia" w:hAnsi="Calibri"/>
                <w:sz w:val="22"/>
                <w:szCs w:val="22"/>
                <w:lang w:eastAsia="zh-CN"/>
              </w:rPr>
            </w:pPr>
          </w:p>
        </w:tc>
      </w:tr>
      <w:tr w:rsidR="004B3868" w:rsidRPr="008040F5" w14:paraId="358F6640" w14:textId="77777777" w:rsidTr="006D78C8">
        <w:tc>
          <w:tcPr>
            <w:tcW w:w="1696" w:type="dxa"/>
          </w:tcPr>
          <w:p w14:paraId="20E9829B" w14:textId="1444C229"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6D78C8">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20231EC1" w14:textId="74CB4896"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7E5F8D0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7967F56E" w14:textId="77777777" w:rsidTr="002F7777">
        <w:tc>
          <w:tcPr>
            <w:tcW w:w="1696" w:type="dxa"/>
          </w:tcPr>
          <w:p w14:paraId="459CDF61" w14:textId="7F0C9CD6"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2E326002" w14:textId="0CE6D109"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5D9A0969" w14:textId="77777777" w:rsidR="00BA6698" w:rsidRPr="004B3868" w:rsidRDefault="00BA6698" w:rsidP="006D78C8">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0855224C"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NOVLAN, THOMAS D" w:date="2020-05-21T17:51:00Z" w:initials="NTD">
    <w:p w14:paraId="23B81220" w14:textId="5A2FBBD1" w:rsidR="008D1466" w:rsidRDefault="008D1466">
      <w:pPr>
        <w:pStyle w:val="CommentText"/>
      </w:pPr>
      <w:r>
        <w:rPr>
          <w:rStyle w:val="CommentReferenc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B812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81220" w16cid:durableId="22713E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E6654" w14:textId="77777777" w:rsidR="00BB52BF" w:rsidRDefault="00BB52BF" w:rsidP="00424124">
      <w:r>
        <w:separator/>
      </w:r>
    </w:p>
  </w:endnote>
  <w:endnote w:type="continuationSeparator" w:id="0">
    <w:p w14:paraId="31033352" w14:textId="77777777" w:rsidR="00BB52BF" w:rsidRDefault="00BB52BF" w:rsidP="00424124">
      <w:r>
        <w:continuationSeparator/>
      </w:r>
    </w:p>
  </w:endnote>
  <w:endnote w:type="continuationNotice" w:id="1">
    <w:p w14:paraId="112D307C" w14:textId="77777777" w:rsidR="00BB52BF" w:rsidRDefault="00BB5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F948" w14:textId="77777777" w:rsidR="00BB52BF" w:rsidRDefault="00BB52BF" w:rsidP="00424124">
      <w:r>
        <w:separator/>
      </w:r>
    </w:p>
  </w:footnote>
  <w:footnote w:type="continuationSeparator" w:id="0">
    <w:p w14:paraId="2E1E3987" w14:textId="77777777" w:rsidR="00BB52BF" w:rsidRDefault="00BB52BF" w:rsidP="00424124">
      <w:r>
        <w:continuationSeparator/>
      </w:r>
    </w:p>
  </w:footnote>
  <w:footnote w:type="continuationNotice" w:id="1">
    <w:p w14:paraId="6B9BD90A" w14:textId="77777777" w:rsidR="00BB52BF" w:rsidRDefault="00BB52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F0D3-F17B-4ACD-8967-C4E4FAB9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5555</Words>
  <Characters>31669</Characters>
  <Application>Microsoft Office Word</Application>
  <DocSecurity>0</DocSecurity>
  <Lines>263</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6</cp:revision>
  <cp:lastPrinted>2016-02-23T10:51:00Z</cp:lastPrinted>
  <dcterms:created xsi:type="dcterms:W3CDTF">2020-05-22T02:29:00Z</dcterms:created>
  <dcterms:modified xsi:type="dcterms:W3CDTF">2020-05-22T03:10:00Z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