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781396DD" w:rsidR="00943FB3" w:rsidRPr="00FD5D62" w:rsidRDefault="00943FB3" w:rsidP="00785AED">
            <w:pPr>
              <w:rPr>
                <w:rFonts w:asciiTheme="minorHAnsi" w:eastAsiaTheme="minorEastAsia" w:hAnsiTheme="minorHAnsi" w:cstheme="minorHAnsi"/>
                <w:b/>
                <w:bCs/>
                <w:sz w:val="22"/>
                <w:szCs w:val="22"/>
                <w:lang w:eastAsia="zh-CN"/>
              </w:rPr>
            </w:pPr>
          </w:p>
        </w:tc>
        <w:tc>
          <w:tcPr>
            <w:tcW w:w="2265" w:type="dxa"/>
          </w:tcPr>
          <w:p w14:paraId="4F43560B" w14:textId="34212EF7" w:rsidR="00943FB3" w:rsidRPr="00FD5D62" w:rsidRDefault="00943FB3" w:rsidP="00785AED">
            <w:pPr>
              <w:rPr>
                <w:rFonts w:asciiTheme="minorHAnsi" w:eastAsiaTheme="minorEastAsia" w:hAnsiTheme="minorHAnsi" w:cstheme="minorHAnsi"/>
                <w:b/>
                <w:bCs/>
                <w:sz w:val="22"/>
                <w:szCs w:val="22"/>
                <w:lang w:eastAsia="zh-CN"/>
              </w:rPr>
            </w:pPr>
          </w:p>
        </w:tc>
        <w:tc>
          <w:tcPr>
            <w:tcW w:w="6109" w:type="dxa"/>
          </w:tcPr>
          <w:p w14:paraId="6548C540" w14:textId="7CCF3495" w:rsidR="00943FB3" w:rsidRDefault="00943FB3" w:rsidP="00785AED">
            <w:pPr>
              <w:rPr>
                <w:rFonts w:asciiTheme="minorHAnsi" w:eastAsiaTheme="minorEastAsia" w:hAnsiTheme="minorHAnsi" w:cstheme="minorHAnsi"/>
                <w:b/>
                <w:bCs/>
                <w:sz w:val="22"/>
                <w:szCs w:val="22"/>
                <w:lang w:eastAsia="zh-CN"/>
              </w:rPr>
            </w:pPr>
          </w:p>
        </w:tc>
      </w:tr>
      <w:tr w:rsidR="00F236E7" w:rsidRPr="008040F5" w14:paraId="6A1CBC02" w14:textId="77777777" w:rsidTr="00785AED">
        <w:tc>
          <w:tcPr>
            <w:tcW w:w="1696" w:type="dxa"/>
          </w:tcPr>
          <w:p w14:paraId="05FD8B14" w14:textId="0452B61E" w:rsidR="00F236E7" w:rsidRDefault="00F236E7" w:rsidP="00F236E7">
            <w:pPr>
              <w:rPr>
                <w:rFonts w:asciiTheme="minorHAnsi" w:eastAsiaTheme="minorEastAsia" w:hAnsiTheme="minorHAnsi" w:cstheme="minorHAnsi"/>
                <w:b/>
                <w:bCs/>
                <w:sz w:val="22"/>
                <w:szCs w:val="22"/>
                <w:lang w:eastAsia="zh-CN"/>
              </w:rPr>
            </w:pPr>
          </w:p>
        </w:tc>
        <w:tc>
          <w:tcPr>
            <w:tcW w:w="2265" w:type="dxa"/>
          </w:tcPr>
          <w:p w14:paraId="6ACD24DA" w14:textId="792E67D8" w:rsidR="00F236E7" w:rsidRDefault="00F236E7" w:rsidP="00F236E7">
            <w:pPr>
              <w:rPr>
                <w:rFonts w:asciiTheme="minorHAnsi" w:eastAsiaTheme="minorEastAsia" w:hAnsiTheme="minorHAnsi" w:cstheme="minorHAnsi"/>
                <w:b/>
                <w:bCs/>
                <w:sz w:val="22"/>
                <w:szCs w:val="22"/>
                <w:lang w:eastAsia="zh-CN"/>
              </w:rPr>
            </w:pPr>
          </w:p>
        </w:tc>
        <w:tc>
          <w:tcPr>
            <w:tcW w:w="6109" w:type="dxa"/>
          </w:tcPr>
          <w:p w14:paraId="5B0BADF0" w14:textId="228F9406" w:rsidR="00F236E7" w:rsidRDefault="00F236E7" w:rsidP="00F236E7">
            <w:pPr>
              <w:rPr>
                <w:rFonts w:asciiTheme="minorHAnsi" w:eastAsiaTheme="minorEastAsia" w:hAnsiTheme="minorHAnsi" w:cstheme="minorHAnsi"/>
                <w:b/>
                <w:bCs/>
                <w:sz w:val="22"/>
                <w:szCs w:val="22"/>
                <w:lang w:eastAsia="zh-CN"/>
              </w:rPr>
            </w:pPr>
          </w:p>
        </w:tc>
      </w:tr>
      <w:tr w:rsidR="0028552B" w:rsidRPr="008040F5" w14:paraId="6D50B7D7" w14:textId="77777777" w:rsidTr="00785AED">
        <w:tc>
          <w:tcPr>
            <w:tcW w:w="1696" w:type="dxa"/>
          </w:tcPr>
          <w:p w14:paraId="6B65812D" w14:textId="61DC9AF8" w:rsidR="0028552B" w:rsidRDefault="0028552B" w:rsidP="0028552B">
            <w:pPr>
              <w:rPr>
                <w:rFonts w:asciiTheme="minorHAnsi" w:eastAsiaTheme="minorEastAsia" w:hAnsiTheme="minorHAnsi" w:cstheme="minorHAnsi"/>
                <w:b/>
                <w:bCs/>
                <w:sz w:val="22"/>
                <w:szCs w:val="22"/>
                <w:lang w:eastAsia="zh-CN"/>
              </w:rPr>
            </w:pPr>
          </w:p>
        </w:tc>
        <w:tc>
          <w:tcPr>
            <w:tcW w:w="2265" w:type="dxa"/>
          </w:tcPr>
          <w:p w14:paraId="30197D21" w14:textId="3F48AB33" w:rsidR="0028552B" w:rsidRDefault="0028552B" w:rsidP="0028552B">
            <w:pPr>
              <w:rPr>
                <w:rFonts w:asciiTheme="minorHAnsi" w:eastAsiaTheme="minorEastAsia" w:hAnsiTheme="minorHAnsi" w:cstheme="minorHAnsi"/>
                <w:b/>
                <w:bCs/>
                <w:sz w:val="22"/>
                <w:szCs w:val="22"/>
                <w:lang w:eastAsia="zh-CN"/>
              </w:rPr>
            </w:pPr>
          </w:p>
        </w:tc>
        <w:tc>
          <w:tcPr>
            <w:tcW w:w="6109" w:type="dxa"/>
          </w:tcPr>
          <w:p w14:paraId="5CE23679" w14:textId="74215F0F" w:rsidR="0028552B" w:rsidRPr="0028552B" w:rsidRDefault="0028552B" w:rsidP="0028552B">
            <w:pPr>
              <w:rPr>
                <w:rFonts w:asciiTheme="minorHAnsi" w:eastAsiaTheme="minorEastAsia" w:hAnsiTheme="minorHAnsi" w:cstheme="minorHAnsi"/>
                <w:sz w:val="22"/>
                <w:szCs w:val="22"/>
                <w:lang w:eastAsia="zh-CN"/>
              </w:rPr>
            </w:pPr>
          </w:p>
        </w:tc>
      </w:tr>
      <w:tr w:rsidR="005F69D5" w:rsidRPr="008040F5" w14:paraId="5CBAB71A" w14:textId="77777777" w:rsidTr="00785AED">
        <w:tc>
          <w:tcPr>
            <w:tcW w:w="1696" w:type="dxa"/>
          </w:tcPr>
          <w:p w14:paraId="4CA9A4EC" w14:textId="028F452E" w:rsidR="005F69D5" w:rsidRDefault="005F69D5" w:rsidP="0028552B">
            <w:pPr>
              <w:rPr>
                <w:rFonts w:asciiTheme="minorHAnsi" w:eastAsia="Malgun Gothic" w:hAnsiTheme="minorHAnsi" w:cstheme="minorHAnsi"/>
                <w:b/>
                <w:bCs/>
                <w:sz w:val="22"/>
                <w:szCs w:val="22"/>
                <w:lang w:eastAsia="ko-KR"/>
              </w:rPr>
            </w:pPr>
          </w:p>
        </w:tc>
        <w:tc>
          <w:tcPr>
            <w:tcW w:w="2265" w:type="dxa"/>
          </w:tcPr>
          <w:p w14:paraId="2328C847" w14:textId="6731F4F5" w:rsidR="005F69D5" w:rsidRPr="005F69D5" w:rsidRDefault="005F69D5" w:rsidP="0028552B">
            <w:pPr>
              <w:rPr>
                <w:rFonts w:asciiTheme="minorHAnsi" w:eastAsia="Yu Mincho" w:hAnsiTheme="minorHAnsi" w:cstheme="minorHAnsi"/>
                <w:b/>
                <w:bCs/>
                <w:sz w:val="22"/>
                <w:szCs w:val="22"/>
                <w:lang w:eastAsia="ja-JP"/>
              </w:rPr>
            </w:pPr>
          </w:p>
        </w:tc>
        <w:tc>
          <w:tcPr>
            <w:tcW w:w="6109" w:type="dxa"/>
          </w:tcPr>
          <w:p w14:paraId="6E981DC3" w14:textId="77777777" w:rsidR="005F69D5" w:rsidRPr="0028552B" w:rsidRDefault="005F69D5" w:rsidP="0028552B">
            <w:pPr>
              <w:rPr>
                <w:rFonts w:asciiTheme="minorHAnsi" w:eastAsia="Malgun Gothic" w:hAnsiTheme="minorHAnsi" w:cstheme="minorHAnsi"/>
                <w:bCs/>
                <w:sz w:val="22"/>
                <w:szCs w:val="22"/>
                <w:lang w:eastAsia="ko-KR"/>
              </w:rPr>
            </w:pPr>
          </w:p>
        </w:tc>
      </w:tr>
      <w:tr w:rsidR="00E178B5" w:rsidRPr="008040F5" w14:paraId="0350BA04" w14:textId="77777777" w:rsidTr="00785AED">
        <w:tc>
          <w:tcPr>
            <w:tcW w:w="1696" w:type="dxa"/>
          </w:tcPr>
          <w:p w14:paraId="020F44A1" w14:textId="41466706" w:rsidR="00E178B5" w:rsidRDefault="00E178B5" w:rsidP="00E178B5">
            <w:pPr>
              <w:rPr>
                <w:rFonts w:asciiTheme="minorHAnsi" w:eastAsia="Malgun Gothic" w:hAnsiTheme="minorHAnsi" w:cstheme="minorHAnsi"/>
                <w:b/>
                <w:bCs/>
                <w:sz w:val="22"/>
                <w:szCs w:val="22"/>
                <w:lang w:eastAsia="ko-KR"/>
              </w:rPr>
            </w:pPr>
          </w:p>
        </w:tc>
        <w:tc>
          <w:tcPr>
            <w:tcW w:w="2265" w:type="dxa"/>
          </w:tcPr>
          <w:p w14:paraId="1EC88259" w14:textId="1F66AEA3" w:rsidR="00E178B5" w:rsidRDefault="00E178B5" w:rsidP="00E178B5">
            <w:pPr>
              <w:rPr>
                <w:rFonts w:asciiTheme="minorHAnsi" w:eastAsia="Yu Mincho" w:hAnsiTheme="minorHAnsi" w:cstheme="minorHAnsi"/>
                <w:b/>
                <w:bCs/>
                <w:sz w:val="22"/>
                <w:szCs w:val="22"/>
                <w:lang w:eastAsia="ja-JP"/>
              </w:rPr>
            </w:pPr>
          </w:p>
        </w:tc>
        <w:tc>
          <w:tcPr>
            <w:tcW w:w="6109" w:type="dxa"/>
          </w:tcPr>
          <w:p w14:paraId="0D3D4A1C" w14:textId="4D5DB7F2" w:rsidR="00E178B5" w:rsidRPr="0028552B" w:rsidRDefault="00E178B5" w:rsidP="00E178B5">
            <w:pPr>
              <w:rPr>
                <w:rFonts w:asciiTheme="minorHAnsi" w:eastAsia="Malgun Gothic" w:hAnsiTheme="minorHAnsi" w:cstheme="minorHAnsi"/>
                <w:bCs/>
                <w:sz w:val="22"/>
                <w:szCs w:val="22"/>
                <w:lang w:eastAsia="ko-KR"/>
              </w:rPr>
            </w:pPr>
          </w:p>
        </w:tc>
      </w:tr>
      <w:tr w:rsidR="00C47EFF" w:rsidRPr="008040F5" w14:paraId="7A74725C" w14:textId="77777777" w:rsidTr="00785AED">
        <w:tc>
          <w:tcPr>
            <w:tcW w:w="1696" w:type="dxa"/>
          </w:tcPr>
          <w:p w14:paraId="4AFCD483" w14:textId="0F147704" w:rsidR="00C47EFF" w:rsidRDefault="00C47EFF" w:rsidP="00E178B5">
            <w:pPr>
              <w:rPr>
                <w:rFonts w:asciiTheme="minorHAnsi" w:eastAsiaTheme="minorEastAsia" w:hAnsiTheme="minorHAnsi" w:cstheme="minorHAnsi"/>
                <w:b/>
                <w:bCs/>
                <w:sz w:val="22"/>
                <w:szCs w:val="22"/>
                <w:lang w:eastAsia="zh-CN"/>
              </w:rPr>
            </w:pPr>
          </w:p>
        </w:tc>
        <w:tc>
          <w:tcPr>
            <w:tcW w:w="2265" w:type="dxa"/>
          </w:tcPr>
          <w:p w14:paraId="6071941C" w14:textId="44EB39C8" w:rsidR="00C47EFF" w:rsidRDefault="00C47EFF" w:rsidP="00E178B5">
            <w:pPr>
              <w:rPr>
                <w:rFonts w:asciiTheme="minorHAnsi" w:eastAsiaTheme="minorEastAsia" w:hAnsiTheme="minorHAnsi" w:cstheme="minorHAnsi"/>
                <w:b/>
                <w:bCs/>
                <w:sz w:val="22"/>
                <w:szCs w:val="22"/>
                <w:lang w:eastAsia="zh-CN"/>
              </w:rPr>
            </w:pPr>
          </w:p>
        </w:tc>
        <w:tc>
          <w:tcPr>
            <w:tcW w:w="6109" w:type="dxa"/>
          </w:tcPr>
          <w:p w14:paraId="004BE3F2" w14:textId="77777777" w:rsidR="00C47EFF" w:rsidRDefault="00C47EFF" w:rsidP="00E178B5">
            <w:pPr>
              <w:rPr>
                <w:rFonts w:asciiTheme="minorHAnsi" w:eastAsiaTheme="minorEastAsia" w:hAnsiTheme="minorHAnsi" w:cstheme="minorHAnsi"/>
                <w:bCs/>
                <w:sz w:val="22"/>
                <w:szCs w:val="22"/>
                <w:lang w:eastAsia="zh-CN"/>
              </w:rPr>
            </w:pPr>
          </w:p>
        </w:tc>
      </w:tr>
      <w:tr w:rsidR="00AF0BE6" w:rsidRPr="008040F5" w14:paraId="52AF15CB" w14:textId="77777777" w:rsidTr="00785AED">
        <w:tc>
          <w:tcPr>
            <w:tcW w:w="1696" w:type="dxa"/>
          </w:tcPr>
          <w:p w14:paraId="60541D25" w14:textId="77872C78" w:rsidR="00AF0BE6" w:rsidRDefault="00AF0BE6" w:rsidP="00E178B5">
            <w:pPr>
              <w:rPr>
                <w:rFonts w:asciiTheme="minorHAnsi" w:eastAsiaTheme="minorEastAsia" w:hAnsiTheme="minorHAnsi" w:cstheme="minorHAnsi"/>
                <w:b/>
                <w:bCs/>
                <w:sz w:val="22"/>
                <w:szCs w:val="22"/>
                <w:lang w:eastAsia="zh-CN"/>
              </w:rPr>
            </w:pPr>
          </w:p>
        </w:tc>
        <w:tc>
          <w:tcPr>
            <w:tcW w:w="2265" w:type="dxa"/>
          </w:tcPr>
          <w:p w14:paraId="15EF080F" w14:textId="2339B2A5" w:rsidR="00AF0BE6" w:rsidRDefault="00AF0BE6" w:rsidP="00E178B5">
            <w:pPr>
              <w:rPr>
                <w:rFonts w:asciiTheme="minorHAnsi" w:eastAsiaTheme="minorEastAsia" w:hAnsiTheme="minorHAnsi" w:cstheme="minorHAnsi"/>
                <w:b/>
                <w:bCs/>
                <w:sz w:val="22"/>
                <w:szCs w:val="22"/>
                <w:lang w:eastAsia="zh-CN"/>
              </w:rPr>
            </w:pPr>
          </w:p>
        </w:tc>
        <w:tc>
          <w:tcPr>
            <w:tcW w:w="6109" w:type="dxa"/>
          </w:tcPr>
          <w:p w14:paraId="0E14E558" w14:textId="1F268143" w:rsidR="00AF0BE6" w:rsidRDefault="00AF0BE6" w:rsidP="00E178B5">
            <w:pPr>
              <w:rPr>
                <w:rFonts w:asciiTheme="minorHAnsi" w:eastAsiaTheme="minorEastAsia" w:hAnsiTheme="minorHAnsi" w:cstheme="minorHAnsi"/>
                <w:bCs/>
                <w:sz w:val="22"/>
                <w:szCs w:val="22"/>
                <w:lang w:eastAsia="zh-CN"/>
              </w:rPr>
            </w:pPr>
          </w:p>
        </w:tc>
      </w:tr>
      <w:tr w:rsidR="00C6477B" w:rsidRPr="008040F5" w14:paraId="010D026A" w14:textId="77777777" w:rsidTr="00785AED">
        <w:tc>
          <w:tcPr>
            <w:tcW w:w="1696" w:type="dxa"/>
          </w:tcPr>
          <w:p w14:paraId="21E3E8C3" w14:textId="2614318A"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C6477B" w:rsidRPr="00C6477B" w:rsidRDefault="00C6477B" w:rsidP="00E178B5">
            <w:pPr>
              <w:rPr>
                <w:rFonts w:asciiTheme="minorHAnsi" w:eastAsiaTheme="minorEastAsia" w:hAnsiTheme="minorHAnsi" w:cstheme="minorHAnsi"/>
                <w:bCs/>
                <w:color w:val="4472C4" w:themeColor="accent1"/>
                <w:sz w:val="22"/>
                <w:szCs w:val="22"/>
                <w:lang w:eastAsia="zh-CN"/>
              </w:rPr>
            </w:pPr>
          </w:p>
        </w:tc>
      </w:tr>
      <w:tr w:rsidR="00A07EFE" w:rsidRPr="008040F5" w14:paraId="2CB1A0B4" w14:textId="77777777" w:rsidTr="00785AED">
        <w:tc>
          <w:tcPr>
            <w:tcW w:w="1696" w:type="dxa"/>
          </w:tcPr>
          <w:p w14:paraId="6B224EDB" w14:textId="2A0A0478" w:rsidR="00A07EFE" w:rsidRPr="00C6477B" w:rsidRDefault="00A07EFE"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A07EFE" w:rsidRDefault="00A07EFE" w:rsidP="002D53DA">
            <w:pPr>
              <w:rPr>
                <w:rFonts w:asciiTheme="minorHAnsi" w:eastAsiaTheme="minorEastAsia" w:hAnsiTheme="minorHAnsi" w:cstheme="minorHAnsi"/>
                <w:b/>
                <w:bCs/>
                <w:sz w:val="22"/>
                <w:szCs w:val="22"/>
                <w:lang w:eastAsia="zh-CN"/>
              </w:rPr>
            </w:pPr>
          </w:p>
        </w:tc>
        <w:tc>
          <w:tcPr>
            <w:tcW w:w="6109" w:type="dxa"/>
          </w:tcPr>
          <w:p w14:paraId="757F38C4" w14:textId="6FBD4AA1" w:rsidR="00A07EFE" w:rsidRDefault="00A07EFE" w:rsidP="002D53DA">
            <w:pPr>
              <w:pStyle w:val="ListParagraph"/>
              <w:ind w:left="89"/>
              <w:jc w:val="center"/>
              <w:rPr>
                <w:rFonts w:asciiTheme="minorHAnsi" w:eastAsiaTheme="minorEastAsia" w:hAnsiTheme="minorHAnsi" w:cstheme="minorHAnsi"/>
                <w:b/>
                <w:bCs/>
                <w:sz w:val="22"/>
                <w:szCs w:val="22"/>
                <w:lang w:eastAsia="zh-CN"/>
              </w:rPr>
            </w:pPr>
          </w:p>
        </w:tc>
      </w:tr>
      <w:tr w:rsidR="001A74D0" w:rsidRPr="008040F5" w14:paraId="203CCF82" w14:textId="77777777" w:rsidTr="00785AED">
        <w:tc>
          <w:tcPr>
            <w:tcW w:w="1696" w:type="dxa"/>
          </w:tcPr>
          <w:p w14:paraId="356EE9A4" w14:textId="22880F40" w:rsidR="001A74D0" w:rsidRDefault="001A74D0"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1A74D0" w:rsidRDefault="001A74D0" w:rsidP="002D53DA">
            <w:pPr>
              <w:rPr>
                <w:rFonts w:asciiTheme="minorHAnsi" w:eastAsiaTheme="minorEastAsia" w:hAnsiTheme="minorHAnsi" w:cstheme="minorHAnsi"/>
                <w:b/>
                <w:bCs/>
                <w:sz w:val="22"/>
                <w:szCs w:val="22"/>
                <w:lang w:eastAsia="zh-CN"/>
              </w:rPr>
            </w:pPr>
          </w:p>
        </w:tc>
        <w:tc>
          <w:tcPr>
            <w:tcW w:w="6109" w:type="dxa"/>
          </w:tcPr>
          <w:p w14:paraId="26D6F9E0" w14:textId="6802C40F" w:rsidR="001A74D0" w:rsidRDefault="001A74D0" w:rsidP="001A74D0">
            <w:pPr>
              <w:spacing w:after="120"/>
              <w:rPr>
                <w:rFonts w:asciiTheme="minorHAnsi" w:eastAsiaTheme="minorEastAsia" w:hAnsiTheme="minorHAnsi" w:cstheme="minorHAnsi"/>
                <w:b/>
                <w:bCs/>
                <w:sz w:val="22"/>
                <w:szCs w:val="22"/>
                <w:lang w:eastAsia="zh-CN"/>
              </w:rPr>
            </w:pPr>
          </w:p>
        </w:tc>
      </w:tr>
      <w:tr w:rsidR="003B278F" w:rsidRPr="008040F5" w14:paraId="7481E150" w14:textId="77777777" w:rsidTr="00785AED">
        <w:tc>
          <w:tcPr>
            <w:tcW w:w="1696" w:type="dxa"/>
          </w:tcPr>
          <w:p w14:paraId="57F16C7E" w14:textId="25FB70A7" w:rsidR="003B278F" w:rsidRDefault="003B278F" w:rsidP="003B278F">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3B278F" w:rsidRDefault="003B278F" w:rsidP="003B278F">
            <w:pPr>
              <w:rPr>
                <w:rFonts w:asciiTheme="minorHAnsi" w:eastAsiaTheme="minorEastAsia" w:hAnsiTheme="minorHAnsi" w:cstheme="minorHAnsi"/>
                <w:b/>
                <w:bCs/>
                <w:sz w:val="22"/>
                <w:szCs w:val="22"/>
                <w:lang w:eastAsia="zh-CN"/>
              </w:rPr>
            </w:pPr>
          </w:p>
        </w:tc>
        <w:tc>
          <w:tcPr>
            <w:tcW w:w="6109" w:type="dxa"/>
          </w:tcPr>
          <w:p w14:paraId="0863B776" w14:textId="58BDC571" w:rsidR="003B278F" w:rsidRPr="003B278F" w:rsidRDefault="003B278F" w:rsidP="003B278F">
            <w:pPr>
              <w:spacing w:after="120"/>
              <w:rPr>
                <w:rFonts w:asciiTheme="minorHAnsi" w:eastAsiaTheme="minorEastAsia" w:hAnsiTheme="minorHAnsi" w:cstheme="minorHAnsi"/>
                <w:sz w:val="22"/>
                <w:szCs w:val="22"/>
                <w:lang w:eastAsia="zh-CN"/>
              </w:rPr>
            </w:pPr>
          </w:p>
        </w:tc>
      </w:tr>
      <w:tr w:rsidR="00846555" w:rsidRPr="008040F5" w14:paraId="7DA81B38" w14:textId="77777777" w:rsidTr="00641ADE">
        <w:tc>
          <w:tcPr>
            <w:tcW w:w="1696" w:type="dxa"/>
          </w:tcPr>
          <w:p w14:paraId="2B3DD93B" w14:textId="1988C790" w:rsidR="00846555" w:rsidRPr="00EC3D1F" w:rsidRDefault="004B017D" w:rsidP="007C47E8">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007C47E8" w:rsidRPr="00EC3D1F">
              <w:rPr>
                <w:rFonts w:ascii="Calibri" w:eastAsiaTheme="minorEastAsia" w:hAnsi="Calibri"/>
                <w:b/>
                <w:bCs/>
                <w:sz w:val="22"/>
                <w:szCs w:val="22"/>
                <w:lang w:eastAsia="zh-CN"/>
              </w:rPr>
              <w:t xml:space="preserve"> </w:t>
            </w:r>
          </w:p>
        </w:tc>
        <w:tc>
          <w:tcPr>
            <w:tcW w:w="2265" w:type="dxa"/>
          </w:tcPr>
          <w:p w14:paraId="7EC3647A" w14:textId="30DC699D" w:rsidR="00846555" w:rsidRPr="00EC3D1F" w:rsidRDefault="00846555" w:rsidP="00641ADE">
            <w:pPr>
              <w:rPr>
                <w:rFonts w:ascii="Calibri" w:eastAsiaTheme="minorEastAsia" w:hAnsi="Calibri"/>
                <w:b/>
                <w:bCs/>
                <w:sz w:val="22"/>
                <w:szCs w:val="22"/>
                <w:lang w:eastAsia="zh-CN"/>
              </w:rPr>
            </w:pPr>
          </w:p>
        </w:tc>
        <w:tc>
          <w:tcPr>
            <w:tcW w:w="6109" w:type="dxa"/>
          </w:tcPr>
          <w:p w14:paraId="28F2976E" w14:textId="0D383A73" w:rsidR="00846555" w:rsidRPr="00DF1C60" w:rsidRDefault="00846555" w:rsidP="00641ADE">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proofErr w:type="spellStart"/>
      <w:r w:rsidR="003C7701">
        <w:rPr>
          <w:rFonts w:ascii="Calibri" w:eastAsia="Calibri" w:hAnsi="Calibri"/>
          <w:sz w:val="22"/>
          <w:szCs w:val="22"/>
        </w:rPr>
        <w:t>ignalling</w:t>
      </w:r>
      <w:proofErr w:type="spellEnd"/>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34F9613D"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C66AF72"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E7276" w14:textId="77777777" w:rsidR="00FE3E11" w:rsidRDefault="00FE3E11" w:rsidP="00424124">
      <w:r>
        <w:separator/>
      </w:r>
    </w:p>
  </w:endnote>
  <w:endnote w:type="continuationSeparator" w:id="0">
    <w:p w14:paraId="6A2AC690" w14:textId="77777777" w:rsidR="00FE3E11" w:rsidRDefault="00FE3E11" w:rsidP="00424124">
      <w:r>
        <w:continuationSeparator/>
      </w:r>
    </w:p>
  </w:endnote>
  <w:endnote w:type="continuationNotice" w:id="1">
    <w:p w14:paraId="3EF95B54" w14:textId="77777777" w:rsidR="00FE3E11" w:rsidRDefault="00FE3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6C4B1" w14:textId="77777777" w:rsidR="00FE3E11" w:rsidRDefault="00FE3E11" w:rsidP="00424124">
      <w:r>
        <w:separator/>
      </w:r>
    </w:p>
  </w:footnote>
  <w:footnote w:type="continuationSeparator" w:id="0">
    <w:p w14:paraId="3743D9A5" w14:textId="77777777" w:rsidR="00FE3E11" w:rsidRDefault="00FE3E11" w:rsidP="00424124">
      <w:r>
        <w:continuationSeparator/>
      </w:r>
    </w:p>
  </w:footnote>
  <w:footnote w:type="continuationNotice" w:id="1">
    <w:p w14:paraId="6B2C7436" w14:textId="77777777" w:rsidR="00FE3E11" w:rsidRDefault="00FE3E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3"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13"/>
  </w:num>
  <w:num w:numId="5">
    <w:abstractNumId w:val="21"/>
  </w:num>
  <w:num w:numId="6">
    <w:abstractNumId w:val="30"/>
  </w:num>
  <w:num w:numId="7">
    <w:abstractNumId w:val="1"/>
  </w:num>
  <w:num w:numId="8">
    <w:abstractNumId w:val="32"/>
  </w:num>
  <w:num w:numId="9">
    <w:abstractNumId w:val="3"/>
  </w:num>
  <w:num w:numId="10">
    <w:abstractNumId w:val="2"/>
  </w:num>
  <w:num w:numId="11">
    <w:abstractNumId w:val="20"/>
  </w:num>
  <w:num w:numId="12">
    <w:abstractNumId w:val="34"/>
  </w:num>
  <w:num w:numId="13">
    <w:abstractNumId w:val="33"/>
  </w:num>
  <w:num w:numId="14">
    <w:abstractNumId w:val="28"/>
  </w:num>
  <w:num w:numId="15">
    <w:abstractNumId w:val="7"/>
  </w:num>
  <w:num w:numId="16">
    <w:abstractNumId w:val="36"/>
  </w:num>
  <w:num w:numId="17">
    <w:abstractNumId w:val="10"/>
  </w:num>
  <w:num w:numId="18">
    <w:abstractNumId w:val="29"/>
  </w:num>
  <w:num w:numId="19">
    <w:abstractNumId w:val="0"/>
  </w:num>
  <w:num w:numId="20">
    <w:abstractNumId w:val="6"/>
  </w:num>
  <w:num w:numId="21">
    <w:abstractNumId w:val="14"/>
  </w:num>
  <w:num w:numId="22">
    <w:abstractNumId w:val="35"/>
  </w:num>
  <w:num w:numId="23">
    <w:abstractNumId w:val="17"/>
  </w:num>
  <w:num w:numId="24">
    <w:abstractNumId w:val="9"/>
  </w:num>
  <w:num w:numId="25">
    <w:abstractNumId w:val="11"/>
  </w:num>
  <w:num w:numId="26">
    <w:abstractNumId w:val="4"/>
  </w:num>
  <w:num w:numId="27">
    <w:abstractNumId w:val="23"/>
  </w:num>
  <w:num w:numId="28">
    <w:abstractNumId w:val="31"/>
  </w:num>
  <w:num w:numId="29">
    <w:abstractNumId w:val="16"/>
  </w:num>
  <w:num w:numId="30">
    <w:abstractNumId w:val="27"/>
  </w:num>
  <w:num w:numId="31">
    <w:abstractNumId w:val="26"/>
  </w:num>
  <w:num w:numId="32">
    <w:abstractNumId w:val="12"/>
  </w:num>
  <w:num w:numId="33">
    <w:abstractNumId w:val="25"/>
  </w:num>
  <w:num w:numId="34">
    <w:abstractNumId w:val="17"/>
  </w:num>
  <w:num w:numId="35">
    <w:abstractNumId w:val="22"/>
  </w:num>
  <w:num w:numId="36">
    <w:abstractNumId w:val="5"/>
  </w:num>
  <w:num w:numId="37">
    <w:abstractNumId w:val="19"/>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1AF"/>
    <w:rsid w:val="004C32B7"/>
    <w:rsid w:val="004C3F2E"/>
    <w:rsid w:val="004C4648"/>
    <w:rsid w:val="004C4856"/>
    <w:rsid w:val="004C53CB"/>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7A3E"/>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E51"/>
    <w:rsid w:val="00A529C5"/>
    <w:rsid w:val="00A537B2"/>
    <w:rsid w:val="00A545AE"/>
    <w:rsid w:val="00A547CE"/>
    <w:rsid w:val="00A54B5C"/>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78EE"/>
    <w:rsid w:val="00A97F34"/>
    <w:rsid w:val="00AA008D"/>
    <w:rsid w:val="00AA2BDC"/>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65FB"/>
    <w:rsid w:val="00C5735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54C9B-7D86-49F9-AE98-F9E8CB1E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2398</Words>
  <Characters>13672</Characters>
  <Application>Microsoft Office Word</Application>
  <DocSecurity>0</DocSecurity>
  <Lines>113</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2020-05-20T15:34:00Z</dcterms:created>
  <dcterms:modified xsi:type="dcterms:W3CDTF">2020-05-20T15:41:00Z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2020-04-22 18:27:35Z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1589978871</vt:lpwstr>
  </property>
</Properties>
</file>