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r>
      <w:r>
        <w:rPr>
          <w:b/>
          <w:kern w:val="2"/>
          <w:lang w:eastAsia="zh-CN"/>
        </w:rPr>
        <w:t>R1-200xxxx</w:t>
      </w:r>
    </w:p>
    <w:p>
      <w:pPr>
        <w:rPr>
          <w:b/>
          <w:bCs/>
          <w:lang w:eastAsia="zh-CN"/>
        </w:rPr>
      </w:pPr>
      <w:r>
        <w:rPr>
          <w:b/>
          <w:bCs/>
          <w:lang w:eastAsia="zh-CN"/>
        </w:rPr>
        <w:t>e-Meeting, May 25 – June 5, 2020</w:t>
      </w:r>
    </w:p>
    <w:p>
      <w:pPr>
        <w:pBdr>
          <w:top w:val="single" w:color="auto" w:sz="4" w:space="1"/>
        </w:pBdr>
        <w:spacing w:after="0"/>
        <w:jc w:val="left"/>
        <w:rPr>
          <w:b/>
          <w:kern w:val="2"/>
          <w:sz w:val="16"/>
          <w:szCs w:val="16"/>
          <w:lang w:eastAsia="zh-CN"/>
        </w:rPr>
      </w:pPr>
    </w:p>
    <w:p>
      <w:pPr>
        <w:spacing w:after="0"/>
        <w:ind w:left="1555" w:hanging="1555"/>
        <w:jc w:val="left"/>
        <w:rPr>
          <w:b/>
          <w:kern w:val="2"/>
          <w:lang w:eastAsia="zh-CN"/>
        </w:rPr>
      </w:pPr>
      <w:r>
        <w:rPr>
          <w:b/>
          <w:kern w:val="2"/>
          <w:lang w:eastAsia="zh-CN"/>
        </w:rPr>
        <w:t>Agenda Item:</w:t>
      </w:r>
      <w:r>
        <w:rPr>
          <w:b/>
          <w:kern w:val="2"/>
          <w:lang w:eastAsia="zh-CN"/>
        </w:rPr>
        <w:tab/>
      </w:r>
      <w:r>
        <w:rPr>
          <w:b/>
          <w:kern w:val="2"/>
          <w:lang w:eastAsia="zh-CN"/>
        </w:rPr>
        <w:t>7.2.2.2.2</w:t>
      </w:r>
    </w:p>
    <w:p>
      <w:pPr>
        <w:spacing w:after="0"/>
        <w:ind w:left="1555" w:hanging="1555"/>
        <w:jc w:val="left"/>
        <w:rPr>
          <w:b/>
          <w:kern w:val="2"/>
          <w:lang w:eastAsia="zh-CN"/>
        </w:rPr>
      </w:pPr>
      <w:r>
        <w:rPr>
          <w:b/>
          <w:kern w:val="2"/>
          <w:lang w:eastAsia="zh-CN"/>
        </w:rPr>
        <w:t>Source:</w:t>
      </w:r>
      <w:r>
        <w:rPr>
          <w:b/>
          <w:kern w:val="2"/>
          <w:lang w:eastAsia="zh-CN"/>
        </w:rPr>
        <w:tab/>
      </w:r>
      <w:r>
        <w:rPr>
          <w:b/>
          <w:kern w:val="2"/>
          <w:lang w:eastAsia="zh-CN"/>
        </w:rPr>
        <w:t>Charter Communications</w:t>
      </w:r>
    </w:p>
    <w:p>
      <w:pPr>
        <w:spacing w:after="0"/>
        <w:ind w:left="1555" w:hanging="1555"/>
        <w:jc w:val="left"/>
        <w:rPr>
          <w:b/>
          <w:kern w:val="2"/>
          <w:lang w:eastAsia="zh-CN"/>
        </w:rPr>
      </w:pPr>
      <w:r>
        <w:rPr>
          <w:b/>
          <w:kern w:val="2"/>
          <w:lang w:eastAsia="zh-CN"/>
        </w:rPr>
        <w:t>Title:</w:t>
      </w:r>
      <w:r>
        <w:rPr>
          <w:b/>
          <w:kern w:val="2"/>
          <w:lang w:eastAsia="zh-CN"/>
        </w:rPr>
        <w:tab/>
      </w:r>
      <w:r>
        <w:rPr>
          <w:b/>
          <w:kern w:val="2"/>
          <w:lang w:eastAsia="zh-CN"/>
        </w:rPr>
        <w:t>Draft [101-e-NR-unlic-NRU-InitAccessProc-01]</w:t>
      </w:r>
    </w:p>
    <w:p>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spacing w:before="0" w:after="0"/>
      </w:pPr>
      <w:bookmarkStart w:id="0" w:name="_Ref129681862"/>
      <w:bookmarkStart w:id="1" w:name="_Ref124589705"/>
      <w:r>
        <w:t>Introduction</w:t>
      </w:r>
      <w:bookmarkEnd w:id="0"/>
      <w:bookmarkEnd w:id="1"/>
    </w:p>
    <w:p>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discussion that aims to converge by 5/29 has the following scope:</w:t>
      </w:r>
    </w:p>
    <w:p>
      <w:pPr>
        <w:spacing w:after="0"/>
        <w:rPr>
          <w:rFonts w:eastAsiaTheme="minorEastAsia"/>
          <w:lang w:eastAsia="zh-CN"/>
        </w:rPr>
      </w:pPr>
    </w:p>
    <w:p>
      <w:pPr>
        <w:autoSpaceDE/>
        <w:autoSpaceDN/>
        <w:adjustRightInd/>
        <w:snapToGrid/>
        <w:spacing w:before="100" w:beforeAutospacing="1" w:after="100" w:afterAutospacing="1" w:line="252" w:lineRule="auto"/>
        <w:jc w:val="left"/>
        <w:rPr>
          <w:rFonts w:ascii="Times" w:hAnsi="Times" w:cs="Times"/>
          <w:sz w:val="20"/>
          <w:szCs w:val="20"/>
          <w:lang w:eastAsia="zh-CN"/>
        </w:rPr>
      </w:pPr>
      <w:r>
        <w:rPr>
          <w:rFonts w:ascii="Calibri" w:hAnsi="Calibri" w:cs="Calibri"/>
          <w:sz w:val="20"/>
          <w:szCs w:val="20"/>
          <w:highlight w:val="cyan"/>
        </w:rPr>
        <w:t>[101-e-NR-unlic-NRU-InitAccessProc-01] Email discussion/approval on the following issues from R1-2003306 until 5/29; if necessary endorse associated TPs by 6/4 – Amitav (Charter)</w:t>
      </w:r>
    </w:p>
    <w:p>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(#2.1, #2.3, #2.4, #2.5) Remaining corrections for cell search in TS 38.213.</w:t>
      </w:r>
    </w:p>
    <w:p>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(#2.2, #2.6) Clarifications on PDSCH rate-matching around a given SSB index.</w:t>
      </w:r>
    </w:p>
    <w:p>
      <w:pPr>
        <w:autoSpaceDE/>
        <w:autoSpaceDN/>
        <w:adjustRightInd/>
        <w:snapToGrid/>
        <w:spacing w:after="0"/>
        <w:jc w:val="left"/>
        <w:rPr>
          <w:lang w:eastAsia="zh-CN"/>
        </w:rPr>
      </w:pPr>
    </w:p>
    <w:p>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fldChar w:fldCharType="separate"/>
      </w:r>
      <w:r>
        <w:rPr>
          <w:lang w:eastAsia="zh-CN"/>
        </w:rPr>
        <w:t>[14]</w:t>
      </w:r>
      <w:r>
        <w:rPr>
          <w:lang w:eastAsia="zh-CN"/>
        </w:rPr>
        <w:fldChar w:fldCharType="end"/>
      </w:r>
      <w:r>
        <w:rPr>
          <w:lang w:eastAsia="zh-CN"/>
        </w:rPr>
        <w:t>.</w:t>
      </w:r>
    </w:p>
    <w:p>
      <w:pPr>
        <w:spacing w:after="0"/>
        <w:rPr>
          <w:rFonts w:eastAsiaTheme="minorEastAsia"/>
          <w:lang w:eastAsia="zh-CN"/>
        </w:rPr>
      </w:pPr>
    </w:p>
    <w:p>
      <w:pPr>
        <w:pStyle w:val="2"/>
        <w:rPr>
          <w:lang w:eastAsia="zh-CN"/>
        </w:rPr>
      </w:pPr>
      <w:r>
        <w:rPr>
          <w:lang w:eastAsia="zh-CN"/>
        </w:rPr>
        <w:t>Company views</w:t>
      </w:r>
    </w:p>
    <w:p>
      <w:pPr>
        <w:pStyle w:val="3"/>
        <w:rPr>
          <w:lang w:eastAsia="zh-CN"/>
        </w:rPr>
      </w:pPr>
      <w:r>
        <w:rPr>
          <w:lang w:eastAsia="zh-CN"/>
        </w:rPr>
        <w:t xml:space="preserve">Remaining corrections for cell search </w:t>
      </w:r>
    </w:p>
    <w:p>
      <w:pPr>
        <w:pStyle w:val="4"/>
        <w:rPr>
          <w:lang w:eastAsia="zh-CN"/>
        </w:rPr>
      </w:pPr>
      <w:r>
        <w:rPr>
          <w:lang w:eastAsia="zh-CN"/>
        </w:rPr>
        <w:t>(#2.1)</w:t>
      </w:r>
    </w:p>
    <w:p>
      <w:pPr>
        <w:rPr>
          <w:lang w:eastAsia="zh-CN"/>
        </w:rPr>
      </w:pPr>
      <w:r>
        <w:rPr>
          <w:rFonts w:eastAsiaTheme="minorEastAsia"/>
          <w:b/>
          <w:lang w:eastAsia="zh-CN"/>
        </w:rPr>
        <w:t>Description</w:t>
      </w:r>
      <w:r>
        <w:rPr>
          <w:rFonts w:eastAsiaTheme="minorEastAsia"/>
          <w:lang w:eastAsia="zh-CN"/>
        </w:rPr>
        <w:t xml:space="preserve">: Replace the parameter “ssbPositionQCL-Relationship-r16” with “ssb-PositionQCL-r16” for signaling of Q in Clause 4.1 of TS 38.213 to align with TS 38.331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pPr>
        <w:spacing w:before="120" w:beforeLines="5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r>
      <w:r>
        <w:rPr>
          <w:rFonts w:hint="eastAsia"/>
          <w:sz w:val="24"/>
          <w:szCs w:val="24"/>
          <w:lang w:eastAsia="zh-CN"/>
        </w:rPr>
        <w:t>Synchronization procedures</w:t>
      </w:r>
    </w:p>
    <w:p>
      <w:pPr>
        <w:keepNext/>
        <w:keepLines/>
        <w:tabs>
          <w:tab w:val="left" w:pos="450"/>
        </w:tabs>
        <w:ind w:left="1417" w:hanging="1417"/>
        <w:rPr>
          <w:lang w:eastAsia="zh-CN"/>
        </w:rPr>
      </w:pPr>
      <w:r>
        <w:rPr>
          <w:rFonts w:hint="eastAsia"/>
          <w:lang w:eastAsia="zh-CN"/>
        </w:rPr>
        <w:t>4.1</w:t>
      </w:r>
      <w:r>
        <w:rPr>
          <w:rFonts w:hint="eastAsia"/>
          <w:lang w:eastAsia="zh-CN"/>
        </w:rPr>
        <w:tab/>
      </w:r>
      <w:r>
        <w:rPr>
          <w:rFonts w:hint="eastAsia"/>
          <w:lang w:eastAsia="zh-CN"/>
        </w:rPr>
        <w:t>Cell search</w:t>
      </w:r>
    </w:p>
    <w:p>
      <w:pPr>
        <w:pStyle w:val="70"/>
        <w:jc w:val="center"/>
        <w:rPr>
          <w:rFonts w:ascii="Times New Roman" w:hAnsi="Times New Roman" w:eastAsiaTheme="minorEastAsia"/>
          <w:color w:val="C00000"/>
          <w:szCs w:val="20"/>
        </w:rPr>
      </w:pPr>
      <w:r>
        <w:rPr>
          <w:rFonts w:ascii="Times New Roman" w:hAnsi="Times New Roman" w:eastAsiaTheme="minorEastAsia"/>
          <w:color w:val="C00000"/>
          <w:szCs w:val="20"/>
        </w:rPr>
        <w:t>&lt; Unchanged parts are omitted &gt;</w:t>
      </w:r>
    </w:p>
    <w:p>
      <w:pPr>
        <w:spacing w:after="160"/>
      </w:pPr>
      <w:r>
        <w:t>For operation with shared spectrum channel access, a UE assumes that SS/PBCH blocks in a serving cell that are within a same discovery burst transmission window or across discovery burst transmission windows are quasi co-located with respect to average gain, QCL-TypeA, and QCL-TypeD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ctrlPr>
                  <w:rPr>
                    <w:rFonts w:ascii="Cambria Math" w:hAnsi="Cambria Math"/>
                    <w:i/>
                  </w:rPr>
                </m:ctrlPr>
              </m:e>
              <m:sub>
                <m:r>
                  <w:rPr>
                    <w:rFonts w:ascii="Cambria Math"/>
                  </w:rPr>
                  <m:t>DM-RS</m:t>
                </m:r>
                <m:ctrlPr>
                  <w:rPr>
                    <w:rFonts w:ascii="Cambria Math" w:hAnsi="Cambria Math"/>
                    <w:i/>
                  </w:rPr>
                </m:ctrlPr>
              </m:sub>
              <m:sup>
                <m:r>
                  <w:rPr>
                    <w:rFonts w:ascii="Cambria Math"/>
                  </w:rPr>
                  <m:t>PBCH</m:t>
                </m:r>
                <m:ctrlPr>
                  <w:rPr>
                    <w:rFonts w:ascii="Cambria Math" w:hAnsi="Cambria Math"/>
                    <w:i/>
                  </w:rPr>
                </m:ctrlPr>
              </m:sup>
            </m:sSubSup>
            <m:func>
              <m:funcPr>
                <m:ctrlPr>
                  <w:rPr>
                    <w:rFonts w:ascii="Cambria Math" w:hAnsi="Cambria Math"/>
                    <w:i/>
                  </w:rPr>
                </m:ctrlPr>
              </m:funcPr>
              <m:fName>
                <m:r>
                  <m:rPr>
                    <m:sty m:val="p"/>
                  </m:rPr>
                  <w:rPr>
                    <w:rFonts w:ascii="Cambria Math"/>
                  </w:rPr>
                  <m:t>mod</m:t>
                </m:r>
                <m:ctrlPr>
                  <w:rPr>
                    <w:rFonts w:ascii="Cambria Math" w:hAnsi="Cambria Math"/>
                    <w:i/>
                  </w:rPr>
                </m:ctrlPr>
              </m:fName>
              <m:e>
                <m:sSubSup>
                  <m:sSubSupPr>
                    <m:ctrlPr>
                      <w:rPr>
                        <w:rFonts w:ascii="Cambria Math" w:hAnsi="Cambria Math"/>
                        <w:i/>
                      </w:rPr>
                    </m:ctrlPr>
                  </m:sSubSupPr>
                  <m:e>
                    <m:r>
                      <w:rPr>
                        <w:rFonts w:ascii="Cambria Math"/>
                      </w:rPr>
                      <m:t>N</m:t>
                    </m:r>
                    <m:ctrlPr>
                      <w:rPr>
                        <w:rFonts w:ascii="Cambria Math" w:hAnsi="Cambria Math"/>
                        <w:i/>
                      </w:rPr>
                    </m:ctrlPr>
                  </m:e>
                  <m:sub>
                    <m:r>
                      <w:rPr>
                        <w:rFonts w:ascii="Cambria Math"/>
                      </w:rPr>
                      <m:t>SSB</m:t>
                    </m:r>
                    <m:ctrlPr>
                      <w:rPr>
                        <w:rFonts w:ascii="Cambria Math" w:hAnsi="Cambria Math"/>
                        <w:i/>
                      </w:rPr>
                    </m:ctrlPr>
                  </m:sub>
                  <m:sup>
                    <m:r>
                      <w:rPr>
                        <w:rFonts w:ascii="Cambria Math"/>
                      </w:rPr>
                      <m:t>QCL</m:t>
                    </m:r>
                    <m:ctrlPr>
                      <w:rPr>
                        <w:rFonts w:ascii="Cambria Math" w:hAnsi="Cambria Math"/>
                        <w:i/>
                      </w:rPr>
                    </m:ctrlPr>
                  </m:sup>
                </m:sSubSup>
                <m:ctrlPr>
                  <w:rPr>
                    <w:rFonts w:ascii="Cambria Math" w:hAnsi="Cambria Math"/>
                    <w:i/>
                  </w:rPr>
                </m:ctrlPr>
              </m:e>
            </m:func>
            <m:ctrlPr>
              <w:rPr>
                <w:rFonts w:ascii="Cambria Math" w:hAnsi="Cambria Math"/>
                <w:i/>
              </w:rPr>
            </m:ctrlPr>
          </m:e>
        </m:d>
      </m:oMath>
      <w:r>
        <w:t xml:space="preserve"> is same among the SS/PBCH blocks. </w:t>
      </w:r>
      <m:oMath>
        <m:sSubSup>
          <m:sSubSupPr>
            <m:ctrlPr>
              <w:rPr>
                <w:rFonts w:ascii="Cambria Math" w:hAnsi="Cambria Math"/>
                <w:i/>
              </w:rPr>
            </m:ctrlPr>
          </m:sSubSupPr>
          <m:e>
            <m:r>
              <w:rPr>
                <w:rFonts w:ascii="Cambria Math"/>
              </w:rPr>
              <m:t>N</m:t>
            </m:r>
            <m:ctrlPr>
              <w:rPr>
                <w:rFonts w:ascii="Cambria Math" w:hAnsi="Cambria Math"/>
                <w:i/>
              </w:rPr>
            </m:ctrlPr>
          </m:e>
          <m:sub>
            <m:r>
              <w:rPr>
                <w:rFonts w:ascii="Cambria Math"/>
              </w:rPr>
              <m:t>DM-RS</m:t>
            </m:r>
            <m:ctrlPr>
              <w:rPr>
                <w:rFonts w:ascii="Cambria Math" w:hAnsi="Cambria Math"/>
                <w:i/>
              </w:rPr>
            </m:ctrlPr>
          </m:sub>
          <m:sup>
            <m:r>
              <w:rPr>
                <w:rFonts w:ascii="Cambria Math"/>
              </w:rPr>
              <m:t>PBCH</m:t>
            </m:r>
            <m:ctrlPr>
              <w:rPr>
                <w:rFonts w:ascii="Cambria Math" w:hAnsi="Cambria Math"/>
                <w:i/>
              </w:rPr>
            </m:ctrlPr>
          </m:sup>
        </m:sSubSup>
      </m:oMath>
      <w:r>
        <w:t xml:space="preserve"> is an </w:t>
      </w:r>
      <w:r>
        <w:rPr>
          <w:lang w:eastAsia="ja-JP"/>
        </w:rPr>
        <w:t xml:space="preserve">index of a DM-RS sequence transmitted in a PBCH of a corresponding SS/PBCH block, and </w:t>
      </w:r>
      <m:oMath>
        <m:sSubSup>
          <m:sSubSupPr>
            <m:ctrlPr>
              <w:rPr>
                <w:rFonts w:ascii="Cambria Math" w:hAnsi="Cambria Math"/>
                <w:i/>
              </w:rPr>
            </m:ctrlPr>
          </m:sSubSupPr>
          <m:e>
            <m:r>
              <w:rPr>
                <w:rFonts w:ascii="Cambria Math"/>
              </w:rPr>
              <m:t>N</m:t>
            </m:r>
            <m:ctrlPr>
              <w:rPr>
                <w:rFonts w:ascii="Cambria Math" w:hAnsi="Cambria Math"/>
                <w:i/>
              </w:rPr>
            </m:ctrlPr>
          </m:e>
          <m:sub>
            <m:r>
              <w:rPr>
                <w:rFonts w:ascii="Cambria Math"/>
              </w:rPr>
              <m:t>SSB</m:t>
            </m:r>
            <m:ctrlPr>
              <w:rPr>
                <w:rFonts w:ascii="Cambria Math" w:hAnsi="Cambria Math"/>
                <w:i/>
              </w:rPr>
            </m:ctrlPr>
          </m:sub>
          <m:sup>
            <m:r>
              <w:rPr>
                <w:rFonts w:ascii="Cambria Math"/>
              </w:rPr>
              <m:t>QCL</m:t>
            </m:r>
            <m:ctrlPr>
              <w:rPr>
                <w:rFonts w:ascii="Cambria Math" w:hAnsi="Cambria Math"/>
                <w:i/>
              </w:rPr>
            </m:ctrlPr>
          </m:sup>
        </m:sSubSup>
      </m:oMath>
      <w:r>
        <w:t xml:space="preserve"> is either provided by </w:t>
      </w:r>
      <w:r>
        <w:rPr>
          <w:i/>
          <w:strike/>
          <w:color w:val="FF0000"/>
        </w:rPr>
        <w:t>ssbPositionQCL-Relationship-r16</w:t>
      </w:r>
      <w:r>
        <w:rPr>
          <w:rFonts w:hint="eastAsia"/>
          <w:i/>
          <w:color w:val="FF0000"/>
        </w:rPr>
        <w:t>ssb-PositionQCL-r16</w:t>
      </w:r>
      <w:r>
        <w:t xml:space="preserve"> or, if </w:t>
      </w:r>
      <w:r>
        <w:rPr>
          <w:i/>
          <w:strike/>
          <w:color w:val="FF0000"/>
        </w:rPr>
        <w:t>ssbPositionQCL-Relationship-r16</w:t>
      </w:r>
      <w:r>
        <w:rPr>
          <w:rFonts w:hint="eastAsia"/>
          <w:i/>
          <w:color w:val="FF0000"/>
        </w:rPr>
        <w:t>ssb-PositionQCL-r16</w:t>
      </w:r>
      <w:r>
        <w:t xml:space="preserve"> is not provided,</w:t>
      </w:r>
      <w:r>
        <w:rPr>
          <w:i/>
        </w:rPr>
        <w:t xml:space="preserve"> </w:t>
      </w:r>
      <w:r>
        <w:t xml:space="preserve">obtained from a </w:t>
      </w:r>
      <w:r>
        <w:rPr>
          <w:i/>
        </w:rPr>
        <w:t>MIB</w:t>
      </w:r>
      <w:r>
        <w:t xml:space="preserve"> </w:t>
      </w:r>
      <w:r>
        <w:rPr>
          <w:lang w:eastAsia="ja-JP"/>
        </w:rPr>
        <w:t>provided by a SS/PBCH block</w:t>
      </w:r>
      <w:r>
        <w:t xml:space="preserve"> according to Table 4.1-1 </w:t>
      </w:r>
      <w:r>
        <w:rPr>
          <w:snapToGrid w:val="0"/>
          <w:kern w:val="2"/>
          <w:lang w:eastAsia="ko-KR"/>
        </w:rPr>
        <w:t xml:space="preserve">with </w:t>
      </w:r>
      <m:oMath>
        <m:sSub>
          <m:sSubPr>
            <m:ctrlPr>
              <w:rPr>
                <w:rFonts w:ascii="Cambria Math" w:hAnsi="Cambria Math" w:eastAsia="Malgun Gothic"/>
                <w:i/>
                <w:snapToGrid w:val="0"/>
                <w:kern w:val="2"/>
                <w:lang w:eastAsia="ko-KR"/>
              </w:rPr>
            </m:ctrlPr>
          </m:sSubPr>
          <m:e>
            <m:r>
              <w:rPr>
                <w:rFonts w:ascii="Cambria Math" w:hAnsi="Cambria Math" w:eastAsia="Malgun Gothic"/>
                <w:snapToGrid w:val="0"/>
                <w:kern w:val="2"/>
                <w:lang w:eastAsia="ko-KR"/>
              </w:rPr>
              <m:t>k</m:t>
            </m:r>
            <m:ctrlPr>
              <w:rPr>
                <w:rFonts w:ascii="Cambria Math" w:hAnsi="Cambria Math" w:eastAsia="Malgun Gothic"/>
                <w:i/>
                <w:snapToGrid w:val="0"/>
                <w:kern w:val="2"/>
                <w:lang w:eastAsia="ko-KR"/>
              </w:rPr>
            </m:ctrlPr>
          </m:e>
          <m:sub>
            <m:r>
              <w:rPr>
                <w:rFonts w:ascii="Cambria Math" w:hAnsi="Cambria Math" w:eastAsia="Malgun Gothic"/>
                <w:snapToGrid w:val="0"/>
                <w:kern w:val="2"/>
                <w:lang w:eastAsia="ko-KR"/>
              </w:rPr>
              <m:t>SSB</m:t>
            </m:r>
            <m:ctrlPr>
              <w:rPr>
                <w:rFonts w:ascii="Cambria Math" w:hAnsi="Cambria Math" w:eastAsia="Malgun Gothic"/>
                <w:i/>
                <w:snapToGrid w:val="0"/>
                <w:kern w:val="2"/>
                <w:lang w:eastAsia="ko-KR"/>
              </w:rPr>
            </m:ctrlPr>
          </m:sub>
        </m:sSub>
        <m:r>
          <w:rPr>
            <w:rFonts w:ascii="Cambria Math" w:hAnsi="Cambria Math" w:eastAsia="Malgun Gothic"/>
            <w:snapToGrid w:val="0"/>
            <w:kern w:val="2"/>
            <w:lang w:eastAsia="ko-KR"/>
          </w:rPr>
          <m:t>&lt;24</m:t>
        </m:r>
      </m:oMath>
      <w:r>
        <w:rPr>
          <w:snapToGrid w:val="0"/>
          <w:kern w:val="2"/>
        </w:rPr>
        <w:t xml:space="preserve"> [4, TS 38.211]</w:t>
      </w:r>
      <w:r>
        <w:t xml:space="preserve">. </w:t>
      </w:r>
      <w:r>
        <w:rPr>
          <w:i/>
          <w:iCs/>
        </w:rPr>
        <w:t>subCarrierSpacingCommon</w:t>
      </w:r>
      <w:r>
        <w:t xml:space="preserve"> indicates SCS of RMSI only for the case of "operation without shared spectrum channel access". The UE can determine an SS/PBCH block index according to </w:t>
      </w:r>
      <m:oMath>
        <m:d>
          <m:dPr>
            <m:ctrlPr>
              <w:rPr>
                <w:rFonts w:ascii="Cambria Math" w:hAnsi="Cambria Math"/>
                <w:i/>
              </w:rPr>
            </m:ctrlPr>
          </m:dPr>
          <m:e>
            <m:sSubSup>
              <m:sSubSupPr>
                <m:ctrlPr>
                  <w:rPr>
                    <w:rFonts w:ascii="Cambria Math" w:hAnsi="Cambria Math"/>
                    <w:i/>
                  </w:rPr>
                </m:ctrlPr>
              </m:sSubSupPr>
              <m:e>
                <m:r>
                  <w:rPr>
                    <w:rFonts w:ascii="Cambria Math"/>
                  </w:rPr>
                  <m:t>N</m:t>
                </m:r>
                <m:ctrlPr>
                  <w:rPr>
                    <w:rFonts w:ascii="Cambria Math" w:hAnsi="Cambria Math"/>
                    <w:i/>
                  </w:rPr>
                </m:ctrlPr>
              </m:e>
              <m:sub>
                <m:r>
                  <w:rPr>
                    <w:rFonts w:ascii="Cambria Math"/>
                  </w:rPr>
                  <m:t>DM-RS</m:t>
                </m:r>
                <m:ctrlPr>
                  <w:rPr>
                    <w:rFonts w:ascii="Cambria Math" w:hAnsi="Cambria Math"/>
                    <w:i/>
                  </w:rPr>
                </m:ctrlPr>
              </m:sub>
              <m:sup>
                <m:r>
                  <w:rPr>
                    <w:rFonts w:ascii="Cambria Math"/>
                  </w:rPr>
                  <m:t>PBCH</m:t>
                </m:r>
                <m:ctrlPr>
                  <w:rPr>
                    <w:rFonts w:ascii="Cambria Math" w:hAnsi="Cambria Math"/>
                    <w:i/>
                  </w:rPr>
                </m:ctrlPr>
              </m:sup>
            </m:sSubSup>
            <m:func>
              <m:funcPr>
                <m:ctrlPr>
                  <w:rPr>
                    <w:rFonts w:ascii="Cambria Math" w:hAnsi="Cambria Math"/>
                    <w:i/>
                  </w:rPr>
                </m:ctrlPr>
              </m:funcPr>
              <m:fName>
                <m:r>
                  <m:rPr>
                    <m:sty m:val="p"/>
                  </m:rPr>
                  <w:rPr>
                    <w:rFonts w:ascii="Cambria Math"/>
                  </w:rPr>
                  <m:t>mod</m:t>
                </m:r>
                <m:ctrlPr>
                  <w:rPr>
                    <w:rFonts w:ascii="Cambria Math" w:hAnsi="Cambria Math"/>
                    <w:i/>
                  </w:rPr>
                </m:ctrlPr>
              </m:fName>
              <m:e>
                <m:sSubSup>
                  <m:sSubSupPr>
                    <m:ctrlPr>
                      <w:rPr>
                        <w:rFonts w:ascii="Cambria Math" w:hAnsi="Cambria Math"/>
                        <w:i/>
                      </w:rPr>
                    </m:ctrlPr>
                  </m:sSubSupPr>
                  <m:e>
                    <m:r>
                      <w:rPr>
                        <w:rFonts w:ascii="Cambria Math"/>
                      </w:rPr>
                      <m:t>N</m:t>
                    </m:r>
                    <m:ctrlPr>
                      <w:rPr>
                        <w:rFonts w:ascii="Cambria Math" w:hAnsi="Cambria Math"/>
                        <w:i/>
                      </w:rPr>
                    </m:ctrlPr>
                  </m:e>
                  <m:sub>
                    <m:r>
                      <w:rPr>
                        <w:rFonts w:ascii="Cambria Math"/>
                      </w:rPr>
                      <m:t>SSB</m:t>
                    </m:r>
                    <m:ctrlPr>
                      <w:rPr>
                        <w:rFonts w:ascii="Cambria Math" w:hAnsi="Cambria Math"/>
                        <w:i/>
                      </w:rPr>
                    </m:ctrlPr>
                  </m:sub>
                  <m:sup>
                    <m:r>
                      <w:rPr>
                        <w:rFonts w:ascii="Cambria Math"/>
                      </w:rPr>
                      <m:t>QCL</m:t>
                    </m:r>
                    <m:ctrlPr>
                      <w:rPr>
                        <w:rFonts w:ascii="Cambria Math" w:hAnsi="Cambria Math"/>
                        <w:i/>
                      </w:rPr>
                    </m:ctrlPr>
                  </m:sup>
                </m:sSubSup>
                <m:ctrlPr>
                  <w:rPr>
                    <w:rFonts w:ascii="Cambria Math" w:hAnsi="Cambria Math"/>
                    <w:i/>
                  </w:rPr>
                </m:ctrlPr>
              </m:e>
            </m:func>
            <m:ctrlPr>
              <w:rPr>
                <w:rFonts w:ascii="Cambria Math" w:hAnsi="Cambria Math"/>
                <w:i/>
              </w:rPr>
            </m:ctrlPr>
          </m:e>
        </m:d>
      </m:oMath>
      <w:r>
        <w:t xml:space="preserve">, or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ctrlPr>
                  <w:rPr>
                    <w:rFonts w:ascii="Cambria Math" w:hAnsi="Cambria Math"/>
                    <w:i/>
                  </w:rPr>
                </m:ctrlPr>
              </m:e>
            </m:acc>
            <m:r>
              <w:rPr>
                <w:rFonts w:ascii="Cambria Math" w:hAnsi="Cambria Math"/>
              </w:rPr>
              <m:t xml:space="preserve"> </m:t>
            </m:r>
            <m:func>
              <m:funcPr>
                <m:ctrlPr>
                  <w:rPr>
                    <w:rFonts w:ascii="Cambria Math" w:hAnsi="Cambria Math"/>
                    <w:i/>
                  </w:rPr>
                </m:ctrlPr>
              </m:funcPr>
              <m:fName>
                <m:r>
                  <m:rPr>
                    <m:sty m:val="p"/>
                  </m:rPr>
                  <w:rPr>
                    <w:rFonts w:ascii="Cambria Math"/>
                  </w:rPr>
                  <m:t>mod</m:t>
                </m:r>
                <m:ctrlPr>
                  <w:rPr>
                    <w:rFonts w:ascii="Cambria Math" w:hAnsi="Cambria Math"/>
                    <w:i/>
                  </w:rPr>
                </m:ctrlPr>
              </m:fName>
              <m:e>
                <m:sSubSup>
                  <m:sSubSupPr>
                    <m:ctrlPr>
                      <w:rPr>
                        <w:rFonts w:ascii="Cambria Math" w:hAnsi="Cambria Math"/>
                        <w:i/>
                      </w:rPr>
                    </m:ctrlPr>
                  </m:sSubSupPr>
                  <m:e>
                    <m:r>
                      <w:rPr>
                        <w:rFonts w:ascii="Cambria Math"/>
                      </w:rPr>
                      <m:t>N</m:t>
                    </m:r>
                    <m:ctrlPr>
                      <w:rPr>
                        <w:rFonts w:ascii="Cambria Math" w:hAnsi="Cambria Math"/>
                        <w:i/>
                      </w:rPr>
                    </m:ctrlPr>
                  </m:e>
                  <m:sub>
                    <m:r>
                      <w:rPr>
                        <w:rFonts w:ascii="Cambria Math"/>
                      </w:rPr>
                      <m:t>SSB</m:t>
                    </m:r>
                    <m:ctrlPr>
                      <w:rPr>
                        <w:rFonts w:ascii="Cambria Math" w:hAnsi="Cambria Math"/>
                        <w:i/>
                      </w:rPr>
                    </m:ctrlPr>
                  </m:sub>
                  <m:sup>
                    <m:r>
                      <w:rPr>
                        <w:rFonts w:ascii="Cambria Math"/>
                      </w:rPr>
                      <m:t>QCL</m:t>
                    </m:r>
                    <m:ctrlPr>
                      <w:rPr>
                        <w:rFonts w:ascii="Cambria Math" w:hAnsi="Cambria Math"/>
                        <w:i/>
                      </w:rPr>
                    </m:ctrlPr>
                  </m:sup>
                </m:sSubSup>
                <m:ctrlPr>
                  <w:rPr>
                    <w:rFonts w:ascii="Cambria Math" w:hAnsi="Cambria Math"/>
                    <w:i/>
                  </w:rPr>
                </m:ctrlPr>
              </m:e>
            </m:func>
            <m:ctrlPr>
              <w:rPr>
                <w:rFonts w:ascii="Cambria Math" w:hAnsi="Cambria Math"/>
                <w:i/>
              </w:rPr>
            </m:ctrlPr>
          </m:e>
        </m:d>
      </m:oMath>
      <w:r>
        <w:t xml:space="preserve"> where </w:t>
      </w:r>
      <m:oMath>
        <m:acc>
          <m:accPr>
            <m:chr m:val="̅"/>
            <m:ctrlPr>
              <w:rPr>
                <w:rFonts w:ascii="Cambria Math" w:hAnsi="Cambria Math"/>
                <w:i/>
              </w:rPr>
            </m:ctrlPr>
          </m:accPr>
          <m:e>
            <m:r>
              <w:rPr>
                <w:rFonts w:ascii="Cambria Math" w:hAnsi="Cambria Math"/>
              </w:rPr>
              <m:t>i</m:t>
            </m:r>
            <m:ctrlPr>
              <w:rPr>
                <w:rFonts w:ascii="Cambria Math" w:hAnsi="Cambria Math"/>
                <w:i/>
              </w:rPr>
            </m:ctrlPr>
          </m:e>
        </m:acc>
      </m:oMath>
      <w:r>
        <w:t xml:space="preserve"> is the candidate SS/PBCH block index.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ctrlPr>
              <w:rPr>
                <w:rFonts w:ascii="Cambria Math" w:hAnsi="Cambria Math" w:cs="Calibri"/>
                <w:i/>
                <w:iCs/>
                <w:sz w:val="24"/>
              </w:rPr>
            </m:ctrlPr>
          </m:e>
          <m:sub>
            <m:r>
              <w:rPr>
                <w:rFonts w:ascii="Cambria Math" w:hAnsi="Cambria Math"/>
              </w:rPr>
              <m:t>SSB</m:t>
            </m:r>
            <m:ctrlPr>
              <w:rPr>
                <w:rFonts w:ascii="Cambria Math" w:hAnsi="Cambria Math" w:cs="Calibri"/>
                <w:i/>
                <w:iCs/>
                <w:sz w:val="24"/>
              </w:rPr>
            </m:ctrlPr>
          </m:sub>
          <m:sup>
            <m:r>
              <w:rPr>
                <w:rFonts w:ascii="Cambria Math" w:hAnsi="Cambria Math"/>
              </w:rPr>
              <m:t>QCL</m:t>
            </m:r>
            <m:ctrlPr>
              <w:rPr>
                <w:rFonts w:ascii="Cambria Math" w:hAnsi="Cambria Math" w:cs="Calibri"/>
                <w:i/>
                <w:iCs/>
                <w:sz w:val="24"/>
              </w:rPr>
            </m:ctrlPr>
          </m:sup>
        </m:sSubSup>
      </m:oMath>
      <w:r>
        <w:rPr>
          <w:lang w:eastAsia="ko-KR"/>
        </w:rPr>
        <w:t xml:space="preserve"> </w:t>
      </w:r>
      <w:r>
        <w:t>and a number of transmitted SS/PBCH blocks with a same SS/PBCH block index is not larger than one.</w:t>
      </w:r>
    </w:p>
    <w:p>
      <w:pPr>
        <w:pStyle w:val="65"/>
      </w:pPr>
      <w:r>
        <w:t xml:space="preserve">Table 4.1-1: Mapping between the combination of </w:t>
      </w:r>
      <w:r>
        <w:rPr>
          <w:iCs/>
        </w:rPr>
        <w:t xml:space="preserve">subCarrierSpacingCommon </w:t>
      </w:r>
      <w:r>
        <w:t>and</w:t>
      </w:r>
      <w:r>
        <w:rPr>
          <w:iCs/>
        </w:rPr>
        <w:t xml:space="preserve"> </w:t>
      </w:r>
      <w:r>
        <w:t>LSB of</w:t>
      </w:r>
      <w:r>
        <w:rPr>
          <w:iCs/>
        </w:rPr>
        <w:t xml:space="preserve"> ssb-SubcarrierOffset</w:t>
      </w:r>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i"/>
              </m:rPr>
              <w:rPr>
                <w:rFonts w:ascii="Cambria Math" w:hAnsi="Cambria Math"/>
              </w:rPr>
              <m:t>SSB</m:t>
            </m:r>
            <m:ctrlPr>
              <w:rPr>
                <w:rFonts w:ascii="Cambria Math" w:hAnsi="Cambria Math"/>
              </w:rPr>
            </m:ctrlPr>
          </m:sub>
          <m:sup>
            <m:r>
              <m:rPr>
                <m:sty m:val="bi"/>
              </m:rPr>
              <w:rPr>
                <w:rFonts w:ascii="Cambria Math" w:hAnsi="Cambria Math"/>
              </w:rPr>
              <m:t>QCL</m:t>
            </m:r>
            <m:ctrlPr>
              <w:rPr>
                <w:rFonts w:ascii="Cambria Math" w:hAnsi="Cambria Math"/>
              </w:rPr>
            </m:ctrlPr>
          </m:sup>
        </m:sSubSup>
      </m:oMath>
    </w:p>
    <w:tbl>
      <w:tblPr>
        <w:tblStyle w:val="31"/>
        <w:tblW w:w="77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3544"/>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607" w:type="dxa"/>
            <w:tcBorders>
              <w:bottom w:val="double" w:color="auto" w:sz="4" w:space="0"/>
              <w:right w:val="double" w:color="auto" w:sz="4" w:space="0"/>
            </w:tcBorders>
            <w:shd w:val="clear" w:color="auto" w:fill="E0E0E0"/>
            <w:vAlign w:val="center"/>
          </w:tcPr>
          <w:p>
            <w:pPr>
              <w:pStyle w:val="64"/>
              <w:rPr>
                <w:rFonts w:cs="Arial"/>
                <w:bCs/>
                <w:lang w:val="en-US"/>
              </w:rPr>
            </w:pPr>
            <w:r>
              <w:rPr>
                <w:rFonts w:cs="Arial"/>
                <w:i/>
                <w:iCs/>
              </w:rPr>
              <w:t>subCarrierSpacingCommon</w:t>
            </w:r>
          </w:p>
        </w:tc>
        <w:tc>
          <w:tcPr>
            <w:tcW w:w="3544" w:type="dxa"/>
            <w:tcBorders>
              <w:left w:val="double" w:color="auto" w:sz="4" w:space="0"/>
              <w:bottom w:val="double" w:color="auto" w:sz="4" w:space="0"/>
            </w:tcBorders>
            <w:shd w:val="clear" w:color="auto" w:fill="E0E0E0"/>
            <w:vAlign w:val="center"/>
          </w:tcPr>
          <w:p>
            <w:pPr>
              <w:pStyle w:val="64"/>
              <w:rPr>
                <w:rFonts w:cs="Arial"/>
                <w:bCs/>
                <w:lang w:val="en-US"/>
              </w:rPr>
            </w:pPr>
            <w:r>
              <w:rPr>
                <w:rFonts w:cs="Arial"/>
              </w:rPr>
              <w:t>LSB of</w:t>
            </w:r>
            <w:r>
              <w:rPr>
                <w:rFonts w:cs="Arial"/>
                <w:i/>
                <w:iCs/>
              </w:rPr>
              <w:t xml:space="preserve"> ssb-SubcarrierOffset</w:t>
            </w:r>
          </w:p>
        </w:tc>
        <w:tc>
          <w:tcPr>
            <w:tcW w:w="1556" w:type="dxa"/>
            <w:tcBorders>
              <w:bottom w:val="double" w:color="auto" w:sz="4" w:space="0"/>
            </w:tcBorders>
            <w:shd w:val="clear" w:color="auto" w:fill="E0E0E0"/>
            <w:vAlign w:val="center"/>
          </w:tcPr>
          <w:p>
            <w:pPr>
              <w:pStyle w:val="64"/>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ctrlPr>
                      <w:rPr>
                        <w:rFonts w:ascii="Cambria Math" w:hAnsi="Cambria Math" w:cs="Arial"/>
                        <w:i/>
                      </w:rPr>
                    </m:ctrlPr>
                  </m:e>
                  <m:sub>
                    <m:r>
                      <m:rPr>
                        <m:sty m:val="bi"/>
                      </m:rPr>
                      <w:rPr>
                        <w:rFonts w:ascii="Cambria Math" w:hAnsi="Cambria Math" w:cs="Arial"/>
                      </w:rPr>
                      <m:t>SSB</m:t>
                    </m:r>
                    <m:ctrlPr>
                      <w:rPr>
                        <w:rFonts w:ascii="Cambria Math" w:hAnsi="Cambria Math" w:cs="Arial"/>
                        <w:i/>
                      </w:rPr>
                    </m:ctrlPr>
                  </m:sub>
                  <m:sup>
                    <m:r>
                      <m:rPr>
                        <m:sty m:val="bi"/>
                      </m:rPr>
                      <w:rPr>
                        <w:rFonts w:ascii="Cambria Math" w:hAnsi="Cambria Math" w:cs="Arial"/>
                      </w:rPr>
                      <m:t>QCL</m:t>
                    </m:r>
                    <m:ctrlPr>
                      <w:rPr>
                        <w:rFonts w:ascii="Cambria Math" w:hAnsi="Cambria Math" w:cs="Arial"/>
                        <w:i/>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607" w:type="dxa"/>
            <w:tcBorders>
              <w:top w:val="double" w:color="auto" w:sz="4" w:space="0"/>
              <w:right w:val="double" w:color="auto" w:sz="4" w:space="0"/>
            </w:tcBorders>
            <w:shd w:val="clear" w:color="auto" w:fill="auto"/>
            <w:vAlign w:val="center"/>
          </w:tcPr>
          <w:p>
            <w:pPr>
              <w:pStyle w:val="68"/>
              <w:rPr>
                <w:lang w:val="en-US"/>
              </w:rPr>
            </w:pPr>
            <w:r>
              <w:t>scs15or60</w:t>
            </w:r>
          </w:p>
        </w:tc>
        <w:tc>
          <w:tcPr>
            <w:tcW w:w="3544" w:type="dxa"/>
            <w:tcBorders>
              <w:top w:val="double" w:color="auto" w:sz="4" w:space="0"/>
              <w:left w:val="double" w:color="auto" w:sz="4" w:space="0"/>
            </w:tcBorders>
            <w:vAlign w:val="center"/>
          </w:tcPr>
          <w:p>
            <w:pPr>
              <w:pStyle w:val="68"/>
              <w:rPr>
                <w:lang w:val="en-US"/>
              </w:rPr>
            </w:pPr>
            <w:r>
              <w:rPr>
                <w:lang w:val="en-US"/>
              </w:rPr>
              <w:t>0</w:t>
            </w:r>
          </w:p>
        </w:tc>
        <w:tc>
          <w:tcPr>
            <w:tcW w:w="1556" w:type="dxa"/>
            <w:tcBorders>
              <w:top w:val="double" w:color="auto" w:sz="4" w:space="0"/>
            </w:tcBorders>
            <w:vAlign w:val="center"/>
          </w:tcPr>
          <w:p>
            <w:pPr>
              <w:pStyle w:val="68"/>
              <w:rPr>
                <w:lang w:val="en-US"/>
              </w:rPr>
            </w:pPr>
            <w:r>
              <w:rPr>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607" w:type="dxa"/>
            <w:tcBorders>
              <w:right w:val="double" w:color="auto" w:sz="4" w:space="0"/>
            </w:tcBorders>
            <w:shd w:val="clear" w:color="auto" w:fill="auto"/>
            <w:vAlign w:val="center"/>
          </w:tcPr>
          <w:p>
            <w:pPr>
              <w:pStyle w:val="68"/>
              <w:rPr>
                <w:lang w:val="en-US"/>
              </w:rPr>
            </w:pPr>
            <w:r>
              <w:t>scs15or60</w:t>
            </w:r>
          </w:p>
        </w:tc>
        <w:tc>
          <w:tcPr>
            <w:tcW w:w="3544" w:type="dxa"/>
            <w:tcBorders>
              <w:left w:val="double" w:color="auto" w:sz="4" w:space="0"/>
            </w:tcBorders>
            <w:vAlign w:val="center"/>
          </w:tcPr>
          <w:p>
            <w:pPr>
              <w:pStyle w:val="68"/>
              <w:rPr>
                <w:lang w:val="en-US"/>
              </w:rPr>
            </w:pPr>
            <w:r>
              <w:rPr>
                <w:lang w:val="en-US"/>
              </w:rPr>
              <w:t>1</w:t>
            </w:r>
          </w:p>
        </w:tc>
        <w:tc>
          <w:tcPr>
            <w:tcW w:w="1556" w:type="dxa"/>
            <w:vAlign w:val="center"/>
          </w:tcPr>
          <w:p>
            <w:pPr>
              <w:pStyle w:val="68"/>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607" w:type="dxa"/>
            <w:tcBorders>
              <w:right w:val="double" w:color="auto" w:sz="4" w:space="0"/>
            </w:tcBorders>
            <w:shd w:val="clear" w:color="auto" w:fill="auto"/>
            <w:vAlign w:val="center"/>
          </w:tcPr>
          <w:p>
            <w:pPr>
              <w:pStyle w:val="68"/>
            </w:pPr>
            <w:r>
              <w:t>scs30or120</w:t>
            </w:r>
          </w:p>
        </w:tc>
        <w:tc>
          <w:tcPr>
            <w:tcW w:w="3544" w:type="dxa"/>
            <w:tcBorders>
              <w:left w:val="double" w:color="auto" w:sz="4" w:space="0"/>
            </w:tcBorders>
            <w:vAlign w:val="center"/>
          </w:tcPr>
          <w:p>
            <w:pPr>
              <w:pStyle w:val="68"/>
            </w:pPr>
            <w:r>
              <w:t>0</w:t>
            </w:r>
          </w:p>
        </w:tc>
        <w:tc>
          <w:tcPr>
            <w:tcW w:w="1556" w:type="dxa"/>
            <w:vAlign w:val="center"/>
          </w:tcPr>
          <w:p>
            <w:pPr>
              <w:pStyle w:val="68"/>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607" w:type="dxa"/>
            <w:tcBorders>
              <w:right w:val="double" w:color="auto" w:sz="4" w:space="0"/>
            </w:tcBorders>
            <w:shd w:val="clear" w:color="auto" w:fill="auto"/>
            <w:vAlign w:val="center"/>
          </w:tcPr>
          <w:p>
            <w:pPr>
              <w:pStyle w:val="68"/>
            </w:pPr>
            <w:r>
              <w:t>scs30or120</w:t>
            </w:r>
          </w:p>
        </w:tc>
        <w:tc>
          <w:tcPr>
            <w:tcW w:w="3544" w:type="dxa"/>
            <w:tcBorders>
              <w:left w:val="double" w:color="auto" w:sz="4" w:space="0"/>
            </w:tcBorders>
            <w:vAlign w:val="center"/>
          </w:tcPr>
          <w:p>
            <w:pPr>
              <w:pStyle w:val="68"/>
            </w:pPr>
            <w:r>
              <w:t>1</w:t>
            </w:r>
          </w:p>
        </w:tc>
        <w:tc>
          <w:tcPr>
            <w:tcW w:w="1556" w:type="dxa"/>
            <w:vAlign w:val="center"/>
          </w:tcPr>
          <w:p>
            <w:pPr>
              <w:pStyle w:val="68"/>
            </w:pPr>
            <w:r>
              <w:t>8</w:t>
            </w:r>
          </w:p>
        </w:tc>
      </w:tr>
    </w:tbl>
    <w:p>
      <w:pPr>
        <w:spacing w:before="180"/>
      </w:pPr>
      <w:r>
        <w:t xml:space="preserve">Upon detection of a SS/PBCH block,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as described in Clause 13, is present if </w:t>
      </w:r>
      <w:r>
        <w:rPr>
          <w:position w:val="-10"/>
          <w:lang w:eastAsia="zh-CN"/>
        </w:rPr>
        <w:drawing>
          <wp:inline distT="0" distB="0" distL="0" distR="0">
            <wp:extent cx="494030" cy="182245"/>
            <wp:effectExtent l="0" t="0" r="1270" b="762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94030" cy="182245"/>
                    </a:xfrm>
                    <a:prstGeom prst="rect">
                      <a:avLst/>
                    </a:prstGeom>
                    <a:noFill/>
                    <a:ln>
                      <a:noFill/>
                    </a:ln>
                  </pic:spPr>
                </pic:pic>
              </a:graphicData>
            </a:graphic>
          </wp:inline>
        </w:drawing>
      </w:r>
      <w:r>
        <w:t xml:space="preserve"> [4, TS 38.211] for FR1 or if </w:t>
      </w:r>
      <w:r>
        <w:rPr>
          <w:position w:val="-10"/>
          <w:lang w:eastAsia="zh-CN"/>
        </w:rPr>
        <w:drawing>
          <wp:inline distT="0" distB="0" distL="0" distR="0">
            <wp:extent cx="485140" cy="182245"/>
            <wp:effectExtent l="0" t="0" r="10160" b="762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FR2.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is not present if </w:t>
      </w:r>
      <w:r>
        <w:rPr>
          <w:position w:val="-10"/>
          <w:lang w:eastAsia="zh-CN"/>
        </w:rPr>
        <w:drawing>
          <wp:inline distT="0" distB="0" distL="0" distR="0">
            <wp:extent cx="485140" cy="182245"/>
            <wp:effectExtent l="0" t="0" r="10160" b="635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FR1 or if </w:t>
      </w:r>
      <w:r>
        <w:rPr>
          <w:position w:val="-10"/>
          <w:lang w:eastAsia="zh-CN"/>
        </w:rPr>
        <w:drawing>
          <wp:inline distT="0" distB="0" distL="0" distR="0">
            <wp:extent cx="446405" cy="182245"/>
            <wp:effectExtent l="0" t="0" r="10795"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6405" cy="182245"/>
                    </a:xfrm>
                    <a:prstGeom prst="rect">
                      <a:avLst/>
                    </a:prstGeom>
                    <a:noFill/>
                    <a:ln>
                      <a:noFill/>
                    </a:ln>
                  </pic:spPr>
                </pic:pic>
              </a:graphicData>
            </a:graphic>
          </wp:inline>
        </w:drawing>
      </w:r>
      <w:r>
        <w:t xml:space="preserve"> for FR2; the CORESET for Type0-PDCCH CSS set</w:t>
      </w:r>
      <w:r>
        <w:rPr>
          <w:rFonts w:eastAsia="Yu Mincho"/>
        </w:rPr>
        <w:t xml:space="preserve"> may be provided by </w:t>
      </w:r>
      <w:r>
        <w:rPr>
          <w:rFonts w:eastAsia="Yu Mincho"/>
          <w:i/>
        </w:rPr>
        <w:t>PDCCH-ConfigCommon</w:t>
      </w:r>
      <w:r>
        <w:t>.</w:t>
      </w:r>
      <w:r>
        <w:rPr>
          <w:szCs w:val="24"/>
        </w:rPr>
        <w:t xml:space="preserve"> </w:t>
      </w:r>
    </w:p>
    <w:p>
      <w:pPr>
        <w:pStyle w:val="70"/>
        <w:jc w:val="center"/>
        <w:rPr>
          <w:rFonts w:ascii="Times New Roman" w:hAnsi="Times New Roman" w:eastAsiaTheme="minorEastAsia"/>
          <w:color w:val="C00000"/>
          <w:szCs w:val="20"/>
        </w:rPr>
      </w:pPr>
      <w:r>
        <w:rPr>
          <w:rFonts w:ascii="Times New Roman" w:hAnsi="Times New Roman" w:eastAsiaTheme="minorEastAsia"/>
          <w:color w:val="C00000"/>
          <w:szCs w:val="20"/>
        </w:rPr>
        <w:t>&lt; Unchanged parts are omitted &gt;</w:t>
      </w:r>
    </w:p>
    <w:p>
      <w:pPr>
        <w:spacing w:before="120" w:beforeLines="5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p>
    <w:p>
      <w:pPr>
        <w:rPr>
          <w:rFonts w:eastAsiaTheme="minorEastAsia"/>
          <w:lang w:eastAsia="zh-CN"/>
        </w:rPr>
      </w:pPr>
    </w:p>
    <w:p>
      <w:pPr>
        <w:rPr>
          <w:lang w:eastAsia="zh-CN"/>
        </w:rPr>
      </w:pPr>
    </w:p>
    <w:tbl>
      <w:tblPr>
        <w:tblStyle w:val="32"/>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 xml:space="preserve">OK with TP#1.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rFonts w:hint="eastAsia" w:eastAsia="MS Mincho"/>
                <w:lang w:eastAsia="ja-JP"/>
              </w:rPr>
              <w:t>S</w:t>
            </w:r>
            <w:r>
              <w:rPr>
                <w:rFonts w:eastAsia="MS Mincho"/>
                <w:lang w:eastAsia="ja-JP"/>
              </w:rPr>
              <w:t>harp</w:t>
            </w:r>
          </w:p>
        </w:tc>
        <w:tc>
          <w:tcPr>
            <w:tcW w:w="6432" w:type="dxa"/>
          </w:tcPr>
          <w:p>
            <w:pPr>
              <w:widowControl w:val="0"/>
              <w:rPr>
                <w:lang w:eastAsia="zh-CN"/>
              </w:rPr>
            </w:pPr>
            <w:r>
              <w:rPr>
                <w:lang w:eastAsia="zh-CN"/>
              </w:rPr>
              <w:t>OK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Vivo</w:t>
            </w:r>
          </w:p>
        </w:tc>
        <w:tc>
          <w:tcPr>
            <w:tcW w:w="6432" w:type="dxa"/>
          </w:tcPr>
          <w:p>
            <w:pPr>
              <w:widowControl w:val="0"/>
              <w:rPr>
                <w:lang w:eastAsia="zh-CN"/>
              </w:rPr>
            </w:pPr>
            <w:r>
              <w:rPr>
                <w:rFonts w:hint="eastAsia"/>
                <w:lang w:eastAsia="zh-CN"/>
              </w:rPr>
              <w:t>O</w:t>
            </w:r>
            <w:r>
              <w:rPr>
                <w:lang w:eastAsia="zh-CN"/>
              </w:rPr>
              <w:t>K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eastAsia="Malgun Gothic"/>
                <w:lang w:eastAsia="ko-KR"/>
              </w:rPr>
            </w:pPr>
            <w:r>
              <w:rPr>
                <w:rFonts w:hint="eastAsia" w:eastAsia="Malgun Gothic"/>
                <w:lang w:eastAsia="ko-KR"/>
              </w:rPr>
              <w:t>L</w:t>
            </w:r>
            <w:r>
              <w:rPr>
                <w:rFonts w:eastAsia="Malgun Gothic"/>
                <w:lang w:eastAsia="ko-KR"/>
              </w:rPr>
              <w:t>G Electronics</w:t>
            </w:r>
          </w:p>
        </w:tc>
        <w:tc>
          <w:tcPr>
            <w:tcW w:w="6432" w:type="dxa"/>
          </w:tcPr>
          <w:p>
            <w:pPr>
              <w:widowControl w:val="0"/>
              <w:rPr>
                <w:rFonts w:eastAsia="Malgun Gothic"/>
                <w:lang w:eastAsia="ko-KR"/>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Spreadtrum</w:t>
            </w:r>
          </w:p>
        </w:tc>
        <w:tc>
          <w:tcPr>
            <w:tcW w:w="6432" w:type="dxa"/>
          </w:tcPr>
          <w:p>
            <w:pPr>
              <w:widowControl w:val="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hint="default"/>
                <w:lang w:val="en-US" w:eastAsia="zh-CN"/>
              </w:rPr>
            </w:pPr>
            <w:r>
              <w:rPr>
                <w:rFonts w:hint="eastAsia"/>
                <w:lang w:val="en-US" w:eastAsia="zh-CN"/>
              </w:rPr>
              <w:t>ZTE</w:t>
            </w:r>
          </w:p>
        </w:tc>
        <w:tc>
          <w:tcPr>
            <w:tcW w:w="6432" w:type="dxa"/>
          </w:tcPr>
          <w:p>
            <w:pPr>
              <w:widowControl w:val="0"/>
              <w:rPr>
                <w:rFonts w:hint="default"/>
                <w:lang w:val="en-US"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pStyle w:val="4"/>
        <w:rPr>
          <w:lang w:eastAsia="zh-CN"/>
        </w:rPr>
      </w:pPr>
      <w:r>
        <w:rPr>
          <w:lang w:eastAsia="zh-CN"/>
        </w:rPr>
        <w:t>(#2.3)</w:t>
      </w:r>
    </w:p>
    <w:p>
      <w:pPr>
        <w:rPr>
          <w:rFonts w:eastAsiaTheme="minorEastAsia"/>
          <w:lang w:eastAsia="zh-CN"/>
        </w:rPr>
      </w:pPr>
      <w:r>
        <w:rPr>
          <w:rFonts w:eastAsiaTheme="minorEastAsia"/>
          <w:b/>
          <w:lang w:eastAsia="zh-CN"/>
        </w:rPr>
        <w:t>Description</w:t>
      </w:r>
      <w:r>
        <w:rPr>
          <w:rFonts w:eastAsiaTheme="minorEastAsia"/>
          <w:lang w:eastAsia="zh-CN"/>
        </w:rPr>
        <w:t>: 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indices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 xml:space="preserve">to clarify only one  transmitted SS/PBCH blocks with a same SS/PBCH block index within a discovery burst transmission window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spacing w:before="120" w:beforeLines="5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TP#2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r>
      <w:r>
        <w:rPr>
          <w:rFonts w:hint="eastAsia"/>
          <w:sz w:val="24"/>
          <w:szCs w:val="24"/>
          <w:lang w:eastAsia="zh-CN"/>
        </w:rPr>
        <w:t>Synchronization procedures</w:t>
      </w:r>
    </w:p>
    <w:p>
      <w:pPr>
        <w:keepNext/>
        <w:keepLines/>
        <w:tabs>
          <w:tab w:val="left" w:pos="450"/>
        </w:tabs>
        <w:ind w:left="1417" w:hanging="1417"/>
        <w:rPr>
          <w:lang w:eastAsia="zh-CN"/>
        </w:rPr>
      </w:pPr>
      <w:r>
        <w:rPr>
          <w:rFonts w:hint="eastAsia"/>
          <w:lang w:eastAsia="zh-CN"/>
        </w:rPr>
        <w:t>4.1</w:t>
      </w:r>
      <w:r>
        <w:rPr>
          <w:rFonts w:hint="eastAsia"/>
          <w:lang w:eastAsia="zh-CN"/>
        </w:rPr>
        <w:tab/>
      </w:r>
      <w:r>
        <w:rPr>
          <w:rFonts w:hint="eastAsia"/>
          <w:lang w:eastAsia="zh-CN"/>
        </w:rPr>
        <w:t>Cell search</w:t>
      </w:r>
    </w:p>
    <w:p>
      <w:pPr>
        <w:pStyle w:val="70"/>
        <w:jc w:val="center"/>
        <w:rPr>
          <w:lang w:val="en-US" w:eastAsia="zh-CN"/>
        </w:rPr>
      </w:pPr>
      <w:r>
        <w:rPr>
          <w:rFonts w:ascii="Times New Roman" w:hAnsi="Times New Roman" w:eastAsiaTheme="minorEastAsia"/>
          <w:color w:val="C00000"/>
          <w:szCs w:val="20"/>
        </w:rPr>
        <w:t>&lt; Unchanged parts are omitted &gt;</w:t>
      </w:r>
    </w:p>
    <w:p>
      <w:pPr>
        <w:spacing w:after="160"/>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DiscoveryBurst-WindowLength-r16</w:t>
      </w:r>
      <w:r>
        <w:t xml:space="preserve"> a duration of the discovery burst transmission window. If</w:t>
      </w:r>
      <w:r>
        <w:rPr>
          <w:i/>
        </w:rPr>
        <w:t xml:space="preserve"> DiscoveryBurst-WindowLength-r16</w:t>
      </w:r>
      <w:r>
        <w:t xml:space="preserve"> is not provided, the UE assumes that the duration of the discovery burst transmission window is a half frame. For a serving cell, the UE assumes that a periodicity of the discovery burst transmission window is same as a periodicity of half frames for receptions of SS/PBCH blocks in the serving cell. The UE assumes that one or more SS/PBCH blocks indicated by </w:t>
      </w:r>
      <w:r>
        <w:rPr>
          <w:i/>
          <w:iCs/>
        </w:rPr>
        <w:t>ssb-PositionsInBurst</w:t>
      </w:r>
      <w:r>
        <w:t xml:space="preserve"> may be transmitted within the discovery burst transmission window and have candidate SS/PBCH blocks indices corresponding to SS/PBCH block indices provided by </w:t>
      </w:r>
      <w:r>
        <w:rPr>
          <w:i/>
          <w:iCs/>
        </w:rPr>
        <w:t>ssb-PositionsInBurst</w:t>
      </w:r>
      <w:r>
        <w:t xml:space="preserve">. 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one </w:t>
      </w:r>
      <w:r>
        <w:rPr>
          <w:rFonts w:hint="eastAsia"/>
          <w:color w:val="FF0000"/>
          <w:lang w:eastAsia="zh-CN"/>
        </w:rPr>
        <w:t>SS/PBCH block among</w:t>
      </w:r>
      <w:r>
        <w:rPr>
          <w:strike/>
          <w:color w:val="FF0000"/>
        </w:rPr>
        <w:t>or more</w:t>
      </w:r>
      <w:r>
        <w:t xml:space="preserve"> SS/PBCH blocks within the discovery burst transmission window with candidate SS/PBCH block indices corresponding to SS/PBCH block index equal to </w:t>
      </w:r>
      <m:oMath>
        <m:r>
          <w:rPr>
            <w:rFonts w:ascii="Cambria Math" w:hAnsi="Cambria Math"/>
          </w:rPr>
          <m:t>k-1</m:t>
        </m:r>
      </m:oMath>
      <w:r>
        <w:t xml:space="preserve"> may be transmitted; if MSB </w:t>
      </w:r>
      <m:oMath>
        <m:r>
          <w:rPr>
            <w:rFonts w:ascii="Cambria Math" w:hAnsi="Cambria Math"/>
          </w:rPr>
          <m:t>k</m:t>
        </m:r>
      </m:oMath>
      <w:r>
        <w:t xml:space="preserve"> is set to 0, the UE assumes that the SS/PBCH block(s) are not transmitted.</w:t>
      </w:r>
    </w:p>
    <w:p>
      <w:pPr>
        <w:pStyle w:val="70"/>
        <w:jc w:val="center"/>
        <w:rPr>
          <w:rFonts w:ascii="Times New Roman" w:hAnsi="Times New Roman" w:eastAsiaTheme="minorEastAsia"/>
          <w:color w:val="C00000"/>
          <w:szCs w:val="20"/>
        </w:rPr>
      </w:pPr>
      <w:r>
        <w:rPr>
          <w:rFonts w:ascii="Times New Roman" w:hAnsi="Times New Roman" w:eastAsiaTheme="minorEastAsia"/>
          <w:color w:val="C00000"/>
          <w:szCs w:val="20"/>
        </w:rPr>
        <w:t>&lt; Unchanged parts are omitted &gt;</w:t>
      </w:r>
    </w:p>
    <w:p>
      <w:pPr>
        <w:spacing w:before="120" w:beforeLines="5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p>
    <w:p>
      <w:pPr>
        <w:rPr>
          <w:rFonts w:eastAsiaTheme="minorEastAsia"/>
          <w:lang w:eastAsia="zh-CN"/>
        </w:rPr>
      </w:pPr>
    </w:p>
    <w:tbl>
      <w:tblPr>
        <w:tblStyle w:val="32"/>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OK with the proposal in general. For TP#2, suggest further change to “one SS/PBCH block among SS/PBCH block</w:t>
            </w:r>
            <w:r>
              <w:rPr>
                <w:color w:val="FF0000"/>
                <w:lang w:eastAsia="zh-CN"/>
              </w:rPr>
              <w:t>(</w:t>
            </w:r>
            <w:r>
              <w:rPr>
                <w:lang w:eastAsia="zh-CN"/>
              </w:rPr>
              <w:t>s</w:t>
            </w:r>
            <w:r>
              <w:rPr>
                <w:color w:val="FF0000"/>
                <w:lang w:eastAsia="zh-CN"/>
              </w:rPr>
              <w:t>)</w:t>
            </w:r>
            <w:r>
              <w:rPr>
                <w:lang w:eastAsia="zh-CN"/>
              </w:rPr>
              <w:t xml:space="preserve"> within …”. Moreover, after the TP is agreed, a LS to RAN2 is needed to suggest a corresponding change in TS 38.331, since the description of ssb-PositionsInBurst directly quotes this sentence in TS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rFonts w:hint="eastAsia" w:eastAsia="MS Mincho"/>
                <w:lang w:eastAsia="ja-JP"/>
              </w:rPr>
              <w:t>S</w:t>
            </w:r>
            <w:r>
              <w:rPr>
                <w:rFonts w:eastAsia="MS Mincho"/>
                <w:lang w:eastAsia="ja-JP"/>
              </w:rPr>
              <w:t>harp</w:t>
            </w:r>
          </w:p>
        </w:tc>
        <w:tc>
          <w:tcPr>
            <w:tcW w:w="6432" w:type="dxa"/>
          </w:tcPr>
          <w:p>
            <w:pPr>
              <w:widowControl w:val="0"/>
              <w:rPr>
                <w:rFonts w:eastAsia="MS Mincho"/>
                <w:lang w:eastAsia="ja-JP"/>
              </w:rPr>
            </w:pPr>
            <w:r>
              <w:rPr>
                <w:rFonts w:hint="eastAsia" w:eastAsia="MS Mincho"/>
                <w:lang w:eastAsia="ja-JP"/>
              </w:rPr>
              <w:t>O</w:t>
            </w:r>
            <w:r>
              <w:rPr>
                <w:rFonts w:eastAsia="MS Mincho"/>
                <w:lang w:eastAsia="ja-JP"/>
              </w:rPr>
              <w:t>K with the proposal. We 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Vivo</w:t>
            </w:r>
          </w:p>
        </w:tc>
        <w:tc>
          <w:tcPr>
            <w:tcW w:w="6432" w:type="dxa"/>
          </w:tcPr>
          <w:p>
            <w:pPr>
              <w:widowControl w:val="0"/>
              <w:rPr>
                <w:lang w:eastAsia="zh-CN"/>
              </w:rPr>
            </w:pPr>
            <w:r>
              <w:rPr>
                <w:rFonts w:hint="eastAsia"/>
                <w:lang w:eastAsia="zh-CN"/>
              </w:rPr>
              <w:t>A</w:t>
            </w:r>
            <w:r>
              <w:rPr>
                <w:lang w:eastAsia="zh-CN"/>
              </w:rPr>
              <w:t>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eastAsia="Malgun Gothic"/>
                <w:lang w:eastAsia="ko-KR"/>
              </w:rPr>
            </w:pPr>
            <w:r>
              <w:rPr>
                <w:rFonts w:hint="eastAsia" w:eastAsia="Malgun Gothic"/>
                <w:lang w:eastAsia="ko-KR"/>
              </w:rPr>
              <w:t>LG Electronics</w:t>
            </w:r>
          </w:p>
        </w:tc>
        <w:tc>
          <w:tcPr>
            <w:tcW w:w="6432" w:type="dxa"/>
          </w:tcPr>
          <w:p>
            <w:pPr>
              <w:widowControl w:val="0"/>
              <w:rPr>
                <w:rFonts w:eastAsia="Malgun Gothic"/>
                <w:lang w:eastAsia="ko-KR"/>
              </w:rPr>
            </w:pPr>
            <w:r>
              <w:rPr>
                <w:rFonts w:hint="eastAsia" w:eastAsia="Malgun Gothic"/>
                <w:lang w:eastAsia="ko-KR"/>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Spreadtrum</w:t>
            </w:r>
          </w:p>
        </w:tc>
        <w:tc>
          <w:tcPr>
            <w:tcW w:w="6432" w:type="dxa"/>
          </w:tcPr>
          <w:p>
            <w:pPr>
              <w:widowControl w:val="0"/>
              <w:rPr>
                <w:lang w:eastAsia="zh-CN"/>
              </w:rPr>
            </w:pPr>
            <w:r>
              <w:rPr>
                <w:lang w:eastAsia="zh-CN"/>
              </w:rPr>
              <w:t>In our view, the sentence to be modified is used for PDSCH rate matching around SSB or collision handling, e.g. PDCCH vs. SSB. We are confused about UE behavior on SSB detection, PDSCH reception and PDCCH monitoring. The intention of modification is to let UE have to detect SSB before PDSCH reception or PDCCH monitoring in the DRS transmission window? We admit we support SSB based CSI-RS validation, and we think SSB based measurement may occur together with CSI-RS based measurement, and it is friendly for UE implementation. But for PDSCH reception or PDCCH monitoring, we suspect SSB detection based mechanism. For CSI-RS validation, it can be a cancellation of measurement sample, but for PDSCH reception or PDCCH monitoring, there is no cancelation or the reception pipeline should be modified? For PDSCH rate matching, we think the semi-static or PDCCH-based dynamic rate matching seems enough. For PDCCH collision handling, we think the semi-static seems enough.</w:t>
            </w:r>
          </w:p>
          <w:p>
            <w:pPr>
              <w:widowControl w:val="0"/>
              <w:rPr>
                <w:lang w:eastAsia="zh-CN"/>
              </w:rPr>
            </w:pPr>
            <w:r>
              <w:rPr>
                <w:lang w:eastAsia="zh-CN"/>
              </w:rPr>
              <w:t>Could the proponent please clarify whether there is new UE behavior on PDSCH rate matching or PDCCH collision handling related to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hint="default"/>
                <w:lang w:val="en-US" w:eastAsia="zh-CN"/>
              </w:rPr>
            </w:pPr>
            <w:r>
              <w:rPr>
                <w:rFonts w:hint="eastAsia"/>
                <w:lang w:val="en-US" w:eastAsia="zh-CN"/>
              </w:rPr>
              <w:t>ZTE</w:t>
            </w:r>
          </w:p>
        </w:tc>
        <w:tc>
          <w:tcPr>
            <w:tcW w:w="6432" w:type="dxa"/>
          </w:tcPr>
          <w:p>
            <w:pPr>
              <w:widowControl w:val="0"/>
              <w:rPr>
                <w:rFonts w:hint="default"/>
                <w:lang w:val="en-US" w:eastAsia="zh-CN"/>
              </w:rPr>
            </w:pPr>
            <w:r>
              <w:rPr>
                <w:rFonts w:hint="eastAsia"/>
                <w:lang w:val="en-US" w:eastAsia="zh-CN"/>
              </w:rPr>
              <w:t xml:space="preserve">Support. The intention of TP#2 and TP#14 are both from the agreement we made in last meeting </w:t>
            </w:r>
            <w:r>
              <w:rPr>
                <w:rFonts w:hint="default"/>
                <w:lang w:val="en-US" w:eastAsia="zh-CN"/>
              </w:rPr>
              <w:t>“</w:t>
            </w:r>
            <w:r>
              <w:rPr>
                <w:highlight w:val="yellow"/>
              </w:rPr>
              <w:t>a number of transmitted SS/PBCH blocks with a same SS/PBCH block index is not larger than one</w:t>
            </w:r>
            <w:r>
              <w:t>.</w:t>
            </w:r>
            <w:r>
              <w:rPr>
                <w:rFonts w:eastAsia="宋体"/>
                <w:lang w:val="en-US" w:eastAsia="zh-CN"/>
              </w:rPr>
              <w:t>”</w:t>
            </w:r>
            <w:r>
              <w:rPr>
                <w:rFonts w:hint="eastAsia"/>
                <w:lang w:val="en-US" w:eastAsia="zh-CN"/>
              </w:rPr>
              <w:t>.</w:t>
            </w:r>
            <w:bookmarkStart w:id="41" w:name="_GoBack"/>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pStyle w:val="4"/>
        <w:rPr>
          <w:lang w:eastAsia="zh-CN"/>
        </w:rPr>
      </w:pPr>
      <w:r>
        <w:rPr>
          <w:lang w:eastAsia="zh-CN"/>
        </w:rPr>
        <w:t>(#2.4) Editorial corrections</w:t>
      </w:r>
    </w:p>
    <w:p>
      <w:pPr>
        <w:rPr>
          <w:lang w:eastAsia="zh-CN"/>
        </w:rPr>
      </w:pPr>
      <w:r>
        <w:rPr>
          <w:b/>
          <w:lang w:eastAsia="zh-CN"/>
        </w:rPr>
        <w:t>Description</w:t>
      </w:r>
      <w:r>
        <w:rPr>
          <w:lang w:eastAsia="zh-CN"/>
        </w:rPr>
        <w:t xml:space="preserve">: </w:t>
      </w:r>
    </w:p>
    <w:p>
      <w:pPr>
        <w:pStyle w:val="46"/>
        <w:numPr>
          <w:ilvl w:val="0"/>
          <w:numId w:val="6"/>
        </w:numPr>
        <w:rPr>
          <w:rFonts w:ascii="Times New Roman" w:hAnsi="Times New Roman"/>
          <w:sz w:val="22"/>
        </w:rPr>
      </w:pPr>
      <w:r>
        <w:rPr>
          <w:rFonts w:ascii="Times New Roman" w:hAnsi="Times New Roman"/>
          <w:sz w:val="22"/>
        </w:rPr>
        <w:t xml:space="preserve">Correct indexing references or add ‘candidate SS/PBCH block index’ terminology in: </w:t>
      </w:r>
    </w:p>
    <w:p>
      <w:pPr>
        <w:pStyle w:val="46"/>
        <w:numPr>
          <w:ilvl w:val="1"/>
          <w:numId w:val="6"/>
        </w:numPr>
        <w:rPr>
          <w:rFonts w:ascii="Times New Roman" w:hAnsi="Times New Roman"/>
          <w:sz w:val="22"/>
        </w:rPr>
      </w:pPr>
      <w:r>
        <w:rPr>
          <w:rFonts w:ascii="Times New Roman" w:hAnsi="Times New Roman"/>
          <w:sz w:val="22"/>
        </w:rPr>
        <w:t xml:space="preserve">TS 38.214 Subclause 5.1.4 relating to PDSCH rate matching </w:t>
      </w:r>
      <w:r>
        <w:rPr>
          <w:rFonts w:ascii="Times New Roman" w:hAnsi="Times New Roman"/>
          <w:sz w:val="22"/>
        </w:rPr>
        <w:fldChar w:fldCharType="begin"/>
      </w:r>
      <w:r>
        <w:rPr>
          <w:rFonts w:ascii="Times New Roman" w:hAnsi="Times New Roman"/>
          <w:sz w:val="22"/>
        </w:rPr>
        <w:instrText xml:space="preserve"> REF _Ref41317225 \r \h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r>
        <w:rPr>
          <w:rFonts w:ascii="Times New Roman" w:hAnsi="Times New Roman"/>
          <w:sz w:val="22"/>
        </w:rPr>
        <w:t>.</w:t>
      </w:r>
    </w:p>
    <w:p>
      <w:pPr>
        <w:pStyle w:val="46"/>
        <w:numPr>
          <w:ilvl w:val="1"/>
          <w:numId w:val="6"/>
        </w:numPr>
        <w:rPr>
          <w:rFonts w:ascii="Times New Roman" w:hAnsi="Times New Roman"/>
          <w:sz w:val="22"/>
        </w:rPr>
      </w:pPr>
      <w:r>
        <w:rPr>
          <w:rFonts w:ascii="Times New Roman" w:hAnsi="Times New Roman"/>
          <w:sz w:val="22"/>
        </w:rPr>
        <w:t xml:space="preserve">TS 38.213 Subclause 8.1 relating to RO validation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pPr>
        <w:pStyle w:val="46"/>
        <w:numPr>
          <w:ilvl w:val="1"/>
          <w:numId w:val="6"/>
        </w:numPr>
        <w:rPr>
          <w:rFonts w:ascii="Times New Roman" w:hAnsi="Times New Roman"/>
          <w:sz w:val="22"/>
        </w:rPr>
      </w:pPr>
      <w:r>
        <w:rPr>
          <w:rFonts w:ascii="Times New Roman" w:hAnsi="Times New Roman"/>
          <w:sz w:val="22"/>
        </w:rPr>
        <w:t xml:space="preserve">TS 38.213 Subclause 11.1.1 relating to UL validation in SFI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pPr>
        <w:pStyle w:val="46"/>
        <w:numPr>
          <w:ilvl w:val="1"/>
          <w:numId w:val="6"/>
        </w:numPr>
        <w:rPr>
          <w:rFonts w:ascii="Times New Roman" w:hAnsi="Times New Roman"/>
          <w:sz w:val="22"/>
        </w:rPr>
      </w:pPr>
      <w:r>
        <w:rPr>
          <w:rFonts w:ascii="Times New Roman" w:hAnsi="Times New Roman"/>
          <w:sz w:val="22"/>
        </w:rPr>
        <w:t xml:space="preserve">TS 38.213 Subclause 9.2.3 relating to PUCCH repetition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pPr>
        <w:pStyle w:val="46"/>
        <w:numPr>
          <w:ilvl w:val="1"/>
          <w:numId w:val="6"/>
        </w:numPr>
        <w:rPr>
          <w:rFonts w:ascii="Times New Roman" w:hAnsi="Times New Roman"/>
          <w:sz w:val="22"/>
        </w:rPr>
      </w:pPr>
      <w:r>
        <w:rPr>
          <w:rFonts w:ascii="Times New Roman" w:hAnsi="Times New Roman"/>
          <w:sz w:val="22"/>
        </w:rPr>
        <w:t xml:space="preserve">TS 38.213 Subclause 5 relating to RLM </w:t>
      </w:r>
      <w:r>
        <w:rPr>
          <w:rFonts w:ascii="Times New Roman" w:hAnsi="Times New Roman"/>
          <w:sz w:val="22"/>
        </w:rPr>
        <w:fldChar w:fldCharType="begin"/>
      </w:r>
      <w:r>
        <w:rPr>
          <w:rFonts w:ascii="Times New Roman" w:hAnsi="Times New Roman"/>
          <w:sz w:val="22"/>
        </w:rPr>
        <w:instrText xml:space="preserve"> REF _Ref41324924 \r \h </w:instrText>
      </w:r>
      <w:r>
        <w:rPr>
          <w:rFonts w:ascii="Times New Roman" w:hAnsi="Times New Roman"/>
          <w:sz w:val="22"/>
        </w:rPr>
        <w:fldChar w:fldCharType="separate"/>
      </w:r>
      <w:r>
        <w:rPr>
          <w:rFonts w:ascii="Times New Roman" w:hAnsi="Times New Roman"/>
          <w:sz w:val="22"/>
        </w:rPr>
        <w:t>[7]</w:t>
      </w:r>
      <w:r>
        <w:rPr>
          <w:rFonts w:ascii="Times New Roman" w:hAnsi="Times New Roman"/>
          <w:sz w:val="22"/>
        </w:rPr>
        <w:fldChar w:fldCharType="end"/>
      </w:r>
      <w:r>
        <w:rPr>
          <w:rFonts w:ascii="Times New Roman" w:hAnsi="Times New Roman"/>
          <w:sz w:val="22"/>
        </w:rPr>
        <w:t>.</w:t>
      </w:r>
    </w:p>
    <w:p>
      <w:pPr>
        <w:pStyle w:val="46"/>
        <w:numPr>
          <w:ilvl w:val="1"/>
          <w:numId w:val="6"/>
        </w:numPr>
        <w:rPr>
          <w:rFonts w:ascii="Times New Roman" w:hAnsi="Times New Roman"/>
          <w:sz w:val="22"/>
        </w:rPr>
      </w:pPr>
      <w:r>
        <w:rPr>
          <w:rFonts w:ascii="Times New Roman" w:hAnsi="Times New Roman"/>
          <w:sz w:val="22"/>
        </w:rPr>
        <w:t xml:space="preserve">TS 38.213 Subclause 8.1 relating to association between SS/PBCH blocks and PRACH occasions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pPr>
        <w:pStyle w:val="46"/>
        <w:numPr>
          <w:ilvl w:val="1"/>
          <w:numId w:val="6"/>
        </w:numPr>
        <w:rPr>
          <w:rFonts w:ascii="Times New Roman" w:hAnsi="Times New Roman"/>
          <w:sz w:val="22"/>
        </w:rPr>
      </w:pPr>
      <w:r>
        <w:rPr>
          <w:rFonts w:ascii="Times New Roman" w:hAnsi="Times New Roman"/>
          <w:sz w:val="22"/>
        </w:rPr>
        <w:t xml:space="preserve">TS 38.213 Subclause 7 relating to path loss reference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p>
      <w:pPr>
        <w:rPr>
          <w:color w:val="FF0000"/>
        </w:rPr>
      </w:pPr>
      <w:bookmarkStart w:id="2" w:name="_Toc11352093"/>
      <w:bookmarkStart w:id="3" w:name="_Toc20317983"/>
      <w:bookmarkStart w:id="4" w:name="_Toc29673146"/>
      <w:bookmarkStart w:id="5" w:name="_Toc36645510"/>
      <w:bookmarkStart w:id="6" w:name="_Toc27299881"/>
      <w:bookmarkStart w:id="7" w:name="_Toc29673287"/>
      <w:bookmarkStart w:id="8" w:name="_Toc29674280"/>
      <w:r>
        <w:rPr>
          <w:color w:val="FF0000"/>
        </w:rPr>
        <w:t>==================== Start of TP#3 for Clause 5.1.4 of TS 38.214 =======================</w:t>
      </w:r>
    </w:p>
    <w:p>
      <w:r>
        <w:t>*** Unchanged text is omitted ***</w:t>
      </w:r>
    </w:p>
    <w:p>
      <w:r>
        <w:t>5.1.4</w:t>
      </w:r>
      <w:r>
        <w:tab/>
      </w:r>
      <w:r>
        <w:t>PDSCH resource mapping</w:t>
      </w:r>
      <w:bookmarkEnd w:id="2"/>
      <w:bookmarkEnd w:id="3"/>
      <w:bookmarkEnd w:id="4"/>
      <w:bookmarkEnd w:id="5"/>
      <w:bookmarkEnd w:id="6"/>
      <w:bookmarkEnd w:id="7"/>
      <w:bookmarkEnd w:id="8"/>
    </w:p>
    <w:p>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scheduled with SI-RNTI and the system information indicator in DCI is set to 0</w:t>
      </w:r>
      <w:r>
        <w:rPr>
          <w:kern w:val="2"/>
          <w:sz w:val="20"/>
          <w:lang w:val="en-GB" w:eastAsia="zh-CN"/>
        </w:rPr>
        <w:t>, the UE shall assume that no SS/PBCH block is transmitted in REs used by the UE for a reception of the PDSCH.</w:t>
      </w:r>
    </w:p>
    <w:p>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 xml:space="preserve">scheduled with SI-RNTI and the system information indicator in DCI is set to 1, RA-RNTI, </w:t>
      </w:r>
      <w:r>
        <w:rPr>
          <w:rFonts w:eastAsia="Malgun Gothic"/>
          <w:color w:val="000000"/>
          <w:sz w:val="20"/>
          <w:lang w:val="en-GB"/>
        </w:rPr>
        <w:t>MsgB-RNTI</w:t>
      </w:r>
      <w:r>
        <w:rPr>
          <w:rFonts w:eastAsia="Malgun Gothic"/>
          <w:sz w:val="16"/>
          <w:szCs w:val="16"/>
          <w:lang w:val="en-GB"/>
        </w:rPr>
        <w:t xml:space="preserve">, </w:t>
      </w:r>
      <w:r>
        <w:rPr>
          <w:color w:val="000000"/>
          <w:kern w:val="2"/>
          <w:sz w:val="20"/>
          <w:lang w:val="en-GB" w:eastAsia="zh-CN"/>
        </w:rPr>
        <w:t>P-RNTI or TC-RNTI</w:t>
      </w:r>
      <w:r>
        <w:rPr>
          <w:kern w:val="2"/>
          <w:sz w:val="20"/>
          <w:lang w:val="en-GB" w:eastAsia="zh-CN"/>
        </w:rPr>
        <w:t xml:space="preserve">, the UE assumes SS/PBCH block transmission according to </w:t>
      </w:r>
      <w:r>
        <w:rPr>
          <w:i/>
          <w:color w:val="000000"/>
          <w:kern w:val="2"/>
          <w:sz w:val="20"/>
          <w:lang w:val="en-GB" w:eastAsia="zh-CN"/>
        </w:rPr>
        <w:t>ssb-PositionsInBurst</w:t>
      </w:r>
      <w:r>
        <w:rPr>
          <w:kern w:val="2"/>
          <w:sz w:val="20"/>
          <w:lang w:val="en-GB" w:eastAsia="zh-CN"/>
        </w:rPr>
        <w:t xml:space="preserve">, and if the PDSCH resource allocation overlaps with PRBs containing SS/PBCH block transmission resources the UE shall assume that </w:t>
      </w:r>
      <w:r>
        <w:rPr>
          <w:color w:val="000000"/>
          <w:kern w:val="2"/>
          <w:sz w:val="20"/>
          <w:lang w:val="en-GB" w:eastAsia="zh-CN"/>
        </w:rPr>
        <w:t>the PRBs containing SS/PBCH block transmission resources are not available for PDSCH</w:t>
      </w:r>
      <w:r>
        <w:rPr>
          <w:kern w:val="2"/>
          <w:sz w:val="20"/>
          <w:lang w:val="en-GB" w:eastAsia="zh-CN"/>
        </w:rPr>
        <w:t xml:space="preserve"> in the OFDM symbols where SS/PBCH block is transmitted.</w:t>
      </w:r>
    </w:p>
    <w:p>
      <w:pPr>
        <w:spacing w:after="180"/>
        <w:jc w:val="left"/>
        <w:rPr>
          <w:rFonts w:eastAsia="Malgun Gothic"/>
          <w:color w:val="000000"/>
          <w:sz w:val="20"/>
          <w:lang w:val="en-GB"/>
        </w:rPr>
      </w:pPr>
      <w:r>
        <w:rPr>
          <w:rFonts w:eastAsia="Malgun Gothic"/>
          <w:color w:val="000000"/>
          <w:sz w:val="20"/>
          <w:lang w:val="en-GB"/>
        </w:rPr>
        <w:t xml:space="preserve">A UE expects a configuration provided by </w:t>
      </w:r>
      <w:r>
        <w:rPr>
          <w:rFonts w:eastAsia="Malgun Gothic"/>
          <w:i/>
          <w:color w:val="000000"/>
          <w:sz w:val="20"/>
          <w:lang w:val="en-GB"/>
        </w:rPr>
        <w:t>ssb-PositionsInBurst</w:t>
      </w:r>
      <w:r>
        <w:rPr>
          <w:rFonts w:eastAsia="Malgun Gothic"/>
          <w:color w:val="000000"/>
          <w:sz w:val="20"/>
          <w:lang w:val="en-GB"/>
        </w:rPr>
        <w:t xml:space="preserve"> in </w:t>
      </w:r>
      <w:r>
        <w:rPr>
          <w:rFonts w:eastAsia="Malgun Gothic"/>
          <w:i/>
          <w:color w:val="000000"/>
          <w:sz w:val="20"/>
          <w:lang w:val="en-GB"/>
        </w:rPr>
        <w:t>ServingCellConfigCommon</w:t>
      </w:r>
      <w:r>
        <w:rPr>
          <w:rFonts w:eastAsia="Malgun Gothic"/>
          <w:color w:val="000000"/>
          <w:sz w:val="20"/>
          <w:lang w:val="en-GB"/>
        </w:rPr>
        <w:t xml:space="preserve"> to be same as a configuration provided by </w:t>
      </w:r>
      <w:r>
        <w:rPr>
          <w:rFonts w:eastAsia="Malgun Gothic"/>
          <w:i/>
          <w:color w:val="000000"/>
          <w:sz w:val="20"/>
          <w:lang w:val="en-GB"/>
        </w:rPr>
        <w:t>ssb-PositionsInBurst</w:t>
      </w:r>
      <w:r>
        <w:rPr>
          <w:rFonts w:eastAsia="Malgun Gothic"/>
          <w:color w:val="000000"/>
          <w:sz w:val="20"/>
          <w:lang w:val="en-GB"/>
        </w:rPr>
        <w:t xml:space="preserve"> in </w:t>
      </w:r>
      <w:r>
        <w:rPr>
          <w:rFonts w:eastAsia="Malgun Gothic"/>
          <w:i/>
          <w:color w:val="000000"/>
          <w:sz w:val="20"/>
          <w:lang w:val="en-GB"/>
        </w:rPr>
        <w:t>SIB1</w:t>
      </w:r>
      <w:r>
        <w:rPr>
          <w:rFonts w:eastAsia="Malgun Gothic"/>
          <w:color w:val="000000"/>
          <w:sz w:val="20"/>
          <w:lang w:val="en-GB"/>
        </w:rPr>
        <w:t>.</w:t>
      </w:r>
    </w:p>
    <w:p>
      <w:pPr>
        <w:spacing w:after="180"/>
        <w:jc w:val="left"/>
        <w:rPr>
          <w:rFonts w:eastAsia="Malgun Gothic"/>
          <w:color w:val="000000"/>
          <w:sz w:val="20"/>
          <w:lang w:val="en-GB"/>
        </w:rPr>
      </w:pPr>
      <w:r>
        <w:rPr>
          <w:rFonts w:eastAsia="Malgun Gothic"/>
          <w:color w:val="000000"/>
          <w:sz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Malgun Gothic"/>
          <w:i/>
          <w:color w:val="000000"/>
          <w:sz w:val="20"/>
          <w:lang w:val="en-GB"/>
        </w:rPr>
        <w:t>ssb-PositionsInBurst</w:t>
      </w:r>
      <w:r>
        <w:rPr>
          <w:rFonts w:eastAsia="Malgun Gothic"/>
          <w:color w:val="000000"/>
          <w:sz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pPr>
        <w:spacing w:after="180"/>
        <w:jc w:val="left"/>
        <w:rPr>
          <w:rFonts w:eastAsia="Malgun Gothic"/>
          <w:i/>
          <w:color w:val="000000"/>
          <w:sz w:val="20"/>
          <w:lang w:val="en-GB"/>
        </w:rPr>
      </w:pPr>
      <w:r>
        <w:rPr>
          <w:rFonts w:eastAsia="Malgun Gothic"/>
          <w:color w:val="000000"/>
          <w:sz w:val="20"/>
          <w:lang w:val="en-GB"/>
        </w:rPr>
        <w:t>A UE is not expected to handle the case where PDSCH DM-RS REs are overlapping, even partially, with any RE(s) not available for PDSCH</w:t>
      </w:r>
      <w:r>
        <w:rPr>
          <w:rFonts w:eastAsia="Malgun Gothic"/>
          <w:i/>
          <w:color w:val="000000"/>
          <w:sz w:val="20"/>
          <w:lang w:val="en-GB"/>
        </w:rPr>
        <w:t>.</w:t>
      </w:r>
    </w:p>
    <w:p>
      <w:pPr>
        <w:spacing w:after="180"/>
        <w:jc w:val="left"/>
        <w:rPr>
          <w:rFonts w:eastAsia="Malgun Gothic"/>
          <w:color w:val="000000"/>
          <w:sz w:val="20"/>
          <w:lang w:eastAsia="ko-KR"/>
        </w:rPr>
      </w:pPr>
      <w:ins w:id="0" w:author="정훈 이" w:date="2020-04-09T11:44:00Z">
        <w:r>
          <w:rPr>
            <w:rFonts w:hint="eastAsia" w:eastAsia="Malgun Gothic"/>
            <w:color w:val="000000"/>
            <w:sz w:val="20"/>
            <w:lang w:val="en-GB" w:eastAsia="ko-KR"/>
          </w:rPr>
          <w:t>F</w:t>
        </w:r>
      </w:ins>
      <w:ins w:id="1" w:author="정훈 이" w:date="2020-04-09T11:44:00Z">
        <w:r>
          <w:rPr>
            <w:rFonts w:eastAsia="Malgun Gothic"/>
            <w:color w:val="000000"/>
            <w:sz w:val="20"/>
            <w:lang w:val="en-GB" w:eastAsia="ko-KR"/>
          </w:rPr>
          <w:t xml:space="preserve">or operation with shared spectrum channel access, </w:t>
        </w:r>
      </w:ins>
      <w:ins w:id="2" w:author="정훈 이" w:date="2020-04-09T11:45:00Z">
        <w:r>
          <w:rPr>
            <w:rFonts w:eastAsia="Malgun Gothic"/>
            <w:color w:val="000000"/>
            <w:sz w:val="20"/>
            <w:lang w:val="en-GB" w:eastAsia="ko-KR"/>
          </w:rPr>
          <w:t xml:space="preserve">SS/PBCH block transmission according to </w:t>
        </w:r>
      </w:ins>
      <w:ins w:id="3" w:author="정훈 이" w:date="2020-04-09T11:45:00Z">
        <w:r>
          <w:rPr>
            <w:i/>
            <w:color w:val="000000"/>
            <w:kern w:val="2"/>
            <w:sz w:val="20"/>
            <w:lang w:val="en-GB" w:eastAsia="zh-CN"/>
          </w:rPr>
          <w:t xml:space="preserve">ssb-PositionsInBurst </w:t>
        </w:r>
      </w:ins>
      <w:ins w:id="4" w:author="정훈 이" w:date="2020-04-09T11:45:00Z">
        <w:r>
          <w:rPr>
            <w:rFonts w:eastAsia="Malgun Gothic"/>
            <w:color w:val="000000"/>
            <w:sz w:val="20"/>
            <w:lang w:val="en-GB"/>
          </w:rPr>
          <w:t>rep</w:t>
        </w:r>
      </w:ins>
      <w:ins w:id="5" w:author="정훈 이" w:date="2020-04-09T11:46:00Z">
        <w:r>
          <w:rPr>
            <w:rFonts w:eastAsia="Malgun Gothic"/>
            <w:color w:val="000000"/>
            <w:sz w:val="20"/>
            <w:lang w:val="en-GB"/>
          </w:rPr>
          <w:t>resents candidate SS/PBCH blocks corresponding</w:t>
        </w:r>
      </w:ins>
      <w:ins w:id="6" w:author="정훈 이" w:date="2020-04-09T11:47:00Z">
        <w:r>
          <w:rPr>
            <w:rFonts w:eastAsia="Malgun Gothic"/>
            <w:color w:val="000000"/>
            <w:sz w:val="20"/>
            <w:lang w:val="en-GB"/>
          </w:rPr>
          <w:t xml:space="preserve"> to SS/PBCH block ind</w:t>
        </w:r>
      </w:ins>
      <w:ins w:id="7" w:author="Mukherjee, Amitav" w:date="2020-05-25T16:45:00Z">
        <w:r>
          <w:rPr>
            <w:rFonts w:eastAsia="Malgun Gothic"/>
            <w:color w:val="000000"/>
            <w:sz w:val="20"/>
            <w:lang w:val="en-GB"/>
          </w:rPr>
          <w:t>ic</w:t>
        </w:r>
      </w:ins>
      <w:ins w:id="8" w:author="정훈 이" w:date="2020-04-09T11:47:00Z">
        <w:r>
          <w:rPr>
            <w:rFonts w:eastAsia="Malgun Gothic"/>
            <w:color w:val="000000"/>
            <w:sz w:val="20"/>
            <w:lang w:val="en-GB"/>
          </w:rPr>
          <w:t xml:space="preserve">es </w:t>
        </w:r>
      </w:ins>
      <w:ins w:id="9" w:author="정훈 이" w:date="2020-04-09T11:48:00Z">
        <w:r>
          <w:rPr>
            <w:rFonts w:eastAsia="Malgun Gothic"/>
            <w:color w:val="000000"/>
            <w:sz w:val="20"/>
            <w:lang w:val="en-GB"/>
          </w:rPr>
          <w:t xml:space="preserve">provided by </w:t>
        </w:r>
      </w:ins>
      <w:ins w:id="10" w:author="정훈 이" w:date="2020-04-09T11:49:00Z">
        <w:r>
          <w:rPr>
            <w:i/>
            <w:color w:val="000000"/>
            <w:kern w:val="2"/>
            <w:sz w:val="20"/>
            <w:lang w:val="en-GB" w:eastAsia="zh-CN"/>
          </w:rPr>
          <w:t xml:space="preserve">ssb-PositionsInBurst </w:t>
        </w:r>
      </w:ins>
      <w:ins w:id="11" w:author="정훈 이" w:date="2020-04-09T11:49:00Z">
        <w:r>
          <w:rPr>
            <w:rFonts w:eastAsia="Malgun Gothic"/>
            <w:color w:val="000000"/>
            <w:sz w:val="20"/>
            <w:lang w:val="en-GB"/>
          </w:rPr>
          <w:t xml:space="preserve">as described in </w:t>
        </w:r>
      </w:ins>
      <w:ins w:id="12" w:author="정훈 이" w:date="2020-04-09T13:46:00Z">
        <w:r>
          <w:rPr>
            <w:rFonts w:eastAsia="Malgun Gothic"/>
            <w:color w:val="000000"/>
            <w:sz w:val="20"/>
            <w:lang w:val="en-GB"/>
          </w:rPr>
          <w:t>C</w:t>
        </w:r>
      </w:ins>
      <w:ins w:id="13" w:author="정훈 이" w:date="2020-04-09T13:45:00Z">
        <w:r>
          <w:rPr>
            <w:rFonts w:eastAsia="Malgun Gothic"/>
            <w:color w:val="000000"/>
            <w:sz w:val="20"/>
            <w:lang w:val="en-GB"/>
          </w:rPr>
          <w:t>lause</w:t>
        </w:r>
      </w:ins>
      <w:ins w:id="14" w:author="정훈 이" w:date="2020-04-09T13:46:00Z">
        <w:r>
          <w:rPr>
            <w:rFonts w:eastAsia="Malgun Gothic"/>
            <w:color w:val="000000"/>
            <w:sz w:val="20"/>
            <w:lang w:val="en-GB"/>
          </w:rPr>
          <w:t xml:space="preserve"> 4.1</w:t>
        </w:r>
      </w:ins>
      <w:ins w:id="15" w:author="정훈 이" w:date="2020-04-09T13:45:00Z">
        <w:r>
          <w:rPr>
            <w:rFonts w:eastAsia="Malgun Gothic"/>
            <w:color w:val="000000"/>
            <w:sz w:val="20"/>
            <w:lang w:val="en-GB"/>
          </w:rPr>
          <w:t xml:space="preserve"> </w:t>
        </w:r>
      </w:ins>
      <w:ins w:id="16" w:author="정훈 이" w:date="2020-04-09T13:46:00Z">
        <w:r>
          <w:rPr>
            <w:rFonts w:eastAsia="Malgun Gothic"/>
            <w:color w:val="000000"/>
            <w:sz w:val="20"/>
            <w:lang w:val="en-GB"/>
          </w:rPr>
          <w:t xml:space="preserve">of </w:t>
        </w:r>
      </w:ins>
      <w:ins w:id="17" w:author="정훈 이" w:date="2020-04-09T11:49:00Z">
        <w:r>
          <w:rPr>
            <w:rFonts w:eastAsia="Malgun Gothic"/>
            <w:color w:val="000000"/>
            <w:sz w:val="20"/>
            <w:lang w:val="en-GB"/>
          </w:rPr>
          <w:t>[</w:t>
        </w:r>
      </w:ins>
      <w:ins w:id="18" w:author="정훈 이" w:date="2020-04-09T13:47:00Z">
        <w:r>
          <w:rPr>
            <w:rFonts w:eastAsia="Malgun Gothic"/>
            <w:color w:val="000000"/>
            <w:sz w:val="20"/>
            <w:lang w:val="en-GB"/>
          </w:rPr>
          <w:t>6, TS 38.213]</w:t>
        </w:r>
      </w:ins>
      <w:ins w:id="19" w:author="정훈 이" w:date="2020-04-09T14:10:00Z">
        <w:r>
          <w:rPr>
            <w:rFonts w:eastAsia="Malgun Gothic"/>
            <w:color w:val="000000"/>
            <w:sz w:val="20"/>
            <w:lang w:val="en-GB"/>
          </w:rPr>
          <w:t>.</w:t>
        </w:r>
      </w:ins>
    </w:p>
    <w:p>
      <w:r>
        <w:rPr>
          <w:color w:val="FF0000"/>
        </w:rPr>
        <w:t>================================== End of TP#3 ============================</w:t>
      </w:r>
      <w:r>
        <w:t xml:space="preserve">   </w:t>
      </w:r>
    </w:p>
    <w:p/>
    <w:p>
      <w:pPr>
        <w:rPr>
          <w:color w:val="FF0000"/>
        </w:rPr>
      </w:pPr>
      <w:r>
        <w:rPr>
          <w:color w:val="FF0000"/>
          <w:sz w:val="20"/>
          <w:szCs w:val="20"/>
          <w:lang w:eastAsia="zh-CN"/>
        </w:rPr>
        <w:t>=</w:t>
      </w:r>
      <w:r>
        <w:rPr>
          <w:color w:val="FF0000"/>
        </w:rPr>
        <w:t>==================== Start of TP#4 for Clause 8.1 of TS 38.213 =======================</w:t>
      </w:r>
    </w:p>
    <w:p>
      <w:pPr>
        <w:rPr>
          <w:b/>
          <w:sz w:val="28"/>
          <w:lang w:val="en-GB"/>
        </w:rPr>
      </w:pPr>
      <w:bookmarkStart w:id="9" w:name="_Toc26719399"/>
      <w:bookmarkStart w:id="10" w:name="_Toc29894830"/>
      <w:bookmarkStart w:id="11" w:name="_Toc29917284"/>
      <w:bookmarkStart w:id="12" w:name="_Toc29899129"/>
      <w:bookmarkStart w:id="13" w:name="_Ref491452917"/>
      <w:bookmarkStart w:id="14" w:name="_Toc20311574"/>
      <w:bookmarkStart w:id="15" w:name="_Toc12021462"/>
      <w:bookmarkStart w:id="16" w:name="_Toc29899547"/>
      <w:r>
        <w:rPr>
          <w:b/>
          <w:sz w:val="28"/>
          <w:lang w:val="en-GB"/>
        </w:rPr>
        <w:t>8</w:t>
      </w:r>
      <w:r>
        <w:rPr>
          <w:rFonts w:hint="eastAsia"/>
          <w:b/>
          <w:sz w:val="28"/>
          <w:lang w:val="en-GB"/>
        </w:rPr>
        <w:t>.1</w:t>
      </w:r>
      <w:r>
        <w:rPr>
          <w:rFonts w:hint="eastAsia"/>
          <w:b/>
          <w:sz w:val="28"/>
          <w:lang w:val="en-GB"/>
        </w:rPr>
        <w:tab/>
      </w:r>
      <w:r>
        <w:rPr>
          <w:b/>
          <w:sz w:val="28"/>
          <w:lang w:val="en-GB"/>
        </w:rPr>
        <w:t>Random access preamble</w:t>
      </w:r>
      <w:bookmarkEnd w:id="9"/>
      <w:bookmarkEnd w:id="10"/>
      <w:bookmarkEnd w:id="11"/>
      <w:bookmarkEnd w:id="12"/>
      <w:bookmarkEnd w:id="13"/>
      <w:bookmarkEnd w:id="14"/>
      <w:bookmarkEnd w:id="15"/>
      <w:bookmarkEnd w:id="16"/>
    </w:p>
    <w:p>
      <w:pPr>
        <w:spacing w:after="0"/>
        <w:rPr>
          <w:color w:val="FF0000"/>
          <w:sz w:val="20"/>
          <w:szCs w:val="20"/>
          <w:lang w:val="en-GB" w:eastAsia="zh-CN"/>
        </w:rPr>
      </w:pPr>
      <w:r>
        <w:rPr>
          <w:color w:val="FF0000"/>
          <w:sz w:val="20"/>
          <w:szCs w:val="20"/>
          <w:lang w:eastAsia="zh-CN"/>
        </w:rPr>
        <w:t>------------------------------------------------------ Unchanged parts omitted ------------------------------------------------------</w:t>
      </w:r>
    </w:p>
    <w:p>
      <w:pPr>
        <w:rPr>
          <w:sz w:val="20"/>
          <w:szCs w:val="20"/>
          <w:lang w:val="en-GB"/>
        </w:rPr>
      </w:pPr>
      <w:bookmarkStart w:id="17" w:name="_Hlk29801864"/>
      <w:r>
        <w:rPr>
          <w:sz w:val="20"/>
          <w:szCs w:val="20"/>
          <w:lang w:val="en-GB"/>
        </w:rPr>
        <w:t xml:space="preserve">For unpaired spectrum, </w:t>
      </w:r>
    </w:p>
    <w:p>
      <w:pPr>
        <w:pStyle w:val="43"/>
        <w:ind w:firstLine="440"/>
      </w:pPr>
      <w:r>
        <w:t>-</w:t>
      </w:r>
      <w:r>
        <w:tab/>
      </w:r>
      <w:r>
        <w:t xml:space="preserve">if a UE is not provided </w:t>
      </w:r>
      <w:r>
        <w:rPr>
          <w:i/>
        </w:rPr>
        <w:t>tdd-UL-DL-ConfigurationCommon</w:t>
      </w:r>
      <w:r>
        <w:t xml:space="preserve">, a PRACH occasion </w:t>
      </w:r>
      <w:r>
        <w:rPr>
          <w:rStyle w:val="73"/>
        </w:rPr>
        <w:t>in a PRACH slot</w:t>
      </w:r>
      <w:r>
        <w:t xml:space="preserve"> is valid if it does not precede a SS/PBCH block in the PRACH slot and starts at least </w:t>
      </w:r>
      <w:r>
        <w:rPr>
          <w:position w:val="-12"/>
          <w:lang w:val="en-US" w:eastAsia="zh-CN"/>
        </w:rPr>
        <w:drawing>
          <wp:inline distT="0" distB="0" distL="0" distR="0">
            <wp:extent cx="2762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w:t>
      </w:r>
      <w:r>
        <w:rPr>
          <w:lang w:val="en-US"/>
        </w:rPr>
        <w:t xml:space="preserve">reception </w:t>
      </w:r>
      <w:r>
        <w:t xml:space="preserve">symbol, where </w:t>
      </w:r>
      <w:r>
        <w:rPr>
          <w:position w:val="-12"/>
          <w:lang w:val="en-US" w:eastAsia="zh-CN"/>
        </w:rPr>
        <w:drawing>
          <wp:inline distT="0" distB="0" distL="0" distR="0">
            <wp:extent cx="276225" cy="2000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8.1-2.</w:t>
      </w:r>
    </w:p>
    <w:p>
      <w:pPr>
        <w:pStyle w:val="44"/>
        <w:rPr>
          <w:lang w:eastAsia="zh-CN"/>
        </w:rPr>
      </w:pPr>
      <w:r>
        <w:t>-</w:t>
      </w:r>
      <w:r>
        <w:tab/>
      </w:r>
      <w:del w:id="20" w:author="Spreadtrum" w:date="2020-02-13T16:10:00Z">
        <w:r>
          <w:rPr/>
          <w:delText xml:space="preserve">the index of </w:delText>
        </w:r>
      </w:del>
      <w:r>
        <w:t xml:space="preserve">the SS/PBCH block is </w:t>
      </w:r>
      <w:r>
        <w:rPr>
          <w:rFonts w:hint="eastAsia"/>
          <w:lang w:eastAsia="zh-CN"/>
        </w:rPr>
        <w:t xml:space="preserve">provided </w:t>
      </w:r>
      <w:del w:id="21" w:author="Spreadtrum" w:date="2020-02-13T16:11:00Z">
        <w:r>
          <w:rPr>
            <w:rFonts w:hint="eastAsia"/>
            <w:lang w:eastAsia="zh-CN"/>
          </w:rPr>
          <w:delText>by</w:delText>
        </w:r>
      </w:del>
      <w:ins w:id="22" w:author="Spreadtrum" w:date="2020-02-13T16:11:00Z">
        <w:r>
          <w:rPr>
            <w:lang w:eastAsia="zh-CN"/>
          </w:rPr>
          <w:t>according to</w:t>
        </w:r>
      </w:ins>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rPr>
          <w:lang w:eastAsia="zh-CN"/>
        </w:rPr>
        <w:t xml:space="preserve"> </w:t>
      </w:r>
    </w:p>
    <w:p>
      <w:pPr>
        <w:pStyle w:val="43"/>
        <w:ind w:firstLine="440"/>
      </w:pPr>
      <w:r>
        <w:rPr>
          <w:lang w:eastAsia="zh-CN"/>
        </w:rPr>
        <w:t>-</w:t>
      </w:r>
      <w:r>
        <w:rPr>
          <w:lang w:eastAsia="zh-CN"/>
        </w:rPr>
        <w:tab/>
      </w:r>
      <w:r>
        <w:rPr>
          <w:lang w:eastAsia="zh-CN"/>
        </w:rPr>
        <w:t xml:space="preserve">If a UE is provided </w:t>
      </w:r>
      <w:r>
        <w:rPr>
          <w:i/>
          <w:lang w:val="en-US"/>
        </w:rPr>
        <w:t>tdd-</w:t>
      </w:r>
      <w:r>
        <w:rPr>
          <w:i/>
        </w:rPr>
        <w:t>UL-DL-</w:t>
      </w:r>
      <w:r>
        <w:rPr>
          <w:i/>
          <w:lang w:val="en-US"/>
        </w:rPr>
        <w:t>ConfigurationCommon</w:t>
      </w:r>
      <w:r>
        <w:t xml:space="preserve">, a PRACH occasion </w:t>
      </w:r>
      <w:r>
        <w:rPr>
          <w:rStyle w:val="73"/>
        </w:rPr>
        <w:t>in a PRACH slot</w:t>
      </w:r>
      <w:r>
        <w:t xml:space="preserve"> is valid if </w:t>
      </w:r>
    </w:p>
    <w:p>
      <w:pPr>
        <w:pStyle w:val="44"/>
      </w:pPr>
      <w:r>
        <w:t>-</w:t>
      </w:r>
      <w:r>
        <w:tab/>
      </w:r>
      <w:r>
        <w:t>it is within UL symbols</w:t>
      </w:r>
      <w:r>
        <w:rPr>
          <w:lang w:val="en-US"/>
        </w:rPr>
        <w:t xml:space="preserve">, </w:t>
      </w:r>
      <w:r>
        <w:t xml:space="preserve">or </w:t>
      </w:r>
    </w:p>
    <w:p>
      <w:pPr>
        <w:pStyle w:val="44"/>
        <w:rPr>
          <w:i/>
        </w:rPr>
      </w:pPr>
      <w:r>
        <w:t>-</w:t>
      </w:r>
      <w:r>
        <w:tab/>
      </w:r>
      <w:r>
        <w:rPr>
          <w:lang w:val="en-US"/>
        </w:rPr>
        <w:t xml:space="preserve">it does not precede a SS/PBCH block in the PRACH slot and </w:t>
      </w:r>
      <w:r>
        <w:t>starts at least</w:t>
      </w:r>
      <w:r>
        <w:rPr>
          <w:lang w:val="en-US"/>
        </w:rPr>
        <w:t xml:space="preserve"> </w:t>
      </w:r>
      <w:r>
        <w:rPr>
          <w:position w:val="-12"/>
          <w:lang w:val="en-US" w:eastAsia="zh-CN"/>
        </w:rPr>
        <w:drawing>
          <wp:inline distT="0" distB="0" distL="0" distR="0">
            <wp:extent cx="27622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downlink symbol and at least</w:t>
      </w:r>
      <w:r>
        <w:rPr>
          <w:lang w:val="en-US"/>
        </w:rPr>
        <w:t xml:space="preserve"> </w:t>
      </w:r>
      <w:r>
        <w:rPr>
          <w:position w:val="-12"/>
          <w:lang w:val="en-US" w:eastAsia="zh-CN"/>
        </w:rPr>
        <w:drawing>
          <wp:inline distT="0" distB="0" distL="0" distR="0">
            <wp:extent cx="276225" cy="2000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symbol</w:t>
      </w:r>
      <w:r>
        <w:rPr>
          <w:lang w:val="en-US"/>
        </w:rPr>
        <w:t>,</w:t>
      </w:r>
      <w:r>
        <w:t xml:space="preserve"> where </w:t>
      </w:r>
      <w:r>
        <w:rPr>
          <w:position w:val="-12"/>
          <w:lang w:val="en-US" w:eastAsia="zh-CN"/>
        </w:rPr>
        <w:drawing>
          <wp:inline distT="0" distB="0" distL="0" distR="0">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w:t>
      </w:r>
      <w:r>
        <w:rPr>
          <w:lang w:val="en-US"/>
        </w:rPr>
        <w:t>1</w:t>
      </w:r>
      <w:r>
        <w:t>-2</w:t>
      </w:r>
      <w:r>
        <w:rPr>
          <w:lang w:val="en-US"/>
        </w:rPr>
        <w:t xml:space="preserve">, </w:t>
      </w:r>
      <w:r>
        <w:t xml:space="preserve">and if </w:t>
      </w:r>
      <w:r>
        <w:rPr>
          <w:i/>
        </w:rPr>
        <w:t>ChannelAccessType-r16</w:t>
      </w:r>
      <w:r>
        <w:t xml:space="preserve"> = </w:t>
      </w:r>
      <w:r>
        <w:rPr>
          <w:i/>
        </w:rPr>
        <w:t>semistatic</w:t>
      </w:r>
      <w:r>
        <w:t xml:space="preserve"> is provided, does not overlap with a set of consecutive symbols before the start of a next channel occupancy time where there shall not be any transmissions, as described in [15, TS 37.213]</w:t>
      </w:r>
    </w:p>
    <w:p>
      <w:pPr>
        <w:pStyle w:val="45"/>
      </w:pPr>
      <w:r>
        <w:t>-</w:t>
      </w:r>
      <w:r>
        <w:tab/>
      </w:r>
      <w:del w:id="23" w:author="Spreadtrum" w:date="2020-02-13T16:11:00Z">
        <w:r>
          <w:rPr/>
          <w:delText xml:space="preserve">the index of </w:delText>
        </w:r>
      </w:del>
      <w:r>
        <w:t xml:space="preserve">the SS/PBCH block is </w:t>
      </w:r>
      <w:r>
        <w:rPr>
          <w:rFonts w:hint="eastAsia"/>
          <w:lang w:eastAsia="zh-CN"/>
        </w:rPr>
        <w:t xml:space="preserve">provided </w:t>
      </w:r>
      <w:del w:id="24" w:author="Spreadtrum" w:date="2020-02-13T16:12:00Z">
        <w:r>
          <w:rPr>
            <w:rFonts w:hint="eastAsia"/>
            <w:lang w:eastAsia="zh-CN"/>
          </w:rPr>
          <w:delText>by</w:delText>
        </w:r>
      </w:del>
      <w:ins w:id="25" w:author="Spreadtrum" w:date="2020-02-13T16:12:00Z">
        <w:r>
          <w:rPr>
            <w:lang w:eastAsia="zh-CN"/>
          </w:rPr>
          <w:t>according to</w:t>
        </w:r>
      </w:ins>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t xml:space="preserve">. </w:t>
      </w:r>
    </w:p>
    <w:bookmarkEnd w:id="17"/>
    <w:p>
      <w:pPr>
        <w:spacing w:after="0"/>
        <w:rPr>
          <w:color w:val="FF0000"/>
          <w:sz w:val="20"/>
          <w:szCs w:val="20"/>
          <w:lang w:eastAsia="zh-CN"/>
        </w:rPr>
      </w:pPr>
      <w:r>
        <w:rPr>
          <w:color w:val="FF0000"/>
          <w:sz w:val="20"/>
          <w:szCs w:val="20"/>
          <w:lang w:eastAsia="zh-CN"/>
        </w:rPr>
        <w:t>-------------------------------------------------------- End of TP#4 ------------------------------------------------------------------</w:t>
      </w:r>
    </w:p>
    <w:p>
      <w:pPr>
        <w:spacing w:after="0"/>
        <w:rPr>
          <w:color w:val="FF0000"/>
          <w:sz w:val="20"/>
          <w:szCs w:val="20"/>
          <w:lang w:eastAsia="zh-CN"/>
        </w:rPr>
      </w:pPr>
    </w:p>
    <w:p>
      <w:pPr>
        <w:spacing w:after="0"/>
        <w:rPr>
          <w:color w:val="FF0000"/>
          <w:sz w:val="20"/>
          <w:szCs w:val="20"/>
          <w:lang w:eastAsia="zh-CN"/>
        </w:rPr>
      </w:pPr>
    </w:p>
    <w:p>
      <w:pPr>
        <w:spacing w:after="0"/>
        <w:rPr>
          <w:color w:val="FF0000"/>
          <w:sz w:val="20"/>
          <w:szCs w:val="20"/>
          <w:lang w:eastAsia="zh-CN"/>
        </w:rPr>
      </w:pPr>
    </w:p>
    <w:p>
      <w:pPr>
        <w:rPr>
          <w:color w:val="FF0000"/>
          <w:sz w:val="20"/>
          <w:szCs w:val="20"/>
          <w:lang w:eastAsia="zh-CN"/>
        </w:rPr>
      </w:pPr>
      <w:r>
        <w:rPr>
          <w:color w:val="FF0000"/>
          <w:sz w:val="20"/>
          <w:szCs w:val="20"/>
          <w:lang w:eastAsia="zh-CN"/>
        </w:rPr>
        <w:t>----------------------------------------------- Start of TP#5 for Clause 11.1.1 in TS 38.213 -------------------------------------</w:t>
      </w:r>
    </w:p>
    <w:p>
      <w:pPr>
        <w:rPr>
          <w:b/>
        </w:rPr>
      </w:pPr>
      <w:r>
        <w:rPr>
          <w:b/>
        </w:rPr>
        <w:t>11.1.1</w:t>
      </w:r>
      <w:r>
        <w:rPr>
          <w:b/>
        </w:rPr>
        <w:tab/>
      </w:r>
      <w:r>
        <w:rPr>
          <w:b/>
        </w:rPr>
        <w:t>UE procedure for determining slot format</w:t>
      </w:r>
    </w:p>
    <w:p>
      <w:pPr>
        <w:rPr>
          <w:rFonts w:eastAsia="等线"/>
          <w:sz w:val="20"/>
          <w:szCs w:val="20"/>
        </w:rPr>
      </w:pPr>
      <w:r>
        <w:rPr>
          <w:color w:val="FF0000"/>
          <w:sz w:val="20"/>
          <w:szCs w:val="20"/>
          <w:lang w:eastAsia="zh-CN"/>
        </w:rPr>
        <w:t>------------------------------------------------------ Unchanged parts omitted ------------------------------------------------------</w:t>
      </w:r>
    </w:p>
    <w:p>
      <w:pPr>
        <w:rPr>
          <w:rFonts w:eastAsia="等线"/>
          <w:sz w:val="20"/>
          <w:szCs w:val="20"/>
          <w:lang w:val="en-GB"/>
        </w:rPr>
      </w:pPr>
      <w:r>
        <w:rPr>
          <w:rFonts w:eastAsia="等线"/>
          <w:sz w:val="20"/>
          <w:szCs w:val="20"/>
        </w:rPr>
        <w:t>F</w:t>
      </w:r>
      <w:r>
        <w:rPr>
          <w:rFonts w:eastAsia="等线"/>
          <w:sz w:val="20"/>
          <w:szCs w:val="20"/>
          <w:lang w:val="en-GB"/>
        </w:rPr>
        <w:t xml:space="preserve">or a set of symbols </w:t>
      </w:r>
      <w:r>
        <w:rPr>
          <w:rFonts w:eastAsia="等线"/>
          <w:sz w:val="20"/>
          <w:szCs w:val="20"/>
        </w:rPr>
        <w:t>of</w:t>
      </w:r>
      <w:r>
        <w:rPr>
          <w:rFonts w:eastAsia="等线"/>
          <w:sz w:val="20"/>
          <w:szCs w:val="20"/>
          <w:lang w:val="en-GB"/>
        </w:rPr>
        <w:t xml:space="preserve"> a slot corresponding to SS/PBCH blocks with </w:t>
      </w:r>
      <w:ins w:id="26" w:author="Spreadtrum" w:date="2020-02-13T16:12:00Z">
        <w:r>
          <w:rPr>
            <w:rFonts w:eastAsia="等线"/>
            <w:sz w:val="20"/>
            <w:szCs w:val="20"/>
          </w:rPr>
          <w:t>candidate SS/PBCH block</w:t>
        </w:r>
      </w:ins>
      <w:ins w:id="27" w:author="Spreadtrum" w:date="2020-02-13T16:12:00Z">
        <w:r>
          <w:rPr>
            <w:rFonts w:eastAsia="等线"/>
            <w:sz w:val="20"/>
            <w:szCs w:val="20"/>
            <w:lang w:val="en-GB"/>
          </w:rPr>
          <w:t xml:space="preserve"> </w:t>
        </w:r>
      </w:ins>
      <w:r>
        <w:rPr>
          <w:rFonts w:eastAsia="等线"/>
          <w:sz w:val="20"/>
          <w:szCs w:val="20"/>
          <w:lang w:val="en-GB"/>
        </w:rPr>
        <w:t xml:space="preserve">indices indicated to a UE by </w:t>
      </w:r>
      <w:r>
        <w:rPr>
          <w:rFonts w:eastAsia="等线"/>
          <w:i/>
          <w:sz w:val="20"/>
          <w:szCs w:val="20"/>
          <w:lang w:val="en-GB"/>
        </w:rPr>
        <w:t>ssb-PositionsInBurst</w:t>
      </w:r>
      <w:r>
        <w:rPr>
          <w:rFonts w:eastAsia="等线"/>
          <w:sz w:val="20"/>
          <w:szCs w:val="20"/>
          <w:lang w:val="en-GB"/>
        </w:rPr>
        <w:t xml:space="preserve"> </w:t>
      </w:r>
      <w:r>
        <w:rPr>
          <w:rFonts w:eastAsia="等线"/>
          <w:sz w:val="20"/>
          <w:szCs w:val="20"/>
        </w:rPr>
        <w:t xml:space="preserve">in </w:t>
      </w:r>
      <w:r>
        <w:rPr>
          <w:rFonts w:eastAsia="等线"/>
          <w:i/>
          <w:sz w:val="20"/>
          <w:szCs w:val="20"/>
          <w:lang w:val="en-GB"/>
        </w:rPr>
        <w:t>SIB1</w:t>
      </w:r>
      <w:r>
        <w:rPr>
          <w:rFonts w:eastAsia="等线"/>
          <w:i/>
          <w:sz w:val="20"/>
          <w:szCs w:val="20"/>
        </w:rPr>
        <w:t>,</w:t>
      </w:r>
      <w:r>
        <w:rPr>
          <w:rFonts w:eastAsia="等线"/>
          <w:sz w:val="20"/>
          <w:szCs w:val="20"/>
          <w:lang w:val="en-GB"/>
        </w:rPr>
        <w:t xml:space="preserve"> or</w:t>
      </w:r>
      <w:r>
        <w:rPr>
          <w:rFonts w:eastAsia="等线"/>
          <w:sz w:val="20"/>
          <w:szCs w:val="20"/>
        </w:rPr>
        <w:t xml:space="preserve"> by</w:t>
      </w:r>
      <w:r>
        <w:rPr>
          <w:rFonts w:eastAsia="等线"/>
          <w:sz w:val="20"/>
          <w:szCs w:val="20"/>
          <w:lang w:val="en-GB"/>
        </w:rPr>
        <w:t xml:space="preserve"> </w:t>
      </w:r>
      <w:r>
        <w:rPr>
          <w:rFonts w:eastAsia="等线"/>
          <w:i/>
          <w:sz w:val="20"/>
          <w:szCs w:val="20"/>
          <w:lang w:val="en-GB"/>
        </w:rPr>
        <w:t>ssb-PositionsInBurst</w:t>
      </w:r>
      <w:r>
        <w:rPr>
          <w:rFonts w:eastAsia="等线"/>
          <w:sz w:val="20"/>
          <w:szCs w:val="20"/>
        </w:rPr>
        <w:t xml:space="preserve"> in </w:t>
      </w:r>
      <w:r>
        <w:rPr>
          <w:rFonts w:eastAsia="等线"/>
          <w:i/>
          <w:sz w:val="20"/>
          <w:szCs w:val="20"/>
          <w:lang w:val="en-GB"/>
        </w:rPr>
        <w:t>ServingCellConfigCommon</w:t>
      </w:r>
      <w:r>
        <w:rPr>
          <w:rFonts w:eastAsia="等线"/>
          <w:sz w:val="20"/>
          <w:szCs w:val="20"/>
        </w:rPr>
        <w:t>, the</w:t>
      </w:r>
      <w:r>
        <w:rPr>
          <w:rFonts w:eastAsia="等线"/>
          <w:sz w:val="20"/>
          <w:szCs w:val="20"/>
          <w:lang w:val="en-GB"/>
        </w:rPr>
        <w:t xml:space="preserve"> UE does not expect to detect a DCI format </w:t>
      </w:r>
      <w:r>
        <w:rPr>
          <w:rFonts w:eastAsia="等线"/>
          <w:sz w:val="20"/>
          <w:szCs w:val="20"/>
        </w:rPr>
        <w:t>2_0</w:t>
      </w:r>
      <w:r>
        <w:rPr>
          <w:rFonts w:eastAsia="等线"/>
          <w:sz w:val="20"/>
          <w:szCs w:val="20"/>
          <w:lang w:val="en-GB"/>
        </w:rPr>
        <w:t xml:space="preserve"> </w:t>
      </w:r>
      <w:r>
        <w:rPr>
          <w:rFonts w:eastAsia="等线"/>
          <w:sz w:val="20"/>
          <w:szCs w:val="20"/>
        </w:rPr>
        <w:t xml:space="preserve">with an SFI-index field value </w:t>
      </w:r>
      <w:r>
        <w:rPr>
          <w:rFonts w:eastAsia="等线"/>
          <w:sz w:val="20"/>
          <w:szCs w:val="20"/>
          <w:lang w:val="en-GB"/>
        </w:rPr>
        <w:t>indicat</w:t>
      </w:r>
      <w:r>
        <w:rPr>
          <w:rFonts w:eastAsia="等线"/>
          <w:sz w:val="20"/>
          <w:szCs w:val="20"/>
        </w:rPr>
        <w:t>ing</w:t>
      </w:r>
      <w:r>
        <w:rPr>
          <w:rFonts w:eastAsia="等线"/>
          <w:sz w:val="20"/>
          <w:szCs w:val="20"/>
          <w:lang w:val="en-GB"/>
        </w:rPr>
        <w:t xml:space="preserve"> the set of symbols </w:t>
      </w:r>
      <w:r>
        <w:rPr>
          <w:rFonts w:eastAsia="等线"/>
          <w:sz w:val="20"/>
          <w:szCs w:val="20"/>
        </w:rPr>
        <w:t>of</w:t>
      </w:r>
      <w:r>
        <w:rPr>
          <w:rFonts w:eastAsia="等线"/>
          <w:sz w:val="20"/>
          <w:szCs w:val="20"/>
          <w:lang w:val="en-GB"/>
        </w:rPr>
        <w:t xml:space="preserve"> </w:t>
      </w:r>
      <w:r>
        <w:rPr>
          <w:rFonts w:eastAsia="等线"/>
          <w:sz w:val="20"/>
          <w:szCs w:val="20"/>
        </w:rPr>
        <w:t xml:space="preserve">the </w:t>
      </w:r>
      <w:r>
        <w:rPr>
          <w:rFonts w:eastAsia="等线"/>
          <w:sz w:val="20"/>
          <w:szCs w:val="20"/>
          <w:lang w:val="en-GB"/>
        </w:rPr>
        <w:t>slot</w:t>
      </w:r>
      <w:r>
        <w:rPr>
          <w:rFonts w:eastAsia="等线"/>
          <w:i/>
          <w:sz w:val="20"/>
          <w:szCs w:val="20"/>
          <w:lang w:val="en-GB"/>
        </w:rPr>
        <w:t xml:space="preserve"> </w:t>
      </w:r>
      <w:r>
        <w:rPr>
          <w:rFonts w:eastAsia="等线"/>
          <w:sz w:val="20"/>
          <w:szCs w:val="20"/>
          <w:lang w:val="en-GB"/>
        </w:rPr>
        <w:t>as uplink.</w:t>
      </w:r>
    </w:p>
    <w:p>
      <w:pPr>
        <w:rPr>
          <w:color w:val="FF0000"/>
          <w:sz w:val="20"/>
          <w:szCs w:val="20"/>
          <w:lang w:eastAsia="zh-CN"/>
        </w:rPr>
      </w:pPr>
      <w:r>
        <w:rPr>
          <w:color w:val="FF0000"/>
          <w:sz w:val="20"/>
          <w:szCs w:val="20"/>
          <w:lang w:eastAsia="zh-CN"/>
        </w:rPr>
        <w:t>-------------------------------------------------------- End of TP#5 ------------------------------------------------------------------</w:t>
      </w:r>
    </w:p>
    <w:p>
      <w:pPr>
        <w:spacing w:after="0"/>
        <w:rPr>
          <w:color w:val="FF0000"/>
          <w:sz w:val="20"/>
          <w:szCs w:val="20"/>
          <w:lang w:eastAsia="zh-CN"/>
        </w:rPr>
      </w:pPr>
    </w:p>
    <w:p>
      <w:pPr>
        <w:spacing w:after="0"/>
        <w:rPr>
          <w:color w:val="FF0000"/>
          <w:sz w:val="20"/>
          <w:szCs w:val="20"/>
          <w:lang w:eastAsia="zh-CN"/>
        </w:rPr>
      </w:pPr>
    </w:p>
    <w:p>
      <w:pPr>
        <w:spacing w:after="0"/>
        <w:rPr>
          <w:color w:val="FF0000"/>
          <w:sz w:val="20"/>
          <w:szCs w:val="20"/>
          <w:lang w:eastAsia="zh-CN"/>
        </w:rPr>
      </w:pPr>
    </w:p>
    <w:p>
      <w:pPr>
        <w:rPr>
          <w:color w:val="FF0000"/>
          <w:sz w:val="20"/>
          <w:szCs w:val="20"/>
          <w:lang w:eastAsia="zh-CN"/>
        </w:rPr>
      </w:pPr>
      <w:r>
        <w:rPr>
          <w:color w:val="FF0000"/>
          <w:sz w:val="20"/>
          <w:szCs w:val="20"/>
          <w:lang w:eastAsia="zh-CN"/>
        </w:rPr>
        <w:t>----------------------------------------------- Start of TP#6 for Clause 9.2.3 in TS 38.213 -------------------------------------</w:t>
      </w:r>
    </w:p>
    <w:p>
      <w:pPr>
        <w:rPr>
          <w:b/>
        </w:rPr>
      </w:pPr>
      <w:bookmarkStart w:id="18" w:name="_Toc12021483"/>
      <w:bookmarkStart w:id="19" w:name="_Toc26719420"/>
      <w:bookmarkStart w:id="20" w:name="_Toc36498183"/>
      <w:bookmarkStart w:id="21" w:name="_Toc20311595"/>
      <w:bookmarkStart w:id="22" w:name="_Toc29894855"/>
      <w:bookmarkStart w:id="23" w:name="_Toc29917309"/>
      <w:bookmarkStart w:id="24" w:name="_Toc29899154"/>
      <w:bookmarkStart w:id="25" w:name="_Toc29899572"/>
      <w:r>
        <w:rPr>
          <w:b/>
        </w:rPr>
        <w:t>9.2.6</w:t>
      </w:r>
      <w:r>
        <w:rPr>
          <w:b/>
        </w:rPr>
        <w:tab/>
      </w:r>
      <w:r>
        <w:rPr>
          <w:b/>
        </w:rPr>
        <w:t>PUCCH repetition procedure</w:t>
      </w:r>
      <w:bookmarkEnd w:id="18"/>
      <w:bookmarkEnd w:id="19"/>
      <w:bookmarkEnd w:id="20"/>
      <w:bookmarkEnd w:id="21"/>
      <w:bookmarkEnd w:id="22"/>
      <w:bookmarkEnd w:id="23"/>
      <w:bookmarkEnd w:id="24"/>
      <w:bookmarkEnd w:id="25"/>
    </w:p>
    <w:p>
      <w:pPr>
        <w:rPr>
          <w:rFonts w:eastAsia="等线"/>
          <w:sz w:val="20"/>
          <w:szCs w:val="20"/>
        </w:rPr>
      </w:pPr>
      <w:r>
        <w:rPr>
          <w:color w:val="FF0000"/>
          <w:sz w:val="20"/>
          <w:szCs w:val="20"/>
          <w:lang w:eastAsia="zh-CN"/>
        </w:rPr>
        <w:t>------------------------------------------------------ Unchanged parts omitted ------------------------------------------------------</w:t>
      </w:r>
    </w:p>
    <w:p>
      <w:pPr>
        <w:rPr>
          <w:rFonts w:eastAsia="等线"/>
          <w:sz w:val="20"/>
          <w:szCs w:val="20"/>
        </w:rPr>
      </w:pPr>
      <w:r>
        <w:rPr>
          <w:rFonts w:eastAsia="等线"/>
          <w:sz w:val="20"/>
          <w:szCs w:val="20"/>
        </w:rPr>
        <w:t xml:space="preserve">A SS/PBCH block symbol is a symbol of an SS/PBCH block with </w:t>
      </w:r>
      <w:ins w:id="28" w:author="Spreadtrum" w:date="2020-02-13T16:12:00Z">
        <w:r>
          <w:rPr>
            <w:rFonts w:eastAsia="等线"/>
            <w:sz w:val="20"/>
            <w:szCs w:val="20"/>
          </w:rPr>
          <w:t xml:space="preserve">candidate SS/PBCH block </w:t>
        </w:r>
      </w:ins>
      <w:r>
        <w:rPr>
          <w:rFonts w:eastAsia="等线"/>
          <w:sz w:val="20"/>
          <w:szCs w:val="20"/>
        </w:rPr>
        <w:t xml:space="preserve">index indicated to a UE by </w:t>
      </w:r>
      <w:r>
        <w:rPr>
          <w:rFonts w:eastAsia="等线"/>
          <w:i/>
          <w:sz w:val="20"/>
          <w:szCs w:val="20"/>
        </w:rPr>
        <w:t>ssb-PositionsInBurst</w:t>
      </w:r>
      <w:r>
        <w:rPr>
          <w:rFonts w:eastAsia="等线"/>
          <w:sz w:val="20"/>
          <w:szCs w:val="20"/>
        </w:rPr>
        <w:t xml:space="preserve"> in </w:t>
      </w:r>
      <w:r>
        <w:rPr>
          <w:rFonts w:eastAsia="等线"/>
          <w:i/>
          <w:sz w:val="20"/>
          <w:szCs w:val="20"/>
        </w:rPr>
        <w:t>SIB1</w:t>
      </w:r>
      <w:r>
        <w:rPr>
          <w:rFonts w:eastAsia="等线"/>
          <w:sz w:val="20"/>
          <w:szCs w:val="20"/>
        </w:rPr>
        <w:t xml:space="preserve"> or </w:t>
      </w:r>
      <w:r>
        <w:rPr>
          <w:rFonts w:eastAsia="等线"/>
          <w:i/>
          <w:sz w:val="20"/>
          <w:szCs w:val="20"/>
        </w:rPr>
        <w:t>ssb-PositionsInBurst</w:t>
      </w:r>
      <w:r>
        <w:rPr>
          <w:rFonts w:eastAsia="等线"/>
          <w:sz w:val="20"/>
          <w:szCs w:val="20"/>
        </w:rPr>
        <w:t xml:space="preserve"> in </w:t>
      </w:r>
      <w:r>
        <w:rPr>
          <w:rFonts w:eastAsia="等线"/>
          <w:i/>
          <w:sz w:val="20"/>
          <w:szCs w:val="20"/>
        </w:rPr>
        <w:t>ServingCellConfigCommon</w:t>
      </w:r>
      <w:r>
        <w:rPr>
          <w:rFonts w:eastAsia="等线"/>
          <w:sz w:val="20"/>
          <w:szCs w:val="20"/>
        </w:rPr>
        <w:t>.</w:t>
      </w:r>
    </w:p>
    <w:p>
      <w:pPr>
        <w:rPr>
          <w:color w:val="FF0000"/>
          <w:sz w:val="20"/>
          <w:szCs w:val="20"/>
          <w:lang w:eastAsia="zh-CN"/>
        </w:rPr>
      </w:pPr>
      <w:r>
        <w:rPr>
          <w:color w:val="FF0000"/>
          <w:sz w:val="20"/>
          <w:szCs w:val="20"/>
          <w:lang w:eastAsia="zh-CN"/>
        </w:rPr>
        <w:t>-------------------------------------------------------- End of TP#6 ------------------------------------------------------------------</w:t>
      </w:r>
    </w:p>
    <w:p>
      <w:pPr>
        <w:rPr>
          <w:b/>
        </w:rPr>
      </w:pPr>
    </w:p>
    <w:p>
      <w:pPr>
        <w:rPr>
          <w:b/>
        </w:rPr>
      </w:pPr>
    </w:p>
    <w:p>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TP#7 for Clause 5 in TS 38.213=========================== </w:t>
      </w:r>
    </w:p>
    <w:p>
      <w:pPr>
        <w:autoSpaceDE/>
        <w:autoSpaceDN/>
        <w:adjustRightInd/>
        <w:snapToGrid/>
        <w:spacing w:after="180"/>
        <w:jc w:val="left"/>
        <w:rPr>
          <w:rFonts w:ascii="Arial" w:hAnsi="Arial" w:eastAsia="MS Mincho" w:cs="Arial"/>
          <w:b/>
          <w:sz w:val="24"/>
          <w:szCs w:val="20"/>
          <w:lang w:val="en-GB" w:eastAsia="ja-JP"/>
        </w:rPr>
      </w:pPr>
      <w:r>
        <w:rPr>
          <w:rFonts w:ascii="Arial" w:hAnsi="Arial" w:eastAsia="Malgun Gothic" w:cs="Arial"/>
          <w:b/>
          <w:sz w:val="24"/>
          <w:szCs w:val="20"/>
          <w:lang w:val="en-GB" w:eastAsia="ko-KR"/>
        </w:rPr>
        <w:t>5</w:t>
      </w:r>
      <w:r>
        <w:rPr>
          <w:rFonts w:ascii="Arial" w:hAnsi="Arial" w:eastAsia="MS Mincho" w:cs="Arial"/>
          <w:b/>
          <w:sz w:val="24"/>
          <w:szCs w:val="20"/>
          <w:lang w:val="en-GB" w:eastAsia="ja-JP"/>
        </w:rPr>
        <w:tab/>
      </w:r>
      <w:r>
        <w:rPr>
          <w:rFonts w:ascii="Arial" w:hAnsi="Arial" w:eastAsia="MS Mincho" w:cs="Arial"/>
          <w:b/>
          <w:sz w:val="24"/>
          <w:szCs w:val="20"/>
          <w:lang w:val="en-GB" w:eastAsia="ja-JP"/>
        </w:rPr>
        <w:t>Radio Link Monitoring</w:t>
      </w:r>
    </w:p>
    <w:p>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pPr>
        <w:autoSpaceDE/>
        <w:autoSpaceDN/>
        <w:adjustRightInd/>
        <w:snapToGrid/>
        <w:spacing w:after="180"/>
        <w:jc w:val="left"/>
        <w:rPr>
          <w:rFonts w:eastAsia="Malgun Gothic"/>
          <w:sz w:val="20"/>
          <w:szCs w:val="20"/>
          <w:lang w:val="en-GB" w:eastAsia="ko-KR"/>
        </w:rPr>
      </w:pPr>
      <w:ins w:id="29" w:author="Author">
        <w:r>
          <w:rPr>
            <w:rFonts w:eastAsia="Malgun Gothic"/>
            <w:sz w:val="20"/>
            <w:szCs w:val="20"/>
            <w:lang w:val="en-GB" w:eastAsia="ko-KR"/>
          </w:rPr>
          <w:t>F</w:t>
        </w:r>
      </w:ins>
      <w:r>
        <w:rPr>
          <w:rFonts w:eastAsia="Malgun Gothic"/>
          <w:sz w:val="20"/>
          <w:szCs w:val="20"/>
          <w:lang w:val="en-GB" w:eastAsia="ko-KR"/>
        </w:rPr>
        <w:t xml:space="preserve">or operation with shared spectrum channel access, when a UE is provided a SS/PBCH block index by </w:t>
      </w:r>
      <w:r>
        <w:rPr>
          <w:rFonts w:eastAsia="Malgun Gothic"/>
          <w:i/>
          <w:sz w:val="20"/>
          <w:szCs w:val="20"/>
          <w:lang w:val="en-GB" w:eastAsia="ko-KR"/>
        </w:rPr>
        <w:t>ssb-Index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SS/PBCH block(s) in the discovery burst transmission window as described in Clause 4.1</w:t>
      </w:r>
      <w:ins w:id="30" w:author="Author">
        <w:r>
          <w:rPr>
            <w:rFonts w:eastAsia="Malgun Gothic"/>
            <w:sz w:val="20"/>
            <w:szCs w:val="20"/>
            <w:lang w:val="en-GB" w:eastAsia="ja-JP"/>
          </w:rPr>
          <w:t xml:space="preserve">, where the SS/PBCH block(s) </w:t>
        </w:r>
      </w:ins>
      <w:ins w:id="31" w:author="Author">
        <w:r>
          <w:rPr>
            <w:rFonts w:eastAsia="Malgun Gothic"/>
            <w:sz w:val="20"/>
            <w:szCs w:val="20"/>
            <w:lang w:val="en-GB" w:eastAsia="ko-KR"/>
          </w:rPr>
          <w:t xml:space="preserve">have candidate SS/PBCH block index corresponding to SS/PBCH block index provided by </w:t>
        </w:r>
      </w:ins>
      <w:ins w:id="32" w:author="Author">
        <w:r>
          <w:rPr>
            <w:rFonts w:eastAsia="Malgun Gothic"/>
            <w:i/>
            <w:sz w:val="20"/>
            <w:szCs w:val="20"/>
            <w:lang w:val="en-GB" w:eastAsia="ko-KR"/>
          </w:rPr>
          <w:t>ssb-Index</w:t>
        </w:r>
      </w:ins>
      <w:r>
        <w:rPr>
          <w:rFonts w:eastAsia="Malgun Gothic"/>
          <w:sz w:val="20"/>
          <w:szCs w:val="20"/>
          <w:lang w:val="en-GB" w:eastAsia="ja-JP"/>
        </w:rPr>
        <w:t>.</w:t>
      </w:r>
    </w:p>
    <w:p>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TP#7 for TS 38.213 =============================</w:t>
      </w:r>
    </w:p>
    <w:p>
      <w:pPr>
        <w:rPr>
          <w:b/>
        </w:rPr>
      </w:pPr>
    </w:p>
    <w:p>
      <w:pPr>
        <w:rPr>
          <w:b/>
        </w:rPr>
      </w:pPr>
    </w:p>
    <w:p>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TP#8 for Clause 8.1 in TS 38.213======================== </w:t>
      </w:r>
    </w:p>
    <w:p>
      <w:pPr>
        <w:rPr>
          <w:b/>
          <w:sz w:val="24"/>
        </w:rPr>
      </w:pPr>
      <w:r>
        <w:rPr>
          <w:b/>
          <w:sz w:val="24"/>
        </w:rPr>
        <w:t>8</w:t>
      </w:r>
      <w:r>
        <w:rPr>
          <w:rFonts w:hint="eastAsia"/>
          <w:b/>
          <w:sz w:val="24"/>
        </w:rPr>
        <w:t>.1</w:t>
      </w:r>
      <w:r>
        <w:rPr>
          <w:rFonts w:hint="eastAsia"/>
          <w:b/>
          <w:sz w:val="24"/>
        </w:rPr>
        <w:tab/>
      </w:r>
      <w:r>
        <w:rPr>
          <w:b/>
          <w:sz w:val="24"/>
        </w:rPr>
        <w:t>Random access preamble</w:t>
      </w:r>
    </w:p>
    <w:p>
      <w:pPr>
        <w:pStyle w:val="17"/>
        <w:jc w:val="center"/>
      </w:pPr>
      <w:r>
        <w:t>*** Unchanged text omitted ***</w:t>
      </w:r>
    </w:p>
    <w:p>
      <w:pPr>
        <w:rPr>
          <w:rFonts w:eastAsia="Times New Roman"/>
          <w:sz w:val="20"/>
          <w:szCs w:val="20"/>
        </w:rPr>
      </w:pPr>
      <w:r>
        <w:rPr>
          <w:sz w:val="20"/>
          <w:szCs w:val="20"/>
        </w:rPr>
        <w:t xml:space="preserve">Physical random access procedure is triggered upon request of a PRACH transmission by higher layers or by a PDCCH order. A configuration by higher layers for a PRACH transmission includes the following: </w:t>
      </w:r>
    </w:p>
    <w:p>
      <w:pPr>
        <w:pStyle w:val="43"/>
      </w:pPr>
      <w:r>
        <w:t>-</w:t>
      </w:r>
      <w:r>
        <w:tab/>
      </w:r>
      <w:r>
        <w:t xml:space="preserve">A configuration for PRACH transmission [4, TS 38.211]. </w:t>
      </w:r>
    </w:p>
    <w:p>
      <w:pPr>
        <w:pStyle w:val="43"/>
      </w:pPr>
      <w:r>
        <w:t>-</w:t>
      </w:r>
      <w:r>
        <w:tab/>
      </w:r>
      <w:r>
        <w:t xml:space="preserve">A preamble index, a preamble SCS, </w:t>
      </w:r>
      <w:r>
        <w:rPr>
          <w:position w:val="-12"/>
          <w:lang w:val="en-US" w:eastAsia="zh-CN"/>
        </w:rPr>
        <w:drawing>
          <wp:inline distT="0" distB="0" distL="0" distR="0">
            <wp:extent cx="640080" cy="220980"/>
            <wp:effectExtent l="0" t="0" r="762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40080" cy="220980"/>
                    </a:xfrm>
                    <a:prstGeom prst="rect">
                      <a:avLst/>
                    </a:prstGeom>
                    <a:noFill/>
                    <a:ln>
                      <a:noFill/>
                    </a:ln>
                  </pic:spPr>
                </pic:pic>
              </a:graphicData>
            </a:graphic>
          </wp:inline>
        </w:drawing>
      </w:r>
      <w:r>
        <w:t xml:space="preserve">, a corresponding RA-RNTI, and a PRACH resource. </w:t>
      </w:r>
    </w:p>
    <w:p>
      <w:pPr>
        <w:rPr>
          <w:sz w:val="20"/>
          <w:szCs w:val="20"/>
        </w:rPr>
      </w:pPr>
      <w:r>
        <w:rPr>
          <w:sz w:val="20"/>
          <w:szCs w:val="20"/>
        </w:rPr>
        <w:t xml:space="preserve">A PRACH is transmitted using the selected PRACH format with transmission power </w:t>
      </w:r>
      <w:r>
        <w:rPr>
          <w:position w:val="-12"/>
          <w:sz w:val="20"/>
          <w:szCs w:val="20"/>
          <w:lang w:eastAsia="zh-CN"/>
        </w:rPr>
        <w:drawing>
          <wp:inline distT="0" distB="0" distL="0" distR="0">
            <wp:extent cx="731520" cy="2133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31520" cy="213360"/>
                    </a:xfrm>
                    <a:prstGeom prst="rect">
                      <a:avLst/>
                    </a:prstGeom>
                    <a:noFill/>
                    <a:ln>
                      <a:noFill/>
                    </a:ln>
                  </pic:spPr>
                </pic:pic>
              </a:graphicData>
            </a:graphic>
          </wp:inline>
        </w:drawing>
      </w:r>
      <w:r>
        <w:rPr>
          <w:sz w:val="20"/>
          <w:szCs w:val="20"/>
        </w:rPr>
        <w:t>,</w:t>
      </w:r>
      <w:r>
        <w:rPr>
          <w:sz w:val="20"/>
          <w:szCs w:val="20"/>
          <w:vertAlign w:val="subscript"/>
        </w:rPr>
        <w:t xml:space="preserve"> </w:t>
      </w:r>
      <w:r>
        <w:rPr>
          <w:sz w:val="20"/>
          <w:szCs w:val="20"/>
        </w:rPr>
        <w:t>as described in Clause 7.4, on the indicated PRACH resource.</w:t>
      </w:r>
    </w:p>
    <w:p>
      <w:pPr>
        <w:spacing w:after="240"/>
        <w:rPr>
          <w:sz w:val="20"/>
          <w:szCs w:val="20"/>
        </w:rPr>
      </w:pPr>
      <w:r>
        <w:rPr>
          <w:sz w:val="20"/>
          <w:szCs w:val="20"/>
        </w:rPr>
        <w:t xml:space="preserve">For Type-1 random access procedure, a UE is provided a number </w:t>
      </w:r>
      <w:r>
        <w:rPr>
          <w:position w:val="-6"/>
          <w:sz w:val="20"/>
          <w:szCs w:val="20"/>
          <w:lang w:eastAsia="zh-CN"/>
        </w:rPr>
        <w:drawing>
          <wp:inline distT="0" distB="0" distL="0" distR="0">
            <wp:extent cx="182880" cy="160020"/>
            <wp:effectExtent l="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SS/PBCH block</w:t>
      </w:r>
      <w:r>
        <w:rPr>
          <w:strike/>
          <w:color w:val="FF0000"/>
          <w:sz w:val="20"/>
          <w:szCs w:val="20"/>
        </w:rPr>
        <w:t>s</w:t>
      </w:r>
      <w:r>
        <w:rPr>
          <w:sz w:val="20"/>
          <w:szCs w:val="20"/>
        </w:rPr>
        <w:t xml:space="preserve"> </w:t>
      </w:r>
      <w:r>
        <w:rPr>
          <w:color w:val="FF0000"/>
          <w:sz w:val="20"/>
          <w:szCs w:val="20"/>
        </w:rPr>
        <w:t>indices</w:t>
      </w:r>
      <w:r>
        <w:rPr>
          <w:sz w:val="20"/>
          <w:szCs w:val="20"/>
        </w:rPr>
        <w:t xml:space="preserve"> associated with one PRACH occasion and a number </w:t>
      </w:r>
      <w:r>
        <w:rPr>
          <w:position w:val="-4"/>
          <w:sz w:val="20"/>
          <w:szCs w:val="20"/>
          <w:lang w:eastAsia="zh-CN"/>
        </w:rPr>
        <w:drawing>
          <wp:inline distT="0" distB="0" distL="0" distR="0">
            <wp:extent cx="182880" cy="16002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sz w:val="20"/>
          <w:szCs w:val="20"/>
        </w:rPr>
        <w:t>ssb-perRACH-OccasionAndCB-PreamblesPerSSB</w:t>
      </w:r>
      <w:r>
        <w:rPr>
          <w:sz w:val="20"/>
          <w:szCs w:val="20"/>
        </w:rPr>
        <w:t xml:space="preserve">. </w:t>
      </w:r>
    </w:p>
    <w:p>
      <w:pPr>
        <w:rPr>
          <w:sz w:val="20"/>
          <w:szCs w:val="20"/>
        </w:rPr>
      </w:pPr>
      <w:r>
        <w:rPr>
          <w:sz w:val="20"/>
          <w:szCs w:val="20"/>
        </w:rPr>
        <w:t xml:space="preserve">For Type-2 random access procedure with common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by </w:t>
      </w:r>
      <w:r>
        <w:rPr>
          <w:i/>
          <w:sz w:val="20"/>
          <w:szCs w:val="20"/>
        </w:rPr>
        <w:t>ssb-perRACH-OccasionAndCB-PreamblesPerSSB</w:t>
      </w:r>
      <w:r>
        <w:rPr>
          <w:sz w:val="20"/>
          <w:szCs w:val="20"/>
        </w:rPr>
        <w:t xml:space="preserve"> and a number </w:t>
      </w:r>
      <m:oMath>
        <m:r>
          <w:rPr>
            <w:rFonts w:ascii="Cambria Math" w:hAnsi="Cambria Math"/>
            <w:sz w:val="20"/>
            <w:szCs w:val="20"/>
          </w:rPr>
          <m:t>Q</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iCs/>
          <w:sz w:val="20"/>
          <w:szCs w:val="20"/>
        </w:rPr>
        <w:t>msgA-CB-PreamblesPerSSB</w:t>
      </w:r>
      <w:r>
        <w:rPr>
          <w:sz w:val="20"/>
          <w:szCs w:val="20"/>
        </w:rPr>
        <w:t xml:space="preserve">. </w:t>
      </w:r>
      <w:r>
        <w:rPr>
          <w:sz w:val="20"/>
          <w:szCs w:val="20"/>
          <w:shd w:val="clear" w:color="auto" w:fill="FFFFFF"/>
        </w:rPr>
        <w:t xml:space="preserve">The PRACH transmission can be on a subset of PRACH occasions associated with a same SS/PBCH block index for a UE provided with a PRACH mask index by </w:t>
      </w:r>
      <w:r>
        <w:rPr>
          <w:i/>
          <w:iCs/>
          <w:sz w:val="20"/>
          <w:szCs w:val="20"/>
          <w:shd w:val="clear" w:color="auto" w:fill="FFFFFF"/>
        </w:rPr>
        <w:t>msgA-ssb-sharedRO-MaskIndex</w:t>
      </w:r>
      <w:r>
        <w:rPr>
          <w:rStyle w:val="56"/>
          <w:sz w:val="20"/>
          <w:szCs w:val="20"/>
          <w:shd w:val="clear" w:color="auto" w:fill="FFFFFF"/>
        </w:rPr>
        <w:t xml:space="preserve"> </w:t>
      </w:r>
      <w:r>
        <w:rPr>
          <w:sz w:val="20"/>
          <w:szCs w:val="20"/>
          <w:shd w:val="clear" w:color="auto" w:fill="FFFFFF"/>
        </w:rPr>
        <w:t>according to [11, TS 38.321]</w:t>
      </w:r>
      <w:r>
        <w:rPr>
          <w:sz w:val="20"/>
          <w:szCs w:val="20"/>
        </w:rPr>
        <w:t>.</w:t>
      </w:r>
    </w:p>
    <w:p>
      <w:pPr>
        <w:rPr>
          <w:sz w:val="20"/>
          <w:szCs w:val="20"/>
        </w:rPr>
      </w:pPr>
      <w:r>
        <w:rPr>
          <w:sz w:val="20"/>
          <w:szCs w:val="20"/>
        </w:rPr>
        <w:t xml:space="preserve">For Type-2 random access procedure with separate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and a number </w:t>
      </w:r>
      <m:oMath>
        <m:r>
          <w:rPr>
            <w:rFonts w:ascii="Cambria Math" w:hAnsi="Cambria Math"/>
            <w:sz w:val="20"/>
            <w:szCs w:val="20"/>
          </w:rPr>
          <m:t>R</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iCs/>
          <w:sz w:val="20"/>
          <w:szCs w:val="20"/>
        </w:rPr>
        <w:t>ssb-perRACH-OccasionAndCB-PreamblesPerSSB-msgA</w:t>
      </w:r>
      <w:r>
        <w:rPr>
          <w:iCs/>
          <w:sz w:val="20"/>
          <w:szCs w:val="20"/>
        </w:rPr>
        <w:t xml:space="preserve"> when provided; otherwise, by </w:t>
      </w:r>
      <w:r>
        <w:rPr>
          <w:i/>
          <w:iCs/>
          <w:sz w:val="20"/>
          <w:szCs w:val="20"/>
        </w:rPr>
        <w:t>ssb-perRACH-OccasionAndCB-PreamblesPerSSB</w:t>
      </w:r>
      <w:r>
        <w:rPr>
          <w:sz w:val="20"/>
          <w:szCs w:val="20"/>
        </w:rPr>
        <w:t>.</w:t>
      </w:r>
    </w:p>
    <w:p>
      <w:pPr>
        <w:spacing w:after="240"/>
        <w:rPr>
          <w:sz w:val="20"/>
          <w:szCs w:val="20"/>
        </w:rPr>
      </w:pPr>
      <w:r>
        <w:rPr>
          <w:sz w:val="20"/>
          <w:szCs w:val="20"/>
        </w:rPr>
        <w:t xml:space="preserve">For Type-1 random access procedure, or for Type-2 random access procedure with separate configuration of PRACH occasions from Type 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ctrlPr>
              <w:rPr>
                <w:rFonts w:ascii="Cambria Math" w:hAnsi="Cambria Math"/>
                <w:i/>
                <w:sz w:val="20"/>
                <w:szCs w:val="20"/>
              </w:rPr>
            </m:ctrlPr>
          </m:num>
          <m:den>
            <m:r>
              <w:rPr>
                <w:rFonts w:ascii="Cambria Math" w:hAnsi="Cambria Math"/>
                <w:sz w:val="20"/>
                <w:szCs w:val="20"/>
              </w:rPr>
              <m:t>N</m:t>
            </m:r>
            <m:ctrlPr>
              <w:rPr>
                <w:rFonts w:ascii="Cambria Math" w:hAnsi="Cambria Math"/>
                <w:i/>
                <w:sz w:val="20"/>
                <w:szCs w:val="20"/>
              </w:rPr>
            </m:ctrlPr>
          </m:den>
        </m:f>
      </m:oMath>
      <w:r>
        <w:rPr>
          <w:sz w:val="20"/>
          <w:szCs w:val="20"/>
        </w:rPr>
        <w:t xml:space="preserve"> consecutive valid PRACH occasions </w:t>
      </w:r>
      <w:r>
        <w:rPr>
          <w:sz w:val="20"/>
          <w:szCs w:val="20"/>
          <w:lang w:eastAsia="zh-CN"/>
        </w:rPr>
        <w:t xml:space="preserve">and </w:t>
      </w:r>
      <m:oMath>
        <m:r>
          <w:rPr>
            <w:rFonts w:ascii="Cambria Math" w:hAnsi="Cambria Math"/>
            <w:sz w:val="20"/>
            <w:szCs w:val="20"/>
            <w:lang w:eastAsia="zh-CN"/>
          </w:rPr>
          <m:t>R</m:t>
        </m:r>
      </m:oMath>
      <w:r>
        <w:rPr>
          <w:sz w:val="20"/>
          <w:szCs w:val="20"/>
          <w:lang w:eastAsia="zh-CN"/>
        </w:rPr>
        <w:t xml:space="preserve"> contention based preambles with consecutive indices associated with the SS/PBCH block </w:t>
      </w:r>
      <w:r>
        <w:rPr>
          <w:color w:val="FF0000"/>
          <w:sz w:val="20"/>
          <w:szCs w:val="20"/>
          <w:lang w:eastAsia="zh-CN"/>
        </w:rPr>
        <w:t>index</w:t>
      </w:r>
      <w:r>
        <w:rPr>
          <w:sz w:val="20"/>
          <w:szCs w:val="20"/>
          <w:lang w:eastAsia="zh-CN"/>
        </w:rPr>
        <w:t xml:space="preserve"> per valid PRACH occasion start from preamble index 0</w:t>
      </w:r>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lang w:eastAsia="zh-CN"/>
          </w:rPr>
          <m:t>R</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14:textFill>
                      <w14:solidFill>
                        <w14:schemeClr w14:val="tx1"/>
                      </w14:solidFill>
                    </w14:textFill>
                  </w:rPr>
                  <m:t>⋅</m:t>
                </m:r>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preamble</m:t>
                </m:r>
                <m:ctrlPr>
                  <w:rPr>
                    <w:rFonts w:ascii="Cambria Math" w:hAnsi="Cambria Math"/>
                    <w:i/>
                    <w:sz w:val="20"/>
                    <w:szCs w:val="20"/>
                  </w:rPr>
                </m:ctrlPr>
              </m:sub>
              <m:sup>
                <m:r>
                  <m:rPr>
                    <m:sty m:val="p"/>
                  </m:rPr>
                  <w:rPr>
                    <w:rFonts w:ascii="Cambria Math" w:hAnsi="Cambria Math"/>
                    <w:sz w:val="20"/>
                    <w:szCs w:val="20"/>
                  </w:rPr>
                  <m:t>total</m:t>
                </m:r>
                <m:ctrlPr>
                  <w:rPr>
                    <w:rFonts w:ascii="Cambria Math" w:hAnsi="Cambria Math"/>
                    <w:i/>
                    <w:sz w:val="20"/>
                    <w:szCs w:val="20"/>
                  </w:rPr>
                </m:ctrlPr>
              </m:sup>
            </m:sSubSup>
            <m:ctrlPr>
              <w:rPr>
                <w:rFonts w:ascii="Cambria Math" w:hAnsi="Cambria Math"/>
                <w:i/>
                <w:sz w:val="20"/>
                <w:szCs w:val="20"/>
              </w:rPr>
            </m:ctrlPr>
          </m:num>
          <m:den>
            <m:r>
              <w:rPr>
                <w:rFonts w:ascii="Cambria Math" w:hAnsi="Cambria Math"/>
                <w:sz w:val="20"/>
                <w:szCs w:val="20"/>
              </w:rPr>
              <m:t>N</m:t>
            </m:r>
            <m:ctrlPr>
              <w:rPr>
                <w:rFonts w:ascii="Cambria Math" w:hAnsi="Cambria Math"/>
                <w:i/>
                <w:sz w:val="20"/>
                <w:szCs w:val="20"/>
              </w:rPr>
            </m:ctrlPr>
          </m:den>
        </m:f>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preamble</m:t>
            </m:r>
            <m:ctrlPr>
              <w:rPr>
                <w:rFonts w:ascii="Cambria Math" w:hAnsi="Cambria Math"/>
                <w:i/>
                <w:sz w:val="20"/>
                <w:szCs w:val="20"/>
              </w:rPr>
            </m:ctrlPr>
          </m:sub>
          <m:sup>
            <m:r>
              <m:rPr>
                <m:sty m:val="p"/>
              </m:rPr>
              <w:rPr>
                <w:rFonts w:ascii="Cambria Math" w:hAnsi="Cambria Math"/>
                <w:sz w:val="20"/>
                <w:szCs w:val="20"/>
              </w:rPr>
              <m:t>total</m:t>
            </m:r>
            <m:ctrlPr>
              <w:rPr>
                <w:rFonts w:ascii="Cambria Math" w:hAnsi="Cambria Math"/>
                <w:i/>
                <w:sz w:val="20"/>
                <w:szCs w:val="20"/>
              </w:rPr>
            </m:ctrlPr>
          </m:sup>
        </m:sSubSup>
      </m:oMath>
      <w:r>
        <w:rPr>
          <w:sz w:val="20"/>
          <w:szCs w:val="20"/>
        </w:rPr>
        <w:t xml:space="preserve"> is provided by </w:t>
      </w:r>
      <w:r>
        <w:rPr>
          <w:i/>
          <w:sz w:val="20"/>
          <w:szCs w:val="20"/>
        </w:rPr>
        <w:t>totalNumberOfRA-Preambles</w:t>
      </w:r>
      <w:r>
        <w:rPr>
          <w:sz w:val="20"/>
          <w:szCs w:val="20"/>
        </w:rPr>
        <w:t xml:space="preserve"> for Type-1 random access procedure, or by </w:t>
      </w:r>
      <w:r>
        <w:rPr>
          <w:i/>
          <w:sz w:val="20"/>
          <w:szCs w:val="20"/>
        </w:rPr>
        <w:t>msgA-totalNumberOfRA-Preambles</w:t>
      </w:r>
      <w:r>
        <w:rPr>
          <w:sz w:val="20"/>
          <w:szCs w:val="20"/>
        </w:rPr>
        <w:t xml:space="preserve"> for Type-2 random access procedure with separate configuration of PRACH occasions from a Type 1 random access procedure, and is an integer multiple of </w:t>
      </w:r>
      <m:oMath>
        <m:r>
          <w:rPr>
            <w:rFonts w:ascii="Cambria Math" w:hAnsi="Cambria Math"/>
            <w:sz w:val="20"/>
            <w:szCs w:val="20"/>
          </w:rPr>
          <m:t>N</m:t>
        </m:r>
      </m:oMath>
      <w:r>
        <w:rPr>
          <w:sz w:val="20"/>
          <w:szCs w:val="20"/>
        </w:rPr>
        <w:t xml:space="preserve">. </w:t>
      </w:r>
    </w:p>
    <w:p>
      <w:pPr>
        <w:spacing w:after="240"/>
        <w:rPr>
          <w:sz w:val="20"/>
          <w:szCs w:val="20"/>
        </w:rPr>
      </w:pPr>
      <w:r>
        <w:rPr>
          <w:sz w:val="20"/>
          <w:szCs w:val="20"/>
        </w:rPr>
        <w:t xml:space="preserve">For Type-2 random access procedure with common configuration of PRACH occasions with Type-1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ctrlPr>
              <w:rPr>
                <w:rFonts w:ascii="Cambria Math" w:hAnsi="Cambria Math"/>
                <w:i/>
                <w:sz w:val="20"/>
                <w:szCs w:val="20"/>
              </w:rPr>
            </m:ctrlPr>
          </m:num>
          <m:den>
            <m:r>
              <w:rPr>
                <w:rFonts w:ascii="Cambria Math" w:hAnsi="Cambria Math"/>
                <w:sz w:val="20"/>
                <w:szCs w:val="20"/>
              </w:rPr>
              <m:t>N</m:t>
            </m:r>
            <m:ctrlPr>
              <w:rPr>
                <w:rFonts w:ascii="Cambria Math" w:hAnsi="Cambria Math"/>
                <w:i/>
                <w:sz w:val="20"/>
                <w:szCs w:val="20"/>
              </w:rPr>
            </m:ctrlPr>
          </m:den>
        </m:f>
      </m:oMath>
      <w:r>
        <w:rPr>
          <w:sz w:val="20"/>
          <w:szCs w:val="20"/>
        </w:rPr>
        <w:t xml:space="preserve"> consecutive valid PRACH occasions and </w:t>
      </w:r>
      <m:oMath>
        <m:r>
          <w:rPr>
            <w:rFonts w:ascii="Cambria Math" w:hAnsi="Cambria Math"/>
            <w:sz w:val="20"/>
            <w:szCs w:val="20"/>
          </w:rPr>
          <m:t>Q</m:t>
        </m:r>
      </m:oMath>
      <w:r>
        <w:rPr>
          <w:sz w:val="20"/>
          <w:szCs w:val="20"/>
        </w:rPr>
        <w:t xml:space="preserve"> contention based preambles with consecutive indices associated with the SS/PBCH block </w:t>
      </w:r>
      <w:r>
        <w:rPr>
          <w:color w:val="FF0000"/>
          <w:sz w:val="20"/>
          <w:szCs w:val="20"/>
        </w:rPr>
        <w:t>index</w:t>
      </w:r>
      <w:r>
        <w:rPr>
          <w:sz w:val="20"/>
          <w:szCs w:val="20"/>
        </w:rPr>
        <w:t xml:space="preserve"> per valid PRACH occasion start from preamble index </w:t>
      </w:r>
      <m:oMath>
        <m:r>
          <w:rPr>
            <w:rFonts w:ascii="Cambria Math" w:hAnsi="Cambria Math"/>
            <w:sz w:val="20"/>
            <w:szCs w:val="20"/>
            <w:lang w:eastAsia="zh-CN"/>
          </w:rPr>
          <m:t>R</m:t>
        </m:r>
      </m:oMath>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rPr>
          <m:t>Q</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14:textFill>
                      <w14:solidFill>
                        <w14:schemeClr w14:val="tx1"/>
                      </w14:solidFill>
                    </w14:textFill>
                  </w:rPr>
                  <m:t>⋅</m:t>
                </m:r>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preamble</m:t>
                </m:r>
                <m:ctrlPr>
                  <w:rPr>
                    <w:rFonts w:ascii="Cambria Math" w:hAnsi="Cambria Math"/>
                    <w:i/>
                    <w:sz w:val="20"/>
                    <w:szCs w:val="20"/>
                  </w:rPr>
                </m:ctrlPr>
              </m:sub>
              <m:sup>
                <m:r>
                  <m:rPr>
                    <m:sty m:val="p"/>
                  </m:rPr>
                  <w:rPr>
                    <w:rFonts w:ascii="Cambria Math" w:hAnsi="Cambria Math"/>
                    <w:sz w:val="20"/>
                    <w:szCs w:val="20"/>
                  </w:rPr>
                  <m:t>total</m:t>
                </m:r>
                <m:ctrlPr>
                  <w:rPr>
                    <w:rFonts w:ascii="Cambria Math" w:hAnsi="Cambria Math"/>
                    <w:i/>
                    <w:sz w:val="20"/>
                    <w:szCs w:val="20"/>
                  </w:rPr>
                </m:ctrlPr>
              </m:sup>
            </m:sSubSup>
            <m:ctrlPr>
              <w:rPr>
                <w:rFonts w:ascii="Cambria Math" w:hAnsi="Cambria Math"/>
                <w:i/>
                <w:sz w:val="20"/>
                <w:szCs w:val="20"/>
              </w:rPr>
            </m:ctrlPr>
          </m:num>
          <m:den>
            <m:r>
              <w:rPr>
                <w:rFonts w:ascii="Cambria Math" w:hAnsi="Cambria Math"/>
                <w:sz w:val="20"/>
                <w:szCs w:val="20"/>
              </w:rPr>
              <m:t>N</m:t>
            </m:r>
            <m:ctrlPr>
              <w:rPr>
                <w:rFonts w:ascii="Cambria Math" w:hAnsi="Cambria Math"/>
                <w:i/>
                <w:sz w:val="20"/>
                <w:szCs w:val="20"/>
              </w:rPr>
            </m:ctrlPr>
          </m:den>
        </m:f>
        <m:r>
          <w:rPr>
            <w:rFonts w:ascii="Cambria Math" w:hAnsi="Cambria Math"/>
            <w:sz w:val="20"/>
            <w:szCs w:val="20"/>
          </w:rPr>
          <m:t>+R</m:t>
        </m:r>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preamble</m:t>
            </m:r>
            <m:ctrlPr>
              <w:rPr>
                <w:rFonts w:ascii="Cambria Math" w:hAnsi="Cambria Math"/>
                <w:i/>
                <w:sz w:val="20"/>
                <w:szCs w:val="20"/>
              </w:rPr>
            </m:ctrlPr>
          </m:sub>
          <m:sup>
            <m:r>
              <m:rPr>
                <m:sty m:val="p"/>
              </m:rPr>
              <w:rPr>
                <w:rFonts w:ascii="Cambria Math" w:hAnsi="Cambria Math"/>
                <w:sz w:val="20"/>
                <w:szCs w:val="20"/>
              </w:rPr>
              <m:t>total</m:t>
            </m:r>
            <m:ctrlPr>
              <w:rPr>
                <w:rFonts w:ascii="Cambria Math" w:hAnsi="Cambria Math"/>
                <w:i/>
                <w:sz w:val="20"/>
                <w:szCs w:val="20"/>
              </w:rPr>
            </m:ctrlPr>
          </m:sup>
        </m:sSubSup>
      </m:oMath>
      <w:r>
        <w:rPr>
          <w:sz w:val="20"/>
          <w:szCs w:val="20"/>
        </w:rPr>
        <w:t xml:space="preserve"> is provided by </w:t>
      </w:r>
      <w:r>
        <w:rPr>
          <w:i/>
          <w:sz w:val="20"/>
          <w:szCs w:val="20"/>
        </w:rPr>
        <w:t>totalNumberOfRA-Preambles</w:t>
      </w:r>
      <w:r>
        <w:rPr>
          <w:sz w:val="20"/>
          <w:szCs w:val="20"/>
        </w:rPr>
        <w:t xml:space="preserve"> for Type-1 random access procedure.</w:t>
      </w:r>
    </w:p>
    <w:p>
      <w:pPr>
        <w:spacing w:after="240"/>
        <w:rPr>
          <w:sz w:val="20"/>
          <w:szCs w:val="20"/>
        </w:rPr>
      </w:pPr>
      <w:r>
        <w:rPr>
          <w:color w:val="000000"/>
          <w:sz w:val="20"/>
          <w:szCs w:val="20"/>
        </w:rPr>
        <w:t xml:space="preserve">For link recovery, 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r>
        <w:rPr>
          <w:i/>
          <w:iCs/>
          <w:color w:val="000000"/>
          <w:sz w:val="20"/>
          <w:szCs w:val="20"/>
        </w:rPr>
        <w:t>ssb-perRACH-Occasion</w:t>
      </w:r>
      <w:r>
        <w:rPr>
          <w:color w:val="000000"/>
          <w:sz w:val="20"/>
          <w:szCs w:val="20"/>
        </w:rPr>
        <w:t xml:space="preserve"> in </w:t>
      </w:r>
      <w:r>
        <w:rPr>
          <w:i/>
          <w:iCs/>
          <w:color w:val="000000"/>
          <w:sz w:val="20"/>
          <w:szCs w:val="20"/>
        </w:rPr>
        <w:t>BeamFailureRecoveryConfig</w:t>
      </w:r>
      <w:r>
        <w:rPr>
          <w:color w:val="000000"/>
          <w:sz w:val="20"/>
          <w:szCs w:val="20"/>
        </w:rPr>
        <w:t xml:space="preserve">. </w:t>
      </w:r>
      <w:r>
        <w:rPr>
          <w:sz w:val="20"/>
          <w:szCs w:val="20"/>
        </w:rPr>
        <w:t xml:space="preserve">For a dedicated RACH configuration provided by </w:t>
      </w:r>
      <w:r>
        <w:rPr>
          <w:i/>
          <w:sz w:val="20"/>
          <w:szCs w:val="20"/>
        </w:rPr>
        <w:t>RACH-ConfigDedicated</w:t>
      </w:r>
      <w:r>
        <w:rPr>
          <w:sz w:val="20"/>
          <w:szCs w:val="20"/>
        </w:rPr>
        <w:t xml:space="preserve">, if </w:t>
      </w:r>
      <w:r>
        <w:rPr>
          <w:i/>
          <w:sz w:val="20"/>
          <w:szCs w:val="20"/>
        </w:rPr>
        <w:t>cfra</w:t>
      </w:r>
      <w:r>
        <w:rPr>
          <w:sz w:val="20"/>
          <w:szCs w:val="20"/>
        </w:rPr>
        <w:t xml:space="preserve"> is provided, </w:t>
      </w:r>
      <w:r>
        <w:rPr>
          <w:color w:val="000000"/>
          <w:sz w:val="20"/>
          <w:szCs w:val="20"/>
        </w:rPr>
        <w:t xml:space="preserve">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r>
        <w:rPr>
          <w:i/>
          <w:iCs/>
          <w:color w:val="000000"/>
          <w:sz w:val="20"/>
          <w:szCs w:val="20"/>
        </w:rPr>
        <w:t>ssb-perRACH-Occasion</w:t>
      </w:r>
      <w:r>
        <w:rPr>
          <w:color w:val="000000"/>
          <w:sz w:val="20"/>
          <w:szCs w:val="20"/>
        </w:rPr>
        <w:t xml:space="preserve"> in </w:t>
      </w:r>
      <w:r>
        <w:rPr>
          <w:i/>
          <w:iCs/>
          <w:color w:val="000000"/>
          <w:sz w:val="20"/>
          <w:szCs w:val="20"/>
        </w:rPr>
        <w:t>occasions</w:t>
      </w:r>
      <w:r>
        <w:rPr>
          <w:color w:val="000000"/>
          <w:sz w:val="20"/>
          <w:szCs w:val="20"/>
        </w:rPr>
        <w:t xml:space="preserve">. If </w:t>
      </w:r>
      <m:oMath>
        <m:r>
          <w:rPr>
            <w:rFonts w:ascii="Cambria Math" w:hAnsi="Cambria Math"/>
            <w:sz w:val="20"/>
            <w:szCs w:val="20"/>
          </w:rPr>
          <m:t>N&lt;1</m:t>
        </m:r>
      </m:oMath>
      <w:r>
        <w:rPr>
          <w:color w:val="000000"/>
          <w:sz w:val="20"/>
          <w:szCs w:val="20"/>
        </w:rPr>
        <w:t xml:space="preserve">, one SS/PBCH block </w:t>
      </w:r>
      <w:r>
        <w:rPr>
          <w:color w:val="FF0000"/>
          <w:sz w:val="20"/>
          <w:szCs w:val="20"/>
        </w:rPr>
        <w:t>index</w:t>
      </w:r>
      <w:r>
        <w:rPr>
          <w:color w:val="000000"/>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ctrlPr>
              <w:rPr>
                <w:rFonts w:ascii="Cambria Math" w:hAnsi="Cambria Math"/>
                <w:i/>
                <w:sz w:val="20"/>
                <w:szCs w:val="20"/>
              </w:rPr>
            </m:ctrlPr>
          </m:num>
          <m:den>
            <m:r>
              <w:rPr>
                <w:rFonts w:ascii="Cambria Math" w:hAnsi="Cambria Math"/>
                <w:sz w:val="20"/>
                <w:szCs w:val="20"/>
              </w:rPr>
              <m:t>N</m:t>
            </m:r>
            <m:ctrlPr>
              <w:rPr>
                <w:rFonts w:ascii="Cambria Math" w:hAnsi="Cambria Math"/>
                <w:i/>
                <w:sz w:val="20"/>
                <w:szCs w:val="20"/>
              </w:rPr>
            </m:ctrlPr>
          </m:den>
        </m:f>
      </m:oMath>
      <w:r>
        <w:rPr>
          <w:color w:val="000000"/>
          <w:sz w:val="20"/>
          <w:szCs w:val="20"/>
        </w:rPr>
        <w:t xml:space="preserve"> consecutive valid PRACH</w:t>
      </w:r>
      <w:r>
        <w:rPr>
          <w:sz w:val="20"/>
          <w:szCs w:val="20"/>
        </w:rPr>
        <w:t xml:space="preserve"> occasions. If </w:t>
      </w:r>
      <m:oMath>
        <m:r>
          <w:rPr>
            <w:rFonts w:ascii="Cambria Math" w:hAnsi="Cambria Math"/>
            <w:sz w:val="20"/>
            <w:szCs w:val="20"/>
          </w:rPr>
          <m:t>N≥1</m:t>
        </m:r>
      </m:oMath>
      <w:r>
        <w:rPr>
          <w:sz w:val="20"/>
          <w:szCs w:val="20"/>
        </w:rPr>
        <w:t xml:space="preserve">, all consecutive </w:t>
      </w:r>
      <m:oMath>
        <m:r>
          <w:rPr>
            <w:rFonts w:ascii="Cambria Math" w:hAnsi="Cambria Math"/>
            <w:sz w:val="20"/>
            <w:szCs w:val="20"/>
          </w:rPr>
          <m:t>N</m:t>
        </m:r>
      </m:oMath>
      <w:r>
        <w:rPr>
          <w:sz w:val="20"/>
          <w:szCs w:val="20"/>
        </w:rPr>
        <w:t xml:space="preserve"> SS/PBCH block</w:t>
      </w:r>
      <w:r>
        <w:rPr>
          <w:color w:val="FF0000"/>
          <w:sz w:val="20"/>
          <w:szCs w:val="20"/>
        </w:rPr>
        <w:t>s indices</w:t>
      </w:r>
      <w:r>
        <w:rPr>
          <w:sz w:val="20"/>
          <w:szCs w:val="20"/>
        </w:rPr>
        <w:t xml:space="preserve"> are associated with one PRACH occasion. </w:t>
      </w:r>
    </w:p>
    <w:p>
      <w:pPr>
        <w:spacing w:after="240"/>
        <w:rPr>
          <w:sz w:val="20"/>
          <w:szCs w:val="20"/>
        </w:rPr>
      </w:pPr>
      <w:r>
        <w:rPr>
          <w:sz w:val="20"/>
          <w:szCs w:val="20"/>
        </w:rPr>
        <w:t xml:space="preserve">SS/PBCH block indices </w:t>
      </w:r>
      <w:r>
        <w:rPr>
          <w:sz w:val="20"/>
          <w:szCs w:val="20"/>
          <w:lang w:eastAsia="zh-CN"/>
        </w:rPr>
        <w:t>provided by</w:t>
      </w:r>
      <w:r>
        <w:rPr>
          <w:sz w:val="20"/>
          <w:szCs w:val="20"/>
        </w:rPr>
        <w:t xml:space="preserve"> </w:t>
      </w:r>
      <w:r>
        <w:rPr>
          <w:i/>
          <w:sz w:val="20"/>
          <w:szCs w:val="20"/>
        </w:rPr>
        <w:t>ssb-PositionsInBurst</w:t>
      </w:r>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r>
        <w:rPr>
          <w:i/>
          <w:sz w:val="20"/>
          <w:szCs w:val="20"/>
        </w:rPr>
        <w:t>ServingCellConfigCommon</w:t>
      </w:r>
      <w:r>
        <w:rPr>
          <w:sz w:val="20"/>
          <w:szCs w:val="20"/>
        </w:rPr>
        <w:t xml:space="preserve"> are mapped to valid PRACH occasions in the following order where the parameters are described in [4, TS 38.211].</w:t>
      </w:r>
    </w:p>
    <w:p>
      <w:pPr>
        <w:pStyle w:val="43"/>
        <w:spacing w:after="240"/>
      </w:pPr>
      <w:r>
        <w:t>-</w:t>
      </w:r>
      <w:r>
        <w:tab/>
      </w:r>
      <w:r>
        <w:t>First, in increasing order of preamble indices within a single PRACH occasion</w:t>
      </w:r>
    </w:p>
    <w:p>
      <w:pPr>
        <w:pStyle w:val="43"/>
        <w:spacing w:after="240"/>
      </w:pPr>
      <w:r>
        <w:t>-</w:t>
      </w:r>
      <w:r>
        <w:tab/>
      </w:r>
      <w:r>
        <w:t>Second, in increasing order of frequency resource indices for frequency multiplexed PRACH occasions</w:t>
      </w:r>
    </w:p>
    <w:p>
      <w:pPr>
        <w:pStyle w:val="43"/>
        <w:spacing w:after="240"/>
      </w:pPr>
      <w:r>
        <w:t>-</w:t>
      </w:r>
      <w:r>
        <w:tab/>
      </w:r>
      <w:r>
        <w:t>Third, in increasing order of time resource indices for time multiplexed PRACH occasions within a PRACH slot</w:t>
      </w:r>
    </w:p>
    <w:p>
      <w:pPr>
        <w:pStyle w:val="43"/>
        <w:spacing w:after="240"/>
      </w:pPr>
      <w:r>
        <w:t>-</w:t>
      </w:r>
      <w:r>
        <w:tab/>
      </w:r>
      <w:r>
        <w:t>Fourth, in increasing order of indices for PRACH slots</w:t>
      </w:r>
    </w:p>
    <w:p>
      <w:pPr>
        <w:rPr>
          <w:sz w:val="20"/>
          <w:szCs w:val="20"/>
        </w:rPr>
      </w:pPr>
      <w:r>
        <w:rPr>
          <w:sz w:val="20"/>
          <w:szCs w:val="20"/>
        </w:rPr>
        <w:t>An association period, starting from frame 0, for mapping SS/PBCH block</w:t>
      </w:r>
      <w:r>
        <w:rPr>
          <w:strike/>
          <w:color w:val="FF0000"/>
          <w:sz w:val="20"/>
          <w:szCs w:val="20"/>
        </w:rPr>
        <w:t>s</w:t>
      </w:r>
      <w:r>
        <w:rPr>
          <w:color w:val="FF0000"/>
          <w:sz w:val="20"/>
          <w:szCs w:val="20"/>
        </w:rPr>
        <w:t xml:space="preserve"> indices</w:t>
      </w:r>
      <w:r>
        <w:rPr>
          <w:sz w:val="20"/>
          <w:szCs w:val="20"/>
        </w:rPr>
        <w:t xml:space="preserve"> to PRACH occasions is the smallest value in the set </w:t>
      </w:r>
      <w:r>
        <w:rPr>
          <w:sz w:val="20"/>
          <w:szCs w:val="20"/>
          <w:lang w:eastAsia="zh-CN"/>
        </w:rPr>
        <w:t>determined by the PRACH configuration period according Table</w:t>
      </w:r>
      <w:r>
        <w:rPr>
          <w:sz w:val="20"/>
          <w:szCs w:val="20"/>
        </w:rPr>
        <w:t xml:space="preserve"> 8.1-1 such that </w:t>
      </w:r>
      <w:r>
        <w:rPr>
          <w:position w:val="-10"/>
          <w:sz w:val="20"/>
          <w:szCs w:val="20"/>
          <w:lang w:eastAsia="zh-CN"/>
        </w:rPr>
        <w:drawing>
          <wp:inline distT="0" distB="0" distL="0" distR="0">
            <wp:extent cx="274320" cy="22098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xml:space="preserve"> are mapped at least once to the PRACH occasions within the association period, where a UE obtains </w:t>
      </w:r>
      <w:r>
        <w:rPr>
          <w:position w:val="-10"/>
          <w:sz w:val="20"/>
          <w:szCs w:val="20"/>
          <w:lang w:eastAsia="zh-CN"/>
        </w:rPr>
        <w:drawing>
          <wp:inline distT="0" distB="0" distL="0" distR="0">
            <wp:extent cx="274320" cy="220980"/>
            <wp:effectExtent l="0" t="0" r="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from the value of </w:t>
      </w:r>
      <w:r>
        <w:rPr>
          <w:i/>
          <w:sz w:val="20"/>
          <w:szCs w:val="20"/>
        </w:rPr>
        <w:t>ssb-PositionsInBurst</w:t>
      </w:r>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r>
        <w:rPr>
          <w:i/>
          <w:sz w:val="20"/>
          <w:szCs w:val="20"/>
        </w:rPr>
        <w:t>ServingCellConfigCommon</w:t>
      </w:r>
      <w:r>
        <w:rPr>
          <w:sz w:val="20"/>
          <w:szCs w:val="20"/>
        </w:rPr>
        <w:t>. If after an integer number of SS/PBCH block</w:t>
      </w:r>
      <w:r>
        <w:rPr>
          <w:strike/>
          <w:color w:val="FF0000"/>
          <w:sz w:val="20"/>
          <w:szCs w:val="20"/>
        </w:rPr>
        <w:t>s</w:t>
      </w:r>
      <w:r>
        <w:rPr>
          <w:color w:val="FF0000"/>
          <w:sz w:val="20"/>
          <w:szCs w:val="20"/>
        </w:rPr>
        <w:t xml:space="preserve"> indices</w:t>
      </w:r>
      <w:r>
        <w:rPr>
          <w:sz w:val="20"/>
          <w:szCs w:val="20"/>
        </w:rPr>
        <w:t xml:space="preserve"> to PRACH occasions mapping cycles within the association period there is a set of PRACH occasions </w:t>
      </w:r>
      <w:r>
        <w:rPr>
          <w:color w:val="000000" w:themeColor="text1"/>
          <w:sz w:val="20"/>
          <w:szCs w:val="20"/>
          <w:lang w:eastAsia="zh-CN"/>
          <w14:textFill>
            <w14:solidFill>
              <w14:schemeClr w14:val="tx1"/>
            </w14:solidFill>
          </w14:textFill>
        </w:rPr>
        <w:t>or PRACH preambles</w:t>
      </w:r>
      <w:r>
        <w:rPr>
          <w:sz w:val="20"/>
          <w:szCs w:val="20"/>
        </w:rPr>
        <w:t xml:space="preserve"> that are not mapped to </w:t>
      </w:r>
      <w:r>
        <w:rPr>
          <w:position w:val="-10"/>
          <w:sz w:val="20"/>
          <w:szCs w:val="20"/>
          <w:lang w:eastAsia="zh-CN"/>
        </w:rPr>
        <w:drawing>
          <wp:inline distT="0" distB="0" distL="0" distR="0">
            <wp:extent cx="274320" cy="220980"/>
            <wp:effectExtent l="0" t="0" r="0" b="762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no SS/PBCH block</w:t>
      </w:r>
      <w:r>
        <w:rPr>
          <w:strike/>
          <w:color w:val="FF0000"/>
          <w:sz w:val="20"/>
          <w:szCs w:val="20"/>
        </w:rPr>
        <w:t>s</w:t>
      </w:r>
      <w:r>
        <w:rPr>
          <w:color w:val="FF0000"/>
          <w:sz w:val="20"/>
          <w:szCs w:val="20"/>
        </w:rPr>
        <w:t xml:space="preserve"> indices</w:t>
      </w:r>
      <w:r>
        <w:rPr>
          <w:sz w:val="20"/>
          <w:szCs w:val="20"/>
        </w:rPr>
        <w:t xml:space="preserve"> are mapped to the set of PRACH occasions</w:t>
      </w:r>
      <w:r>
        <w:rPr>
          <w:color w:val="000000" w:themeColor="text1"/>
          <w:sz w:val="20"/>
          <w:szCs w:val="20"/>
          <w:lang w:eastAsia="zh-CN"/>
          <w14:textFill>
            <w14:solidFill>
              <w14:schemeClr w14:val="tx1"/>
            </w14:solidFill>
          </w14:textFill>
        </w:rPr>
        <w:t xml:space="preserve"> or PRACH preambles</w:t>
      </w:r>
      <w:r>
        <w:rPr>
          <w:sz w:val="20"/>
          <w:szCs w:val="20"/>
        </w:rPr>
        <w:t>. An association pattern period includes one or more association periods and is determined so that a pattern between PRACH occasions and SS/PBCH block</w:t>
      </w:r>
      <w:r>
        <w:rPr>
          <w:strike/>
          <w:color w:val="FF0000"/>
          <w:sz w:val="20"/>
          <w:szCs w:val="20"/>
        </w:rPr>
        <w:t>s</w:t>
      </w:r>
      <w:r>
        <w:rPr>
          <w:color w:val="FF0000"/>
          <w:sz w:val="20"/>
          <w:szCs w:val="20"/>
        </w:rPr>
        <w:t xml:space="preserve"> indices</w:t>
      </w:r>
      <w:r>
        <w:rPr>
          <w:sz w:val="20"/>
          <w:szCs w:val="20"/>
        </w:rPr>
        <w:t xml:space="preserve"> repeats at most every 160 msec. PRACH occasions not associated with SS/PBCH block</w:t>
      </w:r>
      <w:r>
        <w:rPr>
          <w:strike/>
          <w:color w:val="FF0000"/>
          <w:sz w:val="20"/>
          <w:szCs w:val="20"/>
        </w:rPr>
        <w:t>s</w:t>
      </w:r>
      <w:r>
        <w:rPr>
          <w:color w:val="FF0000"/>
          <w:sz w:val="20"/>
          <w:szCs w:val="20"/>
        </w:rPr>
        <w:t xml:space="preserve"> indices</w:t>
      </w:r>
      <w:r>
        <w:rPr>
          <w:sz w:val="20"/>
          <w:szCs w:val="20"/>
        </w:rPr>
        <w:t xml:space="preserve"> after an integer number of association periods, if any, are not used for PRACH transmissions.</w:t>
      </w:r>
    </w:p>
    <w:p>
      <w:pPr>
        <w:pStyle w:val="17"/>
        <w:jc w:val="center"/>
      </w:pPr>
      <w:r>
        <w:t>*** Unchanged text omitted ***</w:t>
      </w:r>
    </w:p>
    <w:p>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TP#8 for TS 38.213 =============================</w:t>
      </w:r>
    </w:p>
    <w:p>
      <w:pPr>
        <w:rPr>
          <w:b/>
        </w:rPr>
      </w:pPr>
    </w:p>
    <w:p>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TP#9 for Clause 7.1.1 in TS 38.213======================== </w:t>
      </w:r>
    </w:p>
    <w:p>
      <w:pPr>
        <w:pStyle w:val="17"/>
        <w:jc w:val="center"/>
      </w:pPr>
      <w:r>
        <w:t>*** Unchanged text omitted ***</w:t>
      </w:r>
    </w:p>
    <w:p>
      <w:pPr>
        <w:pStyle w:val="44"/>
        <w:rPr>
          <w:rFonts w:eastAsia="Times New Roman"/>
        </w:rPr>
      </w:pPr>
      <w:bookmarkStart w:id="26" w:name="_Hlk37234907"/>
      <w:r>
        <w:t>-</w:t>
      </w:r>
      <w:r>
        <w:tab/>
      </w:r>
      <w:r>
        <w:t xml:space="preserve">If the UE is not provided </w:t>
      </w:r>
      <w:r>
        <w:rPr>
          <w:i/>
        </w:rPr>
        <w:t>pathlossReferenceRSs</w:t>
      </w:r>
      <w:r>
        <w:t xml:space="preserve"> or before the UE is provided dedicated higher layer parameters</w:t>
      </w:r>
      <w:r>
        <w:rPr>
          <w:iCs/>
        </w:rPr>
        <w:t xml:space="preserve">, the UE calculates </w:t>
      </w:r>
      <w:r>
        <w:rPr>
          <w:position w:val="-12"/>
          <w:lang w:val="en-US" w:eastAsia="zh-CN"/>
        </w:rPr>
        <w:drawing>
          <wp:inline distT="0" distB="0" distL="0" distR="0">
            <wp:extent cx="6400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bookmarkEnd w:id="26"/>
    <w:p>
      <w:pPr>
        <w:pStyle w:val="17"/>
        <w:jc w:val="center"/>
      </w:pPr>
      <w:r>
        <w:t>*** Unchanged text omitted ***</w:t>
      </w:r>
    </w:p>
    <w:p>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TP#9 for TS 38.213 =============================</w:t>
      </w:r>
    </w:p>
    <w:p>
      <w:pPr>
        <w:pStyle w:val="17"/>
        <w:rPr>
          <w:highlight w:val="yellow"/>
        </w:rPr>
      </w:pPr>
    </w:p>
    <w:p>
      <w:pPr>
        <w:pStyle w:val="17"/>
        <w:rPr>
          <w:highlight w:val="yellow"/>
        </w:rPr>
      </w:pPr>
    </w:p>
    <w:p>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TP#10 for Clause 7.2.1 in TS 38.213======================</w:t>
      </w:r>
    </w:p>
    <w:p>
      <w:pPr>
        <w:pStyle w:val="17"/>
        <w:jc w:val="center"/>
      </w:pPr>
      <w:r>
        <w:t>*** Unchanged text omitted ***</w:t>
      </w:r>
    </w:p>
    <w:p>
      <w:pPr>
        <w:pStyle w:val="44"/>
        <w:rPr>
          <w:rFonts w:eastAsia="Times New Roman"/>
        </w:rPr>
      </w:pPr>
      <w:r>
        <w:t>-</w:t>
      </w:r>
      <w:r>
        <w:tab/>
      </w:r>
      <w:r>
        <w:t xml:space="preserve">If the UE is not provided </w:t>
      </w:r>
      <w:r>
        <w:rPr>
          <w:i/>
        </w:rPr>
        <w:t>pathlossReferenceRSs</w:t>
      </w:r>
      <w:r>
        <w:t xml:space="preserve"> or before the UE is provided dedicated higher layer parameters</w:t>
      </w:r>
      <w:r>
        <w:rPr>
          <w:iCs/>
        </w:rPr>
        <w:t xml:space="preserve">, the UE calculates </w:t>
      </w:r>
      <w:r>
        <w:rPr>
          <w:position w:val="-12"/>
          <w:lang w:val="en-US" w:eastAsia="zh-CN"/>
        </w:rPr>
        <w:drawing>
          <wp:inline distT="0" distB="0" distL="0" distR="0">
            <wp:extent cx="640080" cy="1905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pPr>
        <w:pStyle w:val="17"/>
        <w:jc w:val="center"/>
      </w:pPr>
      <w:r>
        <w:t>*** Unchanged text omitted ***</w:t>
      </w:r>
    </w:p>
    <w:p>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TP#10 for TS 38.213 ============================</w:t>
      </w:r>
    </w:p>
    <w:p>
      <w:pPr>
        <w:pStyle w:val="17"/>
        <w:rPr>
          <w:highlight w:val="yellow"/>
        </w:rPr>
      </w:pPr>
    </w:p>
    <w:p>
      <w:pPr>
        <w:pStyle w:val="17"/>
        <w:rPr>
          <w:highlight w:val="yellow"/>
        </w:rPr>
      </w:pPr>
    </w:p>
    <w:p>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TP#11 for Clause 7.3.1 in TS 38.213======================</w:t>
      </w:r>
    </w:p>
    <w:p>
      <w:pPr>
        <w:pStyle w:val="17"/>
        <w:jc w:val="center"/>
      </w:pPr>
      <w:r>
        <w:t>*** Unchanged text omitted ***</w:t>
      </w:r>
    </w:p>
    <w:p>
      <w:pPr>
        <w:pStyle w:val="44"/>
        <w:rPr>
          <w:rFonts w:eastAsia="Times New Roman"/>
        </w:rPr>
      </w:pPr>
      <w:r>
        <w:t>-</w:t>
      </w:r>
      <w:r>
        <w:tab/>
      </w:r>
      <w:r>
        <w:t xml:space="preserve">If the UE is not provided </w:t>
      </w:r>
      <w:r>
        <w:rPr>
          <w:i/>
        </w:rPr>
        <w:t>pathlossReferenceRS</w:t>
      </w:r>
      <w:r>
        <w:t xml:space="preserve"> or </w:t>
      </w:r>
      <w:r>
        <w:rPr>
          <w:i/>
          <w:iCs/>
          <w:lang w:eastAsia="ko-KR"/>
        </w:rPr>
        <w:t>SRS-PathlossReferenceRS</w:t>
      </w:r>
      <w:r>
        <w:rPr>
          <w:lang w:eastAsia="ko-KR"/>
        </w:rPr>
        <w:t xml:space="preserve">, </w:t>
      </w:r>
      <w:r>
        <w:t>or before the UE is provided dedicated higher layer parameters</w:t>
      </w:r>
      <w:r>
        <w:rPr>
          <w:iCs/>
        </w:rPr>
        <w:t xml:space="preserve">, the UE calculates </w:t>
      </w:r>
      <w:r>
        <w:rPr>
          <w:position w:val="-12"/>
          <w:lang w:val="en-US" w:eastAsia="zh-CN"/>
        </w:rPr>
        <w:drawing>
          <wp:inline distT="0" distB="0" distL="0" distR="0">
            <wp:extent cx="6400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40080" cy="18288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pPr>
        <w:pStyle w:val="17"/>
        <w:jc w:val="center"/>
      </w:pPr>
      <w:r>
        <w:t>*** Unchanged text omitted ***</w:t>
      </w:r>
    </w:p>
    <w:p>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TP#11 for TS 38.213 ===========================</w:t>
      </w:r>
    </w:p>
    <w:p>
      <w:pPr>
        <w:rPr>
          <w:b/>
        </w:rPr>
      </w:pPr>
    </w:p>
    <w:p/>
    <w:tbl>
      <w:tblPr>
        <w:tblStyle w:val="32"/>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 xml:space="preserve">TP#3, OK with this clarification. </w:t>
            </w:r>
          </w:p>
          <w:p>
            <w:pPr>
              <w:widowControl w:val="0"/>
              <w:rPr>
                <w:lang w:eastAsia="zh-CN"/>
              </w:rPr>
            </w:pPr>
            <w:r>
              <w:rPr>
                <w:lang w:eastAsia="zh-CN"/>
              </w:rPr>
              <w:t xml:space="preserve">TP#4, we can understand the intention, but the TP here seems not addressing the intention. Did see an essential difference with and without the TP. Is the intention trying to say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r>
              <w:rPr>
                <w:rFonts w:eastAsia="等线"/>
                <w:i/>
                <w:lang w:val="en-GB"/>
              </w:rPr>
              <w:t>ssb-PositionsInBurst</w:t>
            </w:r>
            <w:r>
              <w:rPr>
                <w:lang w:eastAsia="zh-CN"/>
              </w:rPr>
              <w:t>”?</w:t>
            </w:r>
          </w:p>
          <w:p>
            <w:pPr>
              <w:widowControl w:val="0"/>
              <w:rPr>
                <w:lang w:eastAsia="zh-CN"/>
              </w:rPr>
            </w:pPr>
            <w:r>
              <w:rPr>
                <w:lang w:eastAsia="zh-CN"/>
              </w:rPr>
              <w:t xml:space="preserve">TP#5 and TP#6, either no change to specification, or clarifying it as “SS/PBCH blocks with </w:t>
            </w:r>
            <w:r>
              <w:rPr>
                <w:color w:val="FF0000"/>
                <w:lang w:eastAsia="zh-CN"/>
              </w:rPr>
              <w:t xml:space="preserve">candidate SS/PBCH block indices corresponding to the SS/PBCH block </w:t>
            </w:r>
            <w:r>
              <w:rPr>
                <w:lang w:eastAsia="zh-CN"/>
              </w:rPr>
              <w:t xml:space="preserve">indices indicated to the UE by </w:t>
            </w:r>
            <w:r>
              <w:rPr>
                <w:rFonts w:eastAsia="等线"/>
                <w:i/>
                <w:lang w:val="en-GB"/>
              </w:rPr>
              <w:t>ssb-PositionsInBurst</w:t>
            </w:r>
            <w:r>
              <w:rPr>
                <w:lang w:eastAsia="zh-CN"/>
              </w:rPr>
              <w:t xml:space="preserve">”. </w:t>
            </w:r>
          </w:p>
          <w:p>
            <w:pPr>
              <w:widowControl w:val="0"/>
              <w:rPr>
                <w:lang w:eastAsia="zh-CN"/>
              </w:rPr>
            </w:pPr>
            <w:r>
              <w:rPr>
                <w:lang w:eastAsia="zh-CN"/>
              </w:rPr>
              <w:t xml:space="preserve">TP#7, our proposal. This clarification is essential since </w:t>
            </w:r>
            <w:r>
              <w:rPr>
                <w:i/>
                <w:lang w:eastAsia="zh-CN"/>
              </w:rPr>
              <w:t>ssb-Index</w:t>
            </w:r>
            <w:r>
              <w:rPr>
                <w:lang w:eastAsia="zh-CN"/>
              </w:rPr>
              <w:t xml:space="preserve"> has not been clarified yet in any of RAN1/RAN2 specifications. </w:t>
            </w:r>
          </w:p>
          <w:p>
            <w:pPr>
              <w:widowControl w:val="0"/>
              <w:rPr>
                <w:lang w:eastAsia="zh-CN"/>
              </w:rPr>
            </w:pPr>
            <w:r>
              <w:rPr>
                <w:lang w:eastAsia="zh-CN"/>
              </w:rPr>
              <w:t xml:space="preserve">TP#8, OK with this clarification. </w:t>
            </w:r>
          </w:p>
          <w:p>
            <w:pPr>
              <w:widowControl w:val="0"/>
              <w:rPr>
                <w:lang w:eastAsia="zh-CN"/>
              </w:rPr>
            </w:pPr>
            <w:r>
              <w:rPr>
                <w:lang w:eastAsia="zh-CN"/>
              </w:rPr>
              <w:t xml:space="preserve">TP#9, TP#10, and TP#11, OK with these clarifications.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rFonts w:hint="eastAsia" w:eastAsia="MS Mincho"/>
                <w:lang w:eastAsia="ja-JP"/>
              </w:rPr>
              <w:t>S</w:t>
            </w:r>
            <w:r>
              <w:rPr>
                <w:rFonts w:eastAsia="MS Mincho"/>
                <w:lang w:eastAsia="ja-JP"/>
              </w:rPr>
              <w:t>harp</w:t>
            </w:r>
          </w:p>
        </w:tc>
        <w:tc>
          <w:tcPr>
            <w:tcW w:w="6432" w:type="dxa"/>
          </w:tcPr>
          <w:p>
            <w:pPr>
              <w:widowControl w:val="0"/>
              <w:rPr>
                <w:rFonts w:eastAsia="MS Mincho"/>
                <w:lang w:eastAsia="ja-JP"/>
              </w:rPr>
            </w:pPr>
            <w:r>
              <w:rPr>
                <w:rFonts w:eastAsia="MS Mincho"/>
                <w:lang w:eastAsia="ja-JP"/>
              </w:rPr>
              <w:t xml:space="preserve">TP#3: We don’t support the TP as the current spec. is clear enough. The UE rate matches around the resources for SS/PBCH blocks with candidate SS/PBCH block index corresponding to the SS/PBCH block index according to </w:t>
            </w:r>
            <w:r>
              <w:rPr>
                <w:rFonts w:eastAsia="MS Mincho"/>
                <w:i/>
                <w:lang w:eastAsia="ja-JP"/>
              </w:rPr>
              <w:t>ssb-PositionsInBurst</w:t>
            </w:r>
            <w:r>
              <w:rPr>
                <w:rFonts w:eastAsia="MS Mincho"/>
                <w:lang w:eastAsia="ja-JP"/>
              </w:rPr>
              <w:t>.</w:t>
            </w:r>
          </w:p>
          <w:p>
            <w:pPr>
              <w:widowControl w:val="0"/>
              <w:rPr>
                <w:rFonts w:eastAsia="MS Mincho"/>
                <w:lang w:eastAsia="ja-JP"/>
              </w:rPr>
            </w:pPr>
            <w:r>
              <w:rPr>
                <w:rFonts w:hint="eastAsia" w:eastAsia="MS Mincho"/>
                <w:lang w:eastAsia="ja-JP"/>
              </w:rPr>
              <w:t>T</w:t>
            </w:r>
            <w:r>
              <w:rPr>
                <w:rFonts w:eastAsia="MS Mincho"/>
                <w:lang w:eastAsia="ja-JP"/>
              </w:rPr>
              <w:t>P#4: Motivation for change is not clear.</w:t>
            </w:r>
          </w:p>
          <w:p>
            <w:pPr>
              <w:widowControl w:val="0"/>
              <w:rPr>
                <w:rFonts w:eastAsia="MS Mincho"/>
                <w:lang w:eastAsia="ja-JP"/>
              </w:rPr>
            </w:pPr>
            <w:r>
              <w:rPr>
                <w:rFonts w:hint="eastAsia" w:eastAsia="MS Mincho"/>
                <w:lang w:eastAsia="ja-JP"/>
              </w:rPr>
              <w:t>T</w:t>
            </w:r>
            <w:r>
              <w:rPr>
                <w:rFonts w:eastAsia="MS Mincho"/>
                <w:lang w:eastAsia="ja-JP"/>
              </w:rPr>
              <w:t xml:space="preserve">P#5: “Candidate” should be removed. Candidate SS/PBCH block index is not indicated by </w:t>
            </w:r>
            <w:r>
              <w:rPr>
                <w:rFonts w:eastAsia="MS Mincho"/>
                <w:i/>
                <w:lang w:eastAsia="ja-JP"/>
              </w:rPr>
              <w:t>ssb-PositionsInBurst</w:t>
            </w:r>
            <w:r>
              <w:rPr>
                <w:rFonts w:eastAsia="MS Mincho"/>
                <w:lang w:eastAsia="ja-JP"/>
              </w:rPr>
              <w:t>.</w:t>
            </w:r>
          </w:p>
          <w:p>
            <w:pPr>
              <w:widowControl w:val="0"/>
              <w:rPr>
                <w:rFonts w:eastAsia="MS Mincho"/>
                <w:lang w:eastAsia="ja-JP"/>
              </w:rPr>
            </w:pPr>
            <w:r>
              <w:rPr>
                <w:rFonts w:hint="eastAsia" w:eastAsia="MS Mincho"/>
                <w:lang w:eastAsia="ja-JP"/>
              </w:rPr>
              <w:t>T</w:t>
            </w:r>
            <w:r>
              <w:rPr>
                <w:rFonts w:eastAsia="MS Mincho"/>
                <w:lang w:eastAsia="ja-JP"/>
              </w:rPr>
              <w:t xml:space="preserve">P#6: “Candidate” should be removed. Candidate SS/PBCH block index is not indicated by </w:t>
            </w:r>
            <w:r>
              <w:rPr>
                <w:rFonts w:eastAsia="MS Mincho"/>
                <w:i/>
                <w:lang w:eastAsia="ja-JP"/>
              </w:rPr>
              <w:t>ssb-PositionsInBurst</w:t>
            </w:r>
            <w:r>
              <w:rPr>
                <w:rFonts w:eastAsia="MS Mincho"/>
                <w:lang w:eastAsia="ja-JP"/>
              </w:rPr>
              <w:t>.</w:t>
            </w:r>
          </w:p>
          <w:p>
            <w:pPr>
              <w:widowControl w:val="0"/>
              <w:rPr>
                <w:rFonts w:eastAsia="MS Mincho"/>
                <w:lang w:eastAsia="ja-JP"/>
              </w:rPr>
            </w:pPr>
            <w:r>
              <w:rPr>
                <w:rFonts w:hint="eastAsia" w:eastAsia="MS Mincho"/>
                <w:lang w:eastAsia="ja-JP"/>
              </w:rPr>
              <w:t>T</w:t>
            </w:r>
            <w:r>
              <w:rPr>
                <w:rFonts w:eastAsia="MS Mincho"/>
                <w:lang w:eastAsia="ja-JP"/>
              </w:rPr>
              <w:t xml:space="preserve">P#7: We support the proposal in principle. We prefer simpler text for it. </w:t>
            </w:r>
          </w:p>
          <w:p>
            <w:pPr>
              <w:widowControl w:val="0"/>
              <w:rPr>
                <w:rFonts w:eastAsia="MS Mincho"/>
                <w:lang w:eastAsia="ja-JP"/>
              </w:rPr>
            </w:pPr>
            <w:r>
              <w:rPr>
                <w:rFonts w:eastAsia="Malgun Gothic"/>
                <w:sz w:val="20"/>
                <w:szCs w:val="20"/>
                <w:lang w:val="en-GB" w:eastAsia="ko-KR"/>
              </w:rPr>
              <w:t xml:space="preserve">For operation with shared spectrum channel access, when a UE is provided a SS/PBCH block index by </w:t>
            </w:r>
            <w:r>
              <w:rPr>
                <w:rFonts w:eastAsia="Malgun Gothic"/>
                <w:i/>
                <w:sz w:val="20"/>
                <w:szCs w:val="20"/>
                <w:lang w:val="en-GB" w:eastAsia="ko-KR"/>
              </w:rPr>
              <w:t>ssb-Index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w:t>
            </w:r>
            <w:ins w:id="33" w:author="Sharp" w:date="2020-05-26T14:40:00Z">
              <w:r>
                <w:rPr>
                  <w:rFonts w:eastAsia="Malgun Gothic"/>
                  <w:sz w:val="20"/>
                  <w:szCs w:val="20"/>
                  <w:lang w:val="en-GB" w:eastAsia="ja-JP"/>
                </w:rPr>
                <w:t xml:space="preserve">candidate </w:t>
              </w:r>
            </w:ins>
            <w:r>
              <w:rPr>
                <w:rFonts w:eastAsia="Malgun Gothic"/>
                <w:sz w:val="20"/>
                <w:szCs w:val="20"/>
                <w:lang w:val="en-GB" w:eastAsia="ja-JP"/>
              </w:rPr>
              <w:t xml:space="preserve">SS/PBCH block(s) </w:t>
            </w:r>
            <w:ins w:id="34" w:author="Sharp" w:date="2020-05-26T14:40:00Z">
              <w:r>
                <w:rPr>
                  <w:rFonts w:eastAsia="Malgun Gothic"/>
                  <w:sz w:val="20"/>
                  <w:szCs w:val="20"/>
                  <w:lang w:val="en-GB" w:eastAsia="ja-JP"/>
                </w:rPr>
                <w:t>corresponding to the SS/PBCH block index(s)</w:t>
              </w:r>
            </w:ins>
            <w:r>
              <w:rPr>
                <w:rFonts w:eastAsia="Malgun Gothic"/>
                <w:sz w:val="20"/>
                <w:szCs w:val="20"/>
                <w:lang w:val="en-GB" w:eastAsia="ja-JP"/>
              </w:rPr>
              <w:t xml:space="preserve"> in the discovery burst transmission window as described in Clause 4.1.</w:t>
            </w:r>
          </w:p>
          <w:p>
            <w:pPr>
              <w:widowControl w:val="0"/>
              <w:rPr>
                <w:rFonts w:eastAsia="MS Mincho"/>
                <w:lang w:eastAsia="ja-JP"/>
              </w:rPr>
            </w:pPr>
            <w:r>
              <w:rPr>
                <w:rFonts w:hint="eastAsia" w:eastAsia="MS Mincho"/>
                <w:lang w:eastAsia="ja-JP"/>
              </w:rPr>
              <w:t>T</w:t>
            </w:r>
            <w:r>
              <w:rPr>
                <w:rFonts w:eastAsia="MS Mincho"/>
                <w:lang w:eastAsia="ja-JP"/>
              </w:rPr>
              <w:t>P#8: We support the TP.</w:t>
            </w:r>
          </w:p>
          <w:p>
            <w:pPr>
              <w:widowControl w:val="0"/>
              <w:rPr>
                <w:rFonts w:eastAsia="MS Mincho"/>
                <w:lang w:eastAsia="ja-JP"/>
              </w:rPr>
            </w:pPr>
            <w:r>
              <w:rPr>
                <w:rFonts w:hint="eastAsia" w:eastAsia="MS Mincho"/>
                <w:lang w:eastAsia="ja-JP"/>
              </w:rPr>
              <w:t>T</w:t>
            </w:r>
            <w:r>
              <w:rPr>
                <w:rFonts w:eastAsia="MS Mincho"/>
                <w:lang w:eastAsia="ja-JP"/>
              </w:rPr>
              <w:t>P#9#10#11: Motivation for change is not clear.</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rFonts w:hint="eastAsia"/>
                <w:lang w:eastAsia="zh-CN"/>
              </w:rPr>
              <w:t>v</w:t>
            </w:r>
            <w:r>
              <w:rPr>
                <w:lang w:eastAsia="zh-CN"/>
              </w:rPr>
              <w:t>ivo</w:t>
            </w:r>
          </w:p>
        </w:tc>
        <w:tc>
          <w:tcPr>
            <w:tcW w:w="6432" w:type="dxa"/>
          </w:tcPr>
          <w:p>
            <w:pPr>
              <w:widowControl w:val="0"/>
              <w:rPr>
                <w:lang w:eastAsia="zh-CN"/>
              </w:rPr>
            </w:pPr>
            <w:r>
              <w:rPr>
                <w:rFonts w:hint="eastAsia"/>
                <w:lang w:eastAsia="zh-CN"/>
              </w:rPr>
              <w:t>T</w:t>
            </w:r>
            <w:r>
              <w:rPr>
                <w:lang w:eastAsia="zh-CN"/>
              </w:rPr>
              <w:t xml:space="preserve">P#3: OK with the clarification and support the TP. </w:t>
            </w:r>
          </w:p>
          <w:p>
            <w:pPr>
              <w:widowControl w:val="0"/>
              <w:rPr>
                <w:lang w:eastAsia="zh-CN"/>
              </w:rPr>
            </w:pPr>
          </w:p>
          <w:p>
            <w:pPr>
              <w:widowControl w:val="0"/>
              <w:rPr>
                <w:lang w:eastAsia="zh-CN"/>
              </w:rPr>
            </w:pPr>
            <w:r>
              <w:rPr>
                <w:rFonts w:hint="eastAsia"/>
                <w:lang w:eastAsia="zh-CN"/>
              </w:rPr>
              <w:t>T</w:t>
            </w:r>
            <w:r>
              <w:rPr>
                <w:lang w:eastAsia="zh-CN"/>
              </w:rPr>
              <w:t>P#4,5,6: Agree with Samsung. Better to add the reference to clause 4.1 of TS 38.213, i.e.</w:t>
            </w:r>
          </w:p>
          <w:p>
            <w:pPr>
              <w:widowControl w:val="0"/>
              <w:rPr>
                <w:rFonts w:eastAsia="等线"/>
                <w:color w:val="FF0000"/>
                <w:lang w:val="en-GB"/>
              </w:rPr>
            </w:pPr>
            <w:r>
              <w:rPr>
                <w:rFonts w:hint="eastAsia"/>
                <w:lang w:eastAsia="zh-CN"/>
              </w:rPr>
              <w:t>T</w:t>
            </w:r>
            <w:r>
              <w:rPr>
                <w:lang w:eastAsia="zh-CN"/>
              </w:rPr>
              <w:t xml:space="preserve">P#4: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r>
              <w:rPr>
                <w:rFonts w:eastAsia="等线"/>
                <w:i/>
                <w:lang w:val="en-GB"/>
              </w:rPr>
              <w:t>ssb-PositionsInBurst</w:t>
            </w:r>
            <w:r>
              <w:rPr>
                <w:rFonts w:eastAsia="等线"/>
                <w:lang w:val="en-GB"/>
              </w:rPr>
              <w:t xml:space="preserve"> </w:t>
            </w:r>
            <w:r>
              <w:rPr>
                <w:rFonts w:eastAsia="等线"/>
                <w:color w:val="FF0000"/>
                <w:lang w:val="en-GB"/>
              </w:rPr>
              <w:t>as described in Clause 4.1 of [6, TS 38.213].</w:t>
            </w:r>
          </w:p>
          <w:p>
            <w:pPr>
              <w:widowControl w:val="0"/>
              <w:rPr>
                <w:rFonts w:eastAsia="等线"/>
                <w:color w:val="FF0000"/>
                <w:lang w:val="en-GB"/>
              </w:rPr>
            </w:pPr>
            <w:r>
              <w:rPr>
                <w:lang w:eastAsia="zh-CN"/>
              </w:rPr>
              <w:t xml:space="preserve">TP#5 and TP#6: SS/PBCH blocks with </w:t>
            </w:r>
            <w:r>
              <w:rPr>
                <w:color w:val="FF0000"/>
                <w:lang w:eastAsia="zh-CN"/>
              </w:rPr>
              <w:t xml:space="preserve">candidate SS/PBCH block indices corresponding to the SS/PBCH block </w:t>
            </w:r>
            <w:r>
              <w:rPr>
                <w:lang w:eastAsia="zh-CN"/>
              </w:rPr>
              <w:t xml:space="preserve">indices indicated to the UE by </w:t>
            </w:r>
            <w:r>
              <w:rPr>
                <w:rFonts w:eastAsia="等线"/>
                <w:i/>
                <w:lang w:val="en-GB"/>
              </w:rPr>
              <w:t>ssb-PositionsInBurst</w:t>
            </w:r>
            <w:r>
              <w:rPr>
                <w:lang w:eastAsia="zh-CN"/>
              </w:rPr>
              <w:t xml:space="preserve"> </w:t>
            </w:r>
            <w:r>
              <w:rPr>
                <w:rFonts w:eastAsia="等线"/>
                <w:color w:val="FF0000"/>
                <w:lang w:val="en-GB"/>
              </w:rPr>
              <w:t>as described in Clause 4.1 of [6, TS 38.213].</w:t>
            </w:r>
          </w:p>
          <w:p>
            <w:pPr>
              <w:widowControl w:val="0"/>
              <w:rPr>
                <w:lang w:eastAsia="zh-CN"/>
              </w:rPr>
            </w:pPr>
            <w:r>
              <w:rPr>
                <w:rFonts w:hint="eastAsia"/>
                <w:lang w:eastAsia="zh-CN"/>
              </w:rPr>
              <w:t>T</w:t>
            </w:r>
            <w:r>
              <w:rPr>
                <w:lang w:eastAsia="zh-CN"/>
              </w:rPr>
              <w:t>P#7: Support the TP. One minor revision below:</w:t>
            </w:r>
          </w:p>
          <w:p>
            <w:pPr>
              <w:widowControl w:val="0"/>
              <w:rPr>
                <w:lang w:eastAsia="zh-CN"/>
              </w:rPr>
            </w:pPr>
            <w:r>
              <w:rPr>
                <w:rFonts w:eastAsia="Malgun Gothic"/>
                <w:sz w:val="20"/>
                <w:szCs w:val="20"/>
                <w:lang w:val="en-GB" w:eastAsia="ja-JP"/>
              </w:rPr>
              <w:t xml:space="preserve">where the SS/PBCH block(s) </w:t>
            </w:r>
            <w:r>
              <w:rPr>
                <w:rFonts w:eastAsia="Malgun Gothic"/>
                <w:sz w:val="20"/>
                <w:szCs w:val="20"/>
                <w:lang w:val="en-GB" w:eastAsia="ko-KR"/>
              </w:rPr>
              <w:t>have candidate SS/PBCH block ind</w:t>
            </w:r>
            <w:r>
              <w:rPr>
                <w:rFonts w:eastAsia="Malgun Gothic"/>
                <w:strike/>
                <w:color w:val="FF0000"/>
                <w:sz w:val="20"/>
                <w:szCs w:val="20"/>
                <w:lang w:val="en-GB" w:eastAsia="ko-KR"/>
              </w:rPr>
              <w:t>ex</w:t>
            </w:r>
            <w:r>
              <w:rPr>
                <w:rFonts w:eastAsia="Malgun Gothic"/>
                <w:color w:val="FF0000"/>
                <w:sz w:val="20"/>
                <w:szCs w:val="20"/>
                <w:lang w:val="en-GB" w:eastAsia="ko-KR"/>
              </w:rPr>
              <w:t>ices</w:t>
            </w:r>
            <w:r>
              <w:rPr>
                <w:rFonts w:eastAsia="Malgun Gothic"/>
                <w:sz w:val="20"/>
                <w:szCs w:val="20"/>
                <w:lang w:val="en-GB" w:eastAsia="ko-KR"/>
              </w:rPr>
              <w:t xml:space="preserve"> corresponding to SS/PBCH block index provided by </w:t>
            </w:r>
            <w:r>
              <w:rPr>
                <w:rFonts w:eastAsia="Malgun Gothic"/>
                <w:i/>
                <w:sz w:val="20"/>
                <w:szCs w:val="20"/>
                <w:lang w:val="en-GB" w:eastAsia="ko-KR"/>
              </w:rPr>
              <w:t>ssb-Index</w:t>
            </w:r>
            <w:r>
              <w:rPr>
                <w:rFonts w:eastAsia="Malgun Gothic"/>
                <w:sz w:val="20"/>
                <w:szCs w:val="20"/>
                <w:lang w:val="en-GB" w:eastAsia="ja-JP"/>
              </w:rPr>
              <w:t>.</w:t>
            </w:r>
          </w:p>
          <w:p>
            <w:pPr>
              <w:widowControl w:val="0"/>
              <w:rPr>
                <w:rFonts w:eastAsia="等线"/>
                <w:color w:val="FF0000"/>
                <w:lang w:val="en-GB" w:eastAsia="zh-CN"/>
              </w:rPr>
            </w:pPr>
            <w:r>
              <w:rPr>
                <w:rFonts w:hint="eastAsia"/>
                <w:lang w:eastAsia="zh-CN"/>
              </w:rPr>
              <w:t>T</w:t>
            </w:r>
            <w:r>
              <w:rPr>
                <w:lang w:eastAsia="zh-CN"/>
              </w:rPr>
              <w:t>P#8, 9 ,10, 11: OK with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eastAsia="Malgun Gothic"/>
                <w:lang w:eastAsia="ko-KR"/>
              </w:rPr>
            </w:pPr>
            <w:r>
              <w:rPr>
                <w:rFonts w:hint="eastAsia" w:eastAsia="Malgun Gothic"/>
                <w:lang w:eastAsia="ko-KR"/>
              </w:rPr>
              <w:t>LG Electronics</w:t>
            </w:r>
          </w:p>
        </w:tc>
        <w:tc>
          <w:tcPr>
            <w:tcW w:w="6432" w:type="dxa"/>
          </w:tcPr>
          <w:p>
            <w:pPr>
              <w:widowControl w:val="0"/>
              <w:rPr>
                <w:rFonts w:eastAsia="Malgun Gothic"/>
                <w:lang w:eastAsia="ko-KR"/>
              </w:rPr>
            </w:pPr>
            <w:r>
              <w:rPr>
                <w:rFonts w:hint="eastAsia" w:eastAsia="Malgun Gothic"/>
                <w:lang w:eastAsia="ko-KR"/>
              </w:rPr>
              <w:t>TP#3: Support</w:t>
            </w:r>
          </w:p>
          <w:p>
            <w:pPr>
              <w:widowControl w:val="0"/>
              <w:rPr>
                <w:rFonts w:eastAsia="Malgun Gothic"/>
                <w:lang w:eastAsia="ko-KR"/>
              </w:rPr>
            </w:pPr>
            <w:r>
              <w:rPr>
                <w:rFonts w:eastAsia="Malgun Gothic"/>
                <w:lang w:eastAsia="ko-KR"/>
              </w:rPr>
              <w:t>TP#4: Not necessary</w:t>
            </w:r>
          </w:p>
          <w:p>
            <w:pPr>
              <w:widowControl w:val="0"/>
              <w:rPr>
                <w:rFonts w:eastAsia="Malgun Gothic"/>
                <w:lang w:eastAsia="ko-KR"/>
              </w:rPr>
            </w:pPr>
            <w:r>
              <w:rPr>
                <w:rFonts w:eastAsia="Malgun Gothic"/>
                <w:lang w:eastAsia="ko-KR"/>
              </w:rPr>
              <w:t>TP#5 and TP#6: The intention can be understood, can we modify such as “</w:t>
            </w:r>
            <w:r>
              <w:rPr>
                <w:rFonts w:eastAsia="等线"/>
                <w:sz w:val="20"/>
                <w:szCs w:val="20"/>
              </w:rPr>
              <w:t>F</w:t>
            </w:r>
            <w:r>
              <w:rPr>
                <w:rFonts w:eastAsia="等线"/>
                <w:sz w:val="20"/>
                <w:szCs w:val="20"/>
                <w:lang w:val="en-GB"/>
              </w:rPr>
              <w:t xml:space="preserve">or a set of symbols </w:t>
            </w:r>
            <w:r>
              <w:rPr>
                <w:rFonts w:eastAsia="等线"/>
                <w:sz w:val="20"/>
                <w:szCs w:val="20"/>
              </w:rPr>
              <w:t>of</w:t>
            </w:r>
            <w:r>
              <w:rPr>
                <w:rFonts w:eastAsia="等线"/>
                <w:sz w:val="20"/>
                <w:szCs w:val="20"/>
                <w:lang w:val="en-GB"/>
              </w:rPr>
              <w:t xml:space="preserve"> a slot corresponding to </w:t>
            </w:r>
            <w:ins w:id="35" w:author="김선욱/책임연구원/미래기술센터 C&amp;M표준(연)5G무선통신표준Task(seonwook.kim@lge.com)" w:date="2020-05-26T18:24:00Z">
              <w:r>
                <w:rPr>
                  <w:rFonts w:eastAsia="等线"/>
                  <w:sz w:val="20"/>
                  <w:szCs w:val="20"/>
                  <w:lang w:val="en-GB"/>
                </w:rPr>
                <w:t xml:space="preserve">candidate </w:t>
              </w:r>
            </w:ins>
            <w:r>
              <w:rPr>
                <w:rFonts w:eastAsia="等线"/>
                <w:sz w:val="20"/>
                <w:szCs w:val="20"/>
                <w:lang w:val="en-GB"/>
              </w:rPr>
              <w:t xml:space="preserve">SS/PBCH blocks with indices indicated to a UE by </w:t>
            </w:r>
            <w:r>
              <w:rPr>
                <w:rFonts w:eastAsia="等线"/>
                <w:i/>
                <w:sz w:val="20"/>
                <w:szCs w:val="20"/>
                <w:lang w:val="en-GB"/>
              </w:rPr>
              <w:t>ssb-PositionsInBurst</w:t>
            </w:r>
            <w:r>
              <w:rPr>
                <w:rFonts w:eastAsia="等线"/>
                <w:sz w:val="20"/>
                <w:szCs w:val="20"/>
                <w:lang w:val="en-GB"/>
              </w:rPr>
              <w:t xml:space="preserve"> </w:t>
            </w:r>
            <w:r>
              <w:rPr>
                <w:rFonts w:eastAsia="等线"/>
                <w:sz w:val="20"/>
                <w:szCs w:val="20"/>
              </w:rPr>
              <w:t xml:space="preserve">in </w:t>
            </w:r>
            <w:r>
              <w:rPr>
                <w:rFonts w:eastAsia="等线"/>
                <w:i/>
                <w:sz w:val="20"/>
                <w:szCs w:val="20"/>
                <w:lang w:val="en-GB"/>
              </w:rPr>
              <w:t>SIB1</w:t>
            </w:r>
            <w:r>
              <w:rPr>
                <w:rFonts w:eastAsia="Malgun Gothic"/>
                <w:lang w:eastAsia="ko-KR"/>
              </w:rPr>
              <w:t>”?</w:t>
            </w:r>
          </w:p>
          <w:p>
            <w:pPr>
              <w:widowControl w:val="0"/>
              <w:rPr>
                <w:rFonts w:eastAsia="Malgun Gothic"/>
                <w:lang w:eastAsia="ko-KR"/>
              </w:rPr>
            </w:pPr>
            <w:r>
              <w:rPr>
                <w:rFonts w:eastAsia="Malgun Gothic"/>
                <w:lang w:eastAsia="ko-KR"/>
              </w:rPr>
              <w:t>TP#7: Support with vivo’s modification</w:t>
            </w:r>
          </w:p>
          <w:p>
            <w:pPr>
              <w:widowControl w:val="0"/>
              <w:rPr>
                <w:rFonts w:eastAsia="Malgun Gothic"/>
                <w:lang w:eastAsia="ko-KR"/>
              </w:rPr>
            </w:pPr>
            <w:r>
              <w:rPr>
                <w:rFonts w:hint="eastAsia" w:eastAsia="Malgun Gothic"/>
                <w:lang w:eastAsia="ko-KR"/>
              </w:rPr>
              <w:t xml:space="preserve">TP#8/9/10/11: </w:t>
            </w: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Spreadtrum</w:t>
            </w:r>
          </w:p>
        </w:tc>
        <w:tc>
          <w:tcPr>
            <w:tcW w:w="6432" w:type="dxa"/>
          </w:tcPr>
          <w:p>
            <w:pPr>
              <w:widowControl w:val="0"/>
              <w:rPr>
                <w:lang w:eastAsia="zh-CN"/>
              </w:rPr>
            </w:pPr>
            <w:r>
              <w:rPr>
                <w:lang w:eastAsia="zh-CN"/>
              </w:rPr>
              <w:t xml:space="preserve">Basically agree with Samsung. For TP#4, for now we don’t have “the index of the SS/PBCH block”, so it is just for alignment as editorial.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hint="default"/>
                <w:lang w:val="en-US" w:eastAsia="zh-CN"/>
              </w:rPr>
            </w:pPr>
            <w:r>
              <w:rPr>
                <w:rFonts w:hint="eastAsia"/>
                <w:lang w:val="en-US" w:eastAsia="zh-CN"/>
              </w:rPr>
              <w:t>ZTE</w:t>
            </w:r>
          </w:p>
        </w:tc>
        <w:tc>
          <w:tcPr>
            <w:tcW w:w="6432" w:type="dxa"/>
          </w:tcPr>
          <w:p>
            <w:pPr>
              <w:widowControl w:val="0"/>
              <w:rPr>
                <w:rFonts w:eastAsia="Malgun Gothic"/>
                <w:lang w:eastAsia="ko-KR"/>
              </w:rPr>
            </w:pPr>
            <w:r>
              <w:rPr>
                <w:rFonts w:hint="eastAsia" w:eastAsia="Malgun Gothic"/>
                <w:lang w:eastAsia="ko-KR"/>
              </w:rPr>
              <w:t>TP#3: Support</w:t>
            </w:r>
          </w:p>
          <w:p>
            <w:pPr>
              <w:widowControl w:val="0"/>
              <w:rPr>
                <w:rFonts w:hint="eastAsia"/>
                <w:lang w:val="en-US" w:eastAsia="zh-CN"/>
              </w:rPr>
            </w:pPr>
            <w:r>
              <w:rPr>
                <w:rFonts w:eastAsia="Malgun Gothic"/>
                <w:lang w:eastAsia="ko-KR"/>
              </w:rPr>
              <w:t>TP#4</w:t>
            </w:r>
            <w:r>
              <w:rPr>
                <w:rFonts w:hint="eastAsia"/>
                <w:lang w:val="en-US" w:eastAsia="zh-CN"/>
              </w:rPr>
              <w:t>, TP#5 and TP#6: They could be use the same format of modification:</w:t>
            </w:r>
          </w:p>
          <w:p>
            <w:pPr>
              <w:widowControl w:val="0"/>
              <w:rPr>
                <w:rFonts w:hint="default"/>
                <w:lang w:val="en-US" w:eastAsia="zh-CN"/>
              </w:rPr>
            </w:pPr>
            <w:r>
              <w:rPr>
                <w:rFonts w:hint="eastAsia"/>
                <w:lang w:val="en-US" w:eastAsia="zh-CN"/>
              </w:rPr>
              <w:t xml:space="preserve">The SS/PBCH block is the candidate SS/PBCH block(s) corresponding to the SS/PBCH index provided by </w:t>
            </w:r>
            <w:r>
              <w:rPr>
                <w:rFonts w:hint="eastAsia"/>
                <w:i/>
                <w:iCs/>
                <w:lang w:val="en-US" w:eastAsia="zh-CN"/>
              </w:rPr>
              <w:t>ssb-PositionInBurst</w:t>
            </w:r>
            <w:r>
              <w:rPr>
                <w:rFonts w:hint="eastAsia"/>
                <w:lang w:val="en-US" w:eastAsia="zh-CN"/>
              </w:rPr>
              <w:t xml:space="preserve"> in SIB1 or in </w:t>
            </w:r>
            <w:r>
              <w:rPr>
                <w:rFonts w:hint="eastAsia"/>
                <w:i/>
                <w:iCs/>
                <w:lang w:val="en-US" w:eastAsia="zh-CN"/>
              </w:rPr>
              <w:t>ServingCellConfigCommon</w:t>
            </w:r>
            <w:r>
              <w:rPr>
                <w:rFonts w:hint="eastAsia"/>
                <w:lang w:val="en-US" w:eastAsia="zh-CN"/>
              </w:rPr>
              <w:t>.</w:t>
            </w:r>
          </w:p>
          <w:p>
            <w:pPr>
              <w:widowControl w:val="0"/>
              <w:rPr>
                <w:rFonts w:hint="eastAsia"/>
                <w:lang w:val="en-US" w:eastAsia="zh-CN"/>
              </w:rPr>
            </w:pPr>
            <w:r>
              <w:rPr>
                <w:rFonts w:hint="eastAsia"/>
                <w:lang w:val="en-US" w:eastAsia="zh-CN"/>
              </w:rPr>
              <w:t>TP#7: Support.</w:t>
            </w:r>
          </w:p>
          <w:p>
            <w:pPr>
              <w:widowControl w:val="0"/>
              <w:rPr>
                <w:rFonts w:hint="default"/>
                <w:lang w:val="en-US" w:eastAsia="zh-CN"/>
              </w:rPr>
            </w:pPr>
            <w:r>
              <w:rPr>
                <w:rFonts w:hint="eastAsia"/>
                <w:lang w:eastAsia="zh-CN"/>
              </w:rPr>
              <w:t>T</w:t>
            </w:r>
            <w:r>
              <w:rPr>
                <w:lang w:eastAsia="zh-CN"/>
              </w:rPr>
              <w:t>P#8, 9 ,10, 11: OK with the clarification</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
      <w:pPr>
        <w:pStyle w:val="4"/>
        <w:rPr>
          <w:lang w:eastAsia="zh-CN"/>
        </w:rPr>
      </w:pPr>
      <w:r>
        <w:rPr>
          <w:lang w:eastAsia="zh-CN"/>
        </w:rPr>
        <w:t>(#2.5)</w:t>
      </w:r>
    </w:p>
    <w:p>
      <w:pPr>
        <w:rPr>
          <w:lang w:eastAsia="zh-CN"/>
        </w:rPr>
      </w:pPr>
      <w:r>
        <w:rPr>
          <w:b/>
          <w:lang w:eastAsia="zh-CN"/>
        </w:rPr>
        <w:t>Description</w:t>
      </w:r>
      <w:r>
        <w:rPr>
          <w:lang w:eastAsia="zh-CN"/>
        </w:rPr>
        <w:t xml:space="preserve">: </w:t>
      </w:r>
      <w:r>
        <w:t xml:space="preserve">Add “The maximum number of transmitted SS/PBCH blocks within a discovery burst transmission window is 8.” to TS 38.213 Clause 4.1 </w:t>
      </w:r>
      <w:r>
        <w:fldChar w:fldCharType="begin"/>
      </w:r>
      <w:r>
        <w:instrText xml:space="preserve"> REF _Ref41316722 \r \h </w:instrText>
      </w:r>
      <w:r>
        <w:fldChar w:fldCharType="separate"/>
      </w:r>
      <w:r>
        <w:t>[4]</w:t>
      </w:r>
      <w:r>
        <w:fldChar w:fldCharType="end"/>
      </w:r>
      <w:r>
        <w:t>.</w:t>
      </w:r>
    </w:p>
    <w:p>
      <w:pPr>
        <w:rPr>
          <w:lang w:eastAsia="zh-CN"/>
        </w:rPr>
      </w:pPr>
    </w:p>
    <w:p>
      <w:pPr>
        <w:rPr>
          <w:color w:val="FF0000"/>
        </w:rPr>
      </w:pPr>
      <w:r>
        <w:rPr>
          <w:color w:val="FF0000"/>
        </w:rPr>
        <w:t>==================== Start of TP#12 for Clause 4.1 of TS 38.213 =======================</w:t>
      </w:r>
    </w:p>
    <w:p>
      <w:pPr>
        <w:rPr>
          <w:color w:val="FF0000"/>
          <w:lang w:eastAsia="zh-CN"/>
        </w:rPr>
      </w:pPr>
      <w:r>
        <w:rPr>
          <w:color w:val="FF0000"/>
          <w:lang w:eastAsia="zh-CN"/>
        </w:rPr>
        <w:t>*** Unchanged text is omitted ***</w:t>
      </w:r>
    </w:p>
    <w:p>
      <w:pPr>
        <w:spacing w:after="160" w:line="259" w:lineRule="auto"/>
        <w:rPr>
          <w:iCs/>
        </w:rPr>
      </w:pPr>
      <w:r>
        <w:t xml:space="preserve">The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ctrlPr>
                  <w:rPr>
                    <w:rFonts w:ascii="Cambria Math" w:hAnsi="Cambria Math"/>
                    <w:i/>
                  </w:rPr>
                </m:ctrlPr>
              </m:e>
            </m:bar>
            <m:ctrlPr>
              <w:rPr>
                <w:rFonts w:ascii="Cambria Math" w:hAnsi="Cambria Math"/>
                <w:i/>
              </w:rPr>
            </m:ctrlPr>
          </m:e>
          <m:sub>
            <m:r>
              <w:rPr>
                <w:rFonts w:ascii="Cambria Math"/>
              </w:rPr>
              <m:t>max</m:t>
            </m:r>
            <m:ctrlPr>
              <w:rPr>
                <w:rFonts w:ascii="Cambria Math" w:hAnsi="Cambria Math"/>
                <w:i/>
              </w:rPr>
            </m:ctrlP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ctrlPr>
                  <w:rPr>
                    <w:rFonts w:ascii="Cambria Math" w:hAnsi="Cambria Math"/>
                    <w:i/>
                    <w:iCs/>
                    <w:sz w:val="24"/>
                    <w:szCs w:val="24"/>
                    <w:lang w:eastAsia="ko-KR"/>
                  </w:rPr>
                </m:ctrlPr>
              </m:e>
            </m:bar>
            <m:ctrlPr>
              <w:rPr>
                <w:rFonts w:ascii="Cambria Math" w:hAnsi="Cambria Math"/>
                <w:i/>
                <w:iCs/>
                <w:sz w:val="24"/>
                <w:szCs w:val="24"/>
                <w:lang w:eastAsia="ko-KR"/>
              </w:rPr>
            </m:ctrlPr>
          </m:e>
          <m:sub>
            <m:r>
              <w:rPr>
                <w:rFonts w:ascii="Cambria Math" w:hAnsi="Cambria Math"/>
                <w:lang w:eastAsia="ko-KR"/>
              </w:rPr>
              <m:t>max</m:t>
            </m:r>
            <m:ctrlPr>
              <w:rPr>
                <w:rFonts w:ascii="Cambria Math" w:hAnsi="Cambria Math"/>
                <w:i/>
                <w:iCs/>
                <w:sz w:val="24"/>
                <w:szCs w:val="24"/>
                <w:lang w:eastAsia="ko-KR"/>
              </w:rPr>
            </m:ctrlPr>
          </m:sub>
        </m:sSub>
      </m:oMath>
      <w:r>
        <w:rPr>
          <w:lang w:eastAsia="ko-KR"/>
        </w:rPr>
        <w:t xml:space="preserve"> is determined according to SS/PBCH block patterns for Cases A through E. </w:t>
      </w:r>
      <m:oMath>
        <m:sSub>
          <m:sSubPr>
            <m:ctrlPr>
              <w:rPr>
                <w:rFonts w:ascii="Cambria Math" w:hAnsi="Cambria Math"/>
                <w:i/>
                <w:iCs/>
                <w:sz w:val="24"/>
                <w:szCs w:val="24"/>
                <w:lang w:eastAsia="ko-KR"/>
              </w:rPr>
            </m:ctrlPr>
          </m:sSubPr>
          <m:e>
            <m:r>
              <w:rPr>
                <w:rFonts w:ascii="Cambria Math" w:hAnsi="Cambria Math"/>
                <w:lang w:eastAsia="ko-KR"/>
              </w:rPr>
              <m:t>L</m:t>
            </m:r>
            <m:ctrlPr>
              <w:rPr>
                <w:rFonts w:ascii="Cambria Math" w:hAnsi="Cambria Math"/>
                <w:i/>
                <w:iCs/>
                <w:sz w:val="24"/>
                <w:szCs w:val="24"/>
                <w:lang w:eastAsia="ko-KR"/>
              </w:rPr>
            </m:ctrlPr>
          </m:e>
          <m:sub>
            <m:r>
              <w:rPr>
                <w:rFonts w:ascii="Cambria Math" w:hAnsi="Cambria Math"/>
                <w:lang w:eastAsia="ko-KR"/>
              </w:rPr>
              <m:t>max</m:t>
            </m:r>
            <m:ctrlPr>
              <w:rPr>
                <w:rFonts w:ascii="Cambria Math" w:hAnsi="Cambria Math"/>
                <w:i/>
                <w:iCs/>
                <w:sz w:val="24"/>
                <w:szCs w:val="24"/>
                <w:lang w:eastAsia="ko-KR"/>
              </w:rPr>
            </m:ctrlPr>
          </m:sub>
        </m:sSub>
      </m:oMath>
      <w:r>
        <w:rPr>
          <w:lang w:eastAsia="ko-KR"/>
        </w:rPr>
        <w:t xml:space="preserve"> is a maximum number of SS/PBCH block indices in a cell, and</w:t>
      </w:r>
    </w:p>
    <w:p>
      <w:pPr>
        <w:pStyle w:val="43"/>
      </w:pPr>
      <w:r>
        <w:rPr>
          <w:iCs/>
        </w:rPr>
        <w:t>-</w:t>
      </w:r>
      <w:r>
        <w:rPr>
          <w:iCs/>
        </w:rPr>
        <w:tab/>
      </w:r>
      <w:r>
        <w:rPr>
          <w:iCs/>
        </w:rPr>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ctrlPr>
              <w:rPr>
                <w:rFonts w:ascii="Cambria Math" w:hAnsi="Cambria Math"/>
                <w:i/>
              </w:rPr>
            </m:ctrlPr>
          </m:e>
          <m:sub>
            <m:r>
              <w:rPr>
                <w:rFonts w:ascii="Cambria Math"/>
              </w:rPr>
              <m:t>max</m:t>
            </m:r>
            <m:ctrlPr>
              <w:rPr>
                <w:rFonts w:ascii="Cambria Math" w:hAnsi="Cambria Math"/>
                <w:i/>
              </w:rPr>
            </m:ctrlP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ctrlPr>
                  <w:rPr>
                    <w:rFonts w:ascii="Cambria Math" w:hAnsi="Cambria Math"/>
                    <w:i/>
                  </w:rPr>
                </m:ctrlPr>
              </m:e>
            </m:bar>
            <m:ctrlPr>
              <w:rPr>
                <w:rFonts w:ascii="Cambria Math" w:hAnsi="Cambria Math"/>
                <w:i/>
              </w:rPr>
            </m:ctrlPr>
          </m:e>
          <m:sub>
            <m:r>
              <w:rPr>
                <w:rFonts w:ascii="Cambria Math"/>
              </w:rPr>
              <m:t>max</m:t>
            </m:r>
            <m:ctrlPr>
              <w:rPr>
                <w:rFonts w:ascii="Cambria Math" w:hAnsi="Cambria Math"/>
                <w:i/>
              </w:rPr>
            </m:ctrlPr>
          </m:sub>
        </m:sSub>
      </m:oMath>
      <w:r>
        <w:rPr>
          <w:lang w:val="en-US"/>
        </w:rPr>
        <w:t xml:space="preserve"> </w:t>
      </w:r>
    </w:p>
    <w:p>
      <w:pPr>
        <w:pStyle w:val="43"/>
      </w:pPr>
      <w:r>
        <w:t>-</w:t>
      </w:r>
      <w:r>
        <w:tab/>
      </w:r>
      <w:r>
        <w:t>for operation with shared spectrum channel access,</w:t>
      </w:r>
      <w:r>
        <w:rPr>
          <w:lang w:val="en-US"/>
        </w:rPr>
        <w:t xml:space="preserve"> </w:t>
      </w:r>
      <m:oMath>
        <m:sSub>
          <m:sSubPr>
            <m:ctrlPr>
              <w:rPr>
                <w:rFonts w:ascii="Cambria Math" w:hAnsi="Cambria Math"/>
                <w:i/>
              </w:rPr>
            </m:ctrlPr>
          </m:sSubPr>
          <m:e>
            <m:r>
              <w:rPr>
                <w:rFonts w:ascii="Cambria Math" w:hAnsi="Cambria Math"/>
              </w:rPr>
              <m:t>L</m:t>
            </m:r>
            <m:ctrlPr>
              <w:rPr>
                <w:rFonts w:ascii="Cambria Math" w:hAnsi="Cambria Math"/>
                <w:i/>
              </w:rPr>
            </m:ctrlPr>
          </m:e>
          <m:sub>
            <m:r>
              <w:rPr>
                <w:rFonts w:ascii="Cambria Math"/>
              </w:rPr>
              <m:t>max</m:t>
            </m:r>
            <m:ctrlPr>
              <w:rPr>
                <w:rFonts w:ascii="Cambria Math" w:hAnsi="Cambria Math"/>
                <w:i/>
              </w:rPr>
            </m:ctrlPr>
          </m:sub>
        </m:sSub>
        <m:r>
          <w:rPr>
            <w:rFonts w:ascii="Cambria Math" w:hAnsi="Cambria Math"/>
          </w:rPr>
          <m:t>=8</m:t>
        </m:r>
      </m:oMath>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ctrlPr>
                  <w:rPr>
                    <w:rFonts w:ascii="Cambria Math" w:hAnsi="Cambria Math"/>
                    <w:i/>
                  </w:rPr>
                </m:ctrlPr>
              </m:e>
            </m:bar>
            <m:ctrlPr>
              <w:rPr>
                <w:rFonts w:ascii="Cambria Math" w:hAnsi="Cambria Math"/>
                <w:i/>
              </w:rPr>
            </m:ctrlPr>
          </m:e>
          <m:sub>
            <m:r>
              <w:rPr>
                <w:rFonts w:ascii="Cambria Math"/>
              </w:rPr>
              <m:t>max</m:t>
            </m:r>
            <m:ctrlPr>
              <w:rPr>
                <w:rFonts w:ascii="Cambria Math" w:hAnsi="Cambria Math"/>
                <w:i/>
              </w:rPr>
            </m:ctrlPr>
          </m:sub>
        </m:sSub>
        <m:r>
          <w:rPr>
            <w:rFonts w:ascii="Cambria Math"/>
          </w:rPr>
          <m:t>=10</m:t>
        </m:r>
      </m:oMath>
      <w:r>
        <w:t xml:space="preserve"> </w:t>
      </w:r>
      <w:r>
        <w:rPr>
          <w:lang w:val="en-US"/>
        </w:rPr>
        <w:t>and</w:t>
      </w:r>
      <w:r>
        <w:t xml:space="preserve"> 15 kHz SCS of SS/PBCH blocks and</w:t>
      </w:r>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ctrlPr>
                  <w:rPr>
                    <w:rFonts w:ascii="Cambria Math" w:hAnsi="Cambria Math"/>
                    <w:i/>
                  </w:rPr>
                </m:ctrlPr>
              </m:e>
            </m:bar>
            <m:ctrlPr>
              <w:rPr>
                <w:rFonts w:ascii="Cambria Math" w:hAnsi="Cambria Math"/>
                <w:i/>
              </w:rPr>
            </m:ctrlPr>
          </m:e>
          <m:sub>
            <m:r>
              <w:rPr>
                <w:rFonts w:ascii="Cambria Math"/>
              </w:rPr>
              <m:t>max</m:t>
            </m:r>
            <m:ctrlPr>
              <w:rPr>
                <w:rFonts w:ascii="Cambria Math" w:hAnsi="Cambria Math"/>
                <w:i/>
              </w:rPr>
            </m:ctrlPr>
          </m:sub>
        </m:sSub>
        <m:r>
          <w:rPr>
            <w:rFonts w:ascii="Cambria Math"/>
          </w:rPr>
          <m:t>=20</m:t>
        </m:r>
      </m:oMath>
      <w:r>
        <w:t xml:space="preserve"> </w:t>
      </w:r>
      <w:r>
        <w:rPr>
          <w:lang w:val="en-US"/>
        </w:rPr>
        <w:t>and</w:t>
      </w:r>
      <w:r>
        <w:t xml:space="preserve"> 30 kHz SCS of SS/PBCH blocks</w:t>
      </w:r>
      <w:ins w:id="36" w:author="CW Tsai (蔡秋薇)" w:date="2020-05-15T15:35:00Z">
        <w:r>
          <w:rPr/>
          <w:t xml:space="preserve">. The </w:t>
        </w:r>
      </w:ins>
      <w:ins w:id="37" w:author="CW Tsai (蔡秋薇)" w:date="2020-05-15T15:37:00Z">
        <w:r>
          <w:rPr/>
          <w:t xml:space="preserve">maximum </w:t>
        </w:r>
      </w:ins>
      <w:ins w:id="38" w:author="CW Tsai (蔡秋薇)" w:date="2020-05-15T15:35:00Z">
        <w:r>
          <w:rPr/>
          <w:t xml:space="preserve">number of transmitted SS/PBCH blocks </w:t>
        </w:r>
      </w:ins>
      <w:ins w:id="39" w:author="CW Tsai (蔡秋薇)" w:date="2020-05-15T15:36:00Z">
        <w:r>
          <w:rPr/>
          <w:t xml:space="preserve">within a discovery burst transmission window is 8. </w:t>
        </w:r>
      </w:ins>
      <w:r>
        <w:t xml:space="preserve"> </w:t>
      </w:r>
    </w:p>
    <w:p>
      <w:pPr>
        <w:spacing w:after="160" w:line="259" w:lineRule="auto"/>
      </w:pPr>
      <w:r>
        <w:t xml:space="preserve">For </w:t>
      </w:r>
      <m:oMath>
        <m:sSub>
          <m:sSubPr>
            <m:ctrlPr>
              <w:rPr>
                <w:rFonts w:ascii="Cambria Math" w:hAnsi="Cambria Math"/>
                <w:i/>
              </w:rPr>
            </m:ctrlPr>
          </m:sSubPr>
          <m:e>
            <m:bar>
              <m:barPr>
                <m:pos m:val="top"/>
                <m:ctrlPr>
                  <w:rPr>
                    <w:rFonts w:ascii="Cambria Math" w:hAnsi="Cambria Math"/>
                    <w:i/>
                  </w:rPr>
                </m:ctrlPr>
              </m:barPr>
              <m:e>
                <m:r>
                  <w:rPr>
                    <w:rFonts w:ascii="Cambria Math"/>
                  </w:rPr>
                  <m:t>L</m:t>
                </m:r>
                <m:ctrlPr>
                  <w:rPr>
                    <w:rFonts w:ascii="Cambria Math" w:hAnsi="Cambria Math"/>
                    <w:i/>
                  </w:rPr>
                </m:ctrlPr>
              </m:e>
            </m:bar>
            <m:ctrlPr>
              <w:rPr>
                <w:rFonts w:ascii="Cambria Math" w:hAnsi="Cambria Math"/>
                <w:i/>
              </w:rPr>
            </m:ctrlPr>
          </m:e>
          <m:sub>
            <m:r>
              <w:rPr>
                <w:rFonts w:ascii="Cambria Math"/>
              </w:rPr>
              <m:t>max</m:t>
            </m:r>
            <m:ctrlPr>
              <w:rPr>
                <w:rFonts w:ascii="Cambria Math" w:hAnsi="Cambria Math"/>
                <w:i/>
              </w:rPr>
            </m:ctrlPr>
          </m:sub>
        </m:sSub>
        <m:r>
          <w:rPr>
            <w:rFonts w:ascii="Cambria Math" w:hAnsi="Cambria Math"/>
          </w:rPr>
          <m:t>=4</m:t>
        </m:r>
      </m:oMath>
      <w:r>
        <w:t xml:space="preserve">, a UE determines the 2 LSB bits of a candidate </w:t>
      </w:r>
      <w:r>
        <w:rPr>
          <w:lang w:eastAsia="ja-JP"/>
        </w:rPr>
        <w:t>SS/PBCH block index per half frame from a one-to-one mapping with an index of the DM-RS sequence transmitted in the PBCH</w:t>
      </w:r>
      <w:r>
        <w:t xml:space="preserve"> as described in [4, TS 38.211]</w:t>
      </w:r>
      <w:r>
        <w:rPr>
          <w:lang w:eastAsia="ja-JP"/>
        </w:rPr>
        <w:t>.</w:t>
      </w:r>
    </w:p>
    <w:p>
      <w:pPr>
        <w:rPr>
          <w:color w:val="FF0000"/>
          <w:lang w:eastAsia="zh-CN"/>
        </w:rPr>
      </w:pPr>
      <w:r>
        <w:rPr>
          <w:color w:val="FF0000"/>
          <w:lang w:eastAsia="zh-CN"/>
        </w:rPr>
        <w:t>*** Unchanged text is omitted ***</w:t>
      </w:r>
    </w:p>
    <w:p>
      <w:r>
        <w:rPr>
          <w:color w:val="FF0000"/>
        </w:rPr>
        <w:t>================================== End of TP#12 ============================</w:t>
      </w:r>
      <w:r>
        <w:t xml:space="preserve">   </w:t>
      </w:r>
    </w:p>
    <w:p/>
    <w:tbl>
      <w:tblPr>
        <w:tblStyle w:val="32"/>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 xml:space="preserve">Understand the intention. One suggested TP to be genetic to both licensed and unlicensed bands as follow (current TP seems leaving actually transmitted SSB open for licensed band). </w:t>
            </w:r>
          </w:p>
          <w:p>
            <w:pPr>
              <w:widowControl w:val="0"/>
              <w:rPr>
                <w:lang w:eastAsia="zh-CN"/>
              </w:rPr>
            </w:pPr>
            <w:r>
              <w:rPr>
                <w:lang w:eastAsia="zh-CN"/>
              </w:rPr>
              <w:t xml:space="preserve"> </w:t>
            </w:r>
            <m:oMath>
              <m:sSub>
                <m:sSubPr>
                  <m:ctrlPr>
                    <w:rPr>
                      <w:rFonts w:ascii="Cambria Math" w:hAnsi="Cambria Math"/>
                      <w:i/>
                      <w:iCs/>
                      <w:sz w:val="24"/>
                      <w:szCs w:val="24"/>
                      <w:lang w:eastAsia="ko-KR"/>
                    </w:rPr>
                  </m:ctrlPr>
                </m:sSubPr>
                <m:e>
                  <m:r>
                    <w:rPr>
                      <w:rFonts w:ascii="Cambria Math" w:hAnsi="Cambria Math"/>
                      <w:lang w:eastAsia="ko-KR"/>
                    </w:rPr>
                    <m:t>L</m:t>
                  </m:r>
                  <m:ctrlPr>
                    <w:rPr>
                      <w:rFonts w:ascii="Cambria Math" w:hAnsi="Cambria Math"/>
                      <w:i/>
                      <w:iCs/>
                      <w:sz w:val="24"/>
                      <w:szCs w:val="24"/>
                      <w:lang w:eastAsia="ko-KR"/>
                    </w:rPr>
                  </m:ctrlPr>
                </m:e>
                <m:sub>
                  <m:r>
                    <w:rPr>
                      <w:rFonts w:ascii="Cambria Math" w:hAnsi="Cambria Math"/>
                      <w:lang w:eastAsia="ko-KR"/>
                    </w:rPr>
                    <m:t>max</m:t>
                  </m:r>
                  <m:ctrlPr>
                    <w:rPr>
                      <w:rFonts w:ascii="Cambria Math" w:hAnsi="Cambria Math"/>
                      <w:i/>
                      <w:iCs/>
                      <w:sz w:val="24"/>
                      <w:szCs w:val="24"/>
                      <w:lang w:eastAsia="ko-KR"/>
                    </w:rPr>
                  </m:ctrlPr>
                </m:sub>
              </m:sSub>
            </m:oMath>
            <w:r>
              <w:rPr>
                <w:lang w:eastAsia="ko-KR"/>
              </w:rPr>
              <w:t xml:space="preserve"> is a maximum number of SS/PBCH block indices in a cell, and </w:t>
            </w:r>
            <w:r>
              <w:rPr>
                <w:color w:val="FF0000"/>
                <w:lang w:eastAsia="ko-KR"/>
              </w:rPr>
              <w:t xml:space="preserve">the maximum number of transmitted SS/PBCH blocks within a half frame is </w:t>
            </w:r>
            <m:oMath>
              <m:sSub>
                <m:sSubPr>
                  <m:ctrlPr>
                    <w:rPr>
                      <w:rFonts w:ascii="Cambria Math" w:hAnsi="Cambria Math"/>
                      <w:i/>
                      <w:iCs/>
                      <w:color w:val="FF0000"/>
                      <w:sz w:val="24"/>
                      <w:szCs w:val="24"/>
                      <w:lang w:eastAsia="ko-KR"/>
                    </w:rPr>
                  </m:ctrlPr>
                </m:sSubPr>
                <m:e>
                  <m:r>
                    <w:rPr>
                      <w:rFonts w:ascii="Cambria Math" w:hAnsi="Cambria Math"/>
                      <w:color w:val="FF0000"/>
                      <w:lang w:eastAsia="ko-KR"/>
                    </w:rPr>
                    <m:t>L</m:t>
                  </m:r>
                  <m:ctrlPr>
                    <w:rPr>
                      <w:rFonts w:ascii="Cambria Math" w:hAnsi="Cambria Math"/>
                      <w:i/>
                      <w:iCs/>
                      <w:color w:val="FF0000"/>
                      <w:sz w:val="24"/>
                      <w:szCs w:val="24"/>
                      <w:lang w:eastAsia="ko-KR"/>
                    </w:rPr>
                  </m:ctrlPr>
                </m:e>
                <m:sub>
                  <m:r>
                    <w:rPr>
                      <w:rFonts w:ascii="Cambria Math" w:hAnsi="Cambria Math"/>
                      <w:color w:val="FF0000"/>
                      <w:lang w:eastAsia="ko-KR"/>
                    </w:rPr>
                    <m:t>max</m:t>
                  </m:r>
                  <m:ctrlPr>
                    <w:rPr>
                      <w:rFonts w:ascii="Cambria Math" w:hAnsi="Cambria Math"/>
                      <w:i/>
                      <w:iCs/>
                      <w:color w:val="FF0000"/>
                      <w:sz w:val="24"/>
                      <w:szCs w:val="24"/>
                      <w:lang w:eastAsia="ko-KR"/>
                    </w:rPr>
                  </m:ctrlPr>
                </m:sub>
              </m:sSub>
            </m:oMath>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eastAsia="MS Mincho"/>
                <w:lang w:eastAsia="ja-JP"/>
              </w:rPr>
            </w:pPr>
            <w:r>
              <w:rPr>
                <w:rFonts w:hint="eastAsia" w:eastAsia="MS Mincho"/>
                <w:lang w:eastAsia="ja-JP"/>
              </w:rPr>
              <w:t>S</w:t>
            </w:r>
            <w:r>
              <w:rPr>
                <w:rFonts w:eastAsia="MS Mincho"/>
                <w:lang w:eastAsia="ja-JP"/>
              </w:rPr>
              <w:t>harp</w:t>
            </w:r>
          </w:p>
        </w:tc>
        <w:tc>
          <w:tcPr>
            <w:tcW w:w="6432" w:type="dxa"/>
          </w:tcPr>
          <w:p>
            <w:pPr>
              <w:widowControl w:val="0"/>
              <w:rPr>
                <w:rFonts w:eastAsia="MS Mincho"/>
                <w:lang w:eastAsia="ja-JP"/>
              </w:rPr>
            </w:pPr>
            <w:r>
              <w:rPr>
                <w:rFonts w:hint="eastAsia" w:eastAsia="MS Mincho"/>
                <w:lang w:eastAsia="ja-JP"/>
              </w:rPr>
              <w:t>W</w:t>
            </w:r>
            <w:r>
              <w:rPr>
                <w:rFonts w:eastAsia="MS Mincho"/>
                <w:lang w:eastAsia="ja-JP"/>
              </w:rPr>
              <w:t>e 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Vivo</w:t>
            </w:r>
          </w:p>
        </w:tc>
        <w:tc>
          <w:tcPr>
            <w:tcW w:w="6432" w:type="dxa"/>
          </w:tcPr>
          <w:p>
            <w:pPr>
              <w:widowControl w:val="0"/>
              <w:rPr>
                <w:lang w:eastAsia="zh-CN"/>
              </w:rPr>
            </w:pPr>
            <w:r>
              <w:rPr>
                <w:rFonts w:hint="eastAsia"/>
                <w:lang w:eastAsia="zh-CN"/>
              </w:rPr>
              <w:t>S</w:t>
            </w:r>
            <w:r>
              <w:rPr>
                <w:lang w:eastAsia="zh-CN"/>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eastAsia="Malgun Gothic"/>
                <w:lang w:eastAsia="ko-KR"/>
              </w:rPr>
            </w:pPr>
            <w:r>
              <w:rPr>
                <w:rFonts w:hint="eastAsia" w:eastAsia="Malgun Gothic"/>
                <w:lang w:eastAsia="ko-KR"/>
              </w:rPr>
              <w:t>LG Electronics</w:t>
            </w:r>
          </w:p>
        </w:tc>
        <w:tc>
          <w:tcPr>
            <w:tcW w:w="6432" w:type="dxa"/>
          </w:tcPr>
          <w:p>
            <w:pPr>
              <w:widowControl w:val="0"/>
              <w:rPr>
                <w:rFonts w:eastAsia="Malgun Gothic"/>
                <w:lang w:eastAsia="ko-KR"/>
              </w:rPr>
            </w:pPr>
            <w:r>
              <w:rPr>
                <w:rFonts w:hint="eastAsia" w:eastAsia="Malgun Gothic"/>
                <w:lang w:eastAsia="ko-KR"/>
              </w:rPr>
              <w:t xml:space="preserve">Support </w:t>
            </w:r>
            <w:r>
              <w:rPr>
                <w:rFonts w:eastAsia="Malgun Gothic"/>
                <w:lang w:eastAsia="ko-KR"/>
              </w:rPr>
              <w:t>TP#12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Spreadtrum</w:t>
            </w:r>
          </w:p>
        </w:tc>
        <w:tc>
          <w:tcPr>
            <w:tcW w:w="6432" w:type="dxa"/>
          </w:tcPr>
          <w:p>
            <w:pPr>
              <w:widowControl w:val="0"/>
              <w:rPr>
                <w:lang w:eastAsia="zh-CN"/>
              </w:rPr>
            </w:pPr>
            <w:r>
              <w:rPr>
                <w:iCs/>
                <w:sz w:val="24"/>
                <w:szCs w:val="24"/>
                <w:lang w:eastAsia="ko-KR"/>
              </w:rPr>
              <w:t>Does the sentence “</w:t>
            </w:r>
            <m:oMath>
              <m:sSub>
                <m:sSubPr>
                  <m:ctrlPr>
                    <w:rPr>
                      <w:rFonts w:ascii="Cambria Math" w:hAnsi="Cambria Math"/>
                      <w:i/>
                      <w:iCs/>
                      <w:sz w:val="24"/>
                      <w:szCs w:val="24"/>
                      <w:lang w:eastAsia="ko-KR"/>
                    </w:rPr>
                  </m:ctrlPr>
                </m:sSubPr>
                <m:e>
                  <m:r>
                    <w:rPr>
                      <w:rFonts w:ascii="Cambria Math" w:hAnsi="Cambria Math"/>
                      <w:lang w:eastAsia="ko-KR"/>
                    </w:rPr>
                    <m:t>L</m:t>
                  </m:r>
                  <m:ctrlPr>
                    <w:rPr>
                      <w:rFonts w:ascii="Cambria Math" w:hAnsi="Cambria Math"/>
                      <w:i/>
                      <w:iCs/>
                      <w:sz w:val="24"/>
                      <w:szCs w:val="24"/>
                      <w:lang w:eastAsia="ko-KR"/>
                    </w:rPr>
                  </m:ctrlPr>
                </m:e>
                <m:sub>
                  <m:r>
                    <w:rPr>
                      <w:rFonts w:ascii="Cambria Math" w:hAnsi="Cambria Math"/>
                      <w:lang w:eastAsia="ko-KR"/>
                    </w:rPr>
                    <m:t>max</m:t>
                  </m:r>
                  <m:ctrlPr>
                    <w:rPr>
                      <w:rFonts w:ascii="Cambria Math" w:hAnsi="Cambria Math"/>
                      <w:i/>
                      <w:iCs/>
                      <w:sz w:val="24"/>
                      <w:szCs w:val="24"/>
                      <w:lang w:eastAsia="ko-KR"/>
                    </w:rPr>
                  </m:ctrlPr>
                </m:sub>
              </m:sSub>
            </m:oMath>
            <w:r>
              <w:rPr>
                <w:lang w:eastAsia="ko-KR"/>
              </w:rPr>
              <w:t xml:space="preserve"> is a maximum number of SS/PBCH block indices in a cell” plus “</w:t>
            </w:r>
            <w:r>
              <w:t xml:space="preserve">for operation with shared spectrum channel access, </w:t>
            </w:r>
            <m:oMath>
              <m:sSub>
                <m:sSubPr>
                  <m:ctrlPr>
                    <w:rPr>
                      <w:rFonts w:ascii="Cambria Math" w:hAnsi="Cambria Math"/>
                      <w:i/>
                    </w:rPr>
                  </m:ctrlPr>
                </m:sSubPr>
                <m:e>
                  <m:r>
                    <w:rPr>
                      <w:rFonts w:ascii="Cambria Math" w:hAnsi="Cambria Math"/>
                    </w:rPr>
                    <m:t>L</m:t>
                  </m:r>
                  <m:ctrlPr>
                    <w:rPr>
                      <w:rFonts w:ascii="Cambria Math" w:hAnsi="Cambria Math"/>
                      <w:i/>
                    </w:rPr>
                  </m:ctrlPr>
                </m:e>
                <m:sub>
                  <m:r>
                    <w:rPr>
                      <w:rFonts w:ascii="Cambria Math"/>
                    </w:rPr>
                    <m:t>max</m:t>
                  </m:r>
                  <m:ctrlPr>
                    <w:rPr>
                      <w:rFonts w:ascii="Cambria Math" w:hAnsi="Cambria Math"/>
                      <w:i/>
                    </w:rPr>
                  </m:ctrlPr>
                </m:sub>
              </m:sSub>
              <m:r>
                <w:rPr>
                  <w:rFonts w:ascii="Cambria Math" w:hAnsi="Cambria Math"/>
                </w:rPr>
                <m:t>=8</m:t>
              </m:r>
            </m:oMath>
            <w:r>
              <w:t xml:space="preserve">” </w:t>
            </w:r>
            <w:r>
              <w:rPr>
                <w:lang w:eastAsia="ko-KR"/>
              </w:rPr>
              <w:t>cover the sentence to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hint="default"/>
                <w:lang w:val="en-US" w:eastAsia="zh-CN"/>
              </w:rPr>
            </w:pPr>
            <w:r>
              <w:rPr>
                <w:rFonts w:hint="eastAsia"/>
                <w:lang w:val="en-US" w:eastAsia="zh-CN"/>
              </w:rPr>
              <w:t>ZTE</w:t>
            </w:r>
          </w:p>
        </w:tc>
        <w:tc>
          <w:tcPr>
            <w:tcW w:w="6432" w:type="dxa"/>
          </w:tcPr>
          <w:p>
            <w:pPr>
              <w:widowControl w:val="0"/>
              <w:rPr>
                <w:rFonts w:hint="default"/>
                <w:lang w:val="en-US" w:eastAsia="zh-CN"/>
              </w:rPr>
            </w:pPr>
            <w:r>
              <w:rPr>
                <w:rFonts w:hint="eastAsia"/>
                <w:lang w:val="en-US" w:eastAsia="zh-CN"/>
              </w:rPr>
              <w:t>Although we still don</w:t>
            </w:r>
            <w:r>
              <w:rPr>
                <w:rFonts w:hint="default"/>
                <w:lang w:val="en-US" w:eastAsia="zh-CN"/>
              </w:rPr>
              <w:t>’</w:t>
            </w:r>
            <w:r>
              <w:rPr>
                <w:rFonts w:hint="eastAsia"/>
                <w:lang w:val="en-US" w:eastAsia="zh-CN"/>
              </w:rPr>
              <w:t>t think it</w:t>
            </w:r>
            <w:r>
              <w:rPr>
                <w:rFonts w:hint="default"/>
                <w:lang w:val="en-US" w:eastAsia="zh-CN"/>
              </w:rPr>
              <w:t>’</w:t>
            </w:r>
            <w:r>
              <w:rPr>
                <w:rFonts w:hint="eastAsia"/>
                <w:lang w:val="en-US" w:eastAsia="zh-CN"/>
              </w:rPr>
              <w:t>s necessary but it could be acceptable, we support TP#12.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hint="default"/>
                <w:lang w:val="en-US" w:eastAsia="zh-CN"/>
              </w:rPr>
            </w:pPr>
            <w:r>
              <w:rPr>
                <w:rFonts w:hint="eastAsia"/>
                <w:lang w:eastAsia="zh-CN"/>
              </w:rPr>
              <w:t xml:space="preserve"> </w:t>
            </w: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rPr>
          <w:lang w:eastAsia="zh-CN"/>
        </w:rPr>
      </w:pPr>
    </w:p>
    <w:p>
      <w:pPr>
        <w:pStyle w:val="3"/>
        <w:rPr>
          <w:lang w:eastAsia="zh-CN"/>
        </w:rPr>
      </w:pPr>
      <w:r>
        <w:rPr>
          <w:lang w:eastAsia="zh-CN"/>
        </w:rPr>
        <w:t>(#2.2, #2.6) Clarifications on PDSCH rate matching around SSBs</w:t>
      </w:r>
    </w:p>
    <w:p>
      <w:pPr>
        <w:rPr>
          <w:lang w:eastAsia="zh-CN"/>
        </w:rPr>
      </w:pPr>
    </w:p>
    <w:p>
      <w:pPr>
        <w:rPr>
          <w:rFonts w:eastAsia="Batang"/>
          <w:lang w:val="en-GB"/>
        </w:rPr>
      </w:pPr>
      <w:r>
        <w:rPr>
          <w:rFonts w:eastAsia="Batang"/>
          <w:b/>
          <w:lang w:val="en-GB"/>
        </w:rPr>
        <w:t xml:space="preserve">Proposal A: </w:t>
      </w:r>
      <w:r>
        <w:rPr>
          <w:rFonts w:eastAsia="Batang"/>
          <w:lang w:val="en-GB"/>
        </w:rPr>
        <w:t xml:space="preserve">UE performs rate-matching for all of SS/PBCH block candidate position indices (within configured DRS transmission window) QCLed with actually transmitted SS/PBCH block indices that are provided by </w:t>
      </w:r>
      <w:r>
        <w:rPr>
          <w:rFonts w:eastAsia="Batang"/>
          <w:i/>
          <w:lang w:val="en-GB"/>
        </w:rPr>
        <w:t>ssb-PositionsInBurst</w:t>
      </w:r>
      <w:r>
        <w:rPr>
          <w:rFonts w:eastAsia="Batang"/>
          <w:lang w:val="en-GB"/>
        </w:rPr>
        <w:t xml:space="preserve"> in RMSI </w:t>
      </w:r>
      <w:r>
        <w:rPr>
          <w:rFonts w:eastAsia="Batang"/>
          <w:lang w:val="en-GB"/>
        </w:rPr>
        <w:fldChar w:fldCharType="begin"/>
      </w:r>
      <w:r>
        <w:rPr>
          <w:rFonts w:eastAsia="Batang"/>
          <w:lang w:val="en-GB"/>
        </w:rPr>
        <w:instrText xml:space="preserve"> REF _Ref41326177 \r \h </w:instrText>
      </w:r>
      <w:r>
        <w:rPr>
          <w:rFonts w:eastAsia="Batang"/>
          <w:lang w:val="en-GB"/>
        </w:rPr>
        <w:fldChar w:fldCharType="separate"/>
      </w:r>
      <w:r>
        <w:rPr>
          <w:rFonts w:eastAsia="Batang"/>
          <w:lang w:val="en-GB"/>
        </w:rPr>
        <w:t>[10]</w:t>
      </w:r>
      <w:r>
        <w:rPr>
          <w:rFonts w:eastAsia="Batang"/>
          <w:lang w:val="en-GB"/>
        </w:rPr>
        <w:fldChar w:fldCharType="end"/>
      </w:r>
      <w:r>
        <w:rPr>
          <w:rFonts w:eastAsia="Batang"/>
          <w:lang w:val="en-GB"/>
        </w:rPr>
        <w:t>.</w:t>
      </w:r>
    </w:p>
    <w:p>
      <w:pPr>
        <w:rPr>
          <w:color w:val="FF0000"/>
        </w:rPr>
      </w:pPr>
      <w:r>
        <w:rPr>
          <w:color w:val="FF0000"/>
        </w:rPr>
        <w:t>==================== Start of TP#13 for Clause 5.1.4 of TS 38.214 =======================</w:t>
      </w:r>
    </w:p>
    <w:p>
      <w:pPr>
        <w:rPr>
          <w:b/>
          <w:sz w:val="24"/>
        </w:rPr>
      </w:pPr>
      <w:r>
        <w:rPr>
          <w:b/>
          <w:sz w:val="24"/>
        </w:rPr>
        <w:t>5.1.4</w:t>
      </w:r>
      <w:r>
        <w:rPr>
          <w:b/>
          <w:sz w:val="24"/>
        </w:rPr>
        <w:tab/>
      </w:r>
      <w:r>
        <w:rPr>
          <w:b/>
          <w:sz w:val="24"/>
        </w:rPr>
        <w:t>PDSCH resource mapping</w:t>
      </w:r>
    </w:p>
    <w:p>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scheduled with SI-RNTI and the system information indicator in DCI is set to 0</w:t>
      </w:r>
      <w:r>
        <w:rPr>
          <w:szCs w:val="20"/>
          <w:lang w:val="en-GB" w:eastAsia="zh-CN"/>
        </w:rPr>
        <w:t>, the UE shall assume that no SS/PBCH block is transmitted in REs used by the UE for a reception of the PDSCH.</w:t>
      </w:r>
    </w:p>
    <w:p>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 xml:space="preserve">scheduled with SI-RNTI and the system information indicator in DCI is set to 1, RA-RNTI, </w:t>
      </w:r>
      <w:r>
        <w:rPr>
          <w:rFonts w:eastAsia="Malgun Gothic"/>
          <w:color w:val="000000"/>
          <w:szCs w:val="20"/>
          <w:lang w:val="en-GB"/>
        </w:rPr>
        <w:t>MsgB-RNTI</w:t>
      </w:r>
      <w:r>
        <w:rPr>
          <w:rFonts w:eastAsia="Malgun Gothic"/>
          <w:sz w:val="16"/>
          <w:szCs w:val="16"/>
          <w:lang w:val="en-GB"/>
        </w:rPr>
        <w:t xml:space="preserve">, </w:t>
      </w:r>
      <w:r>
        <w:rPr>
          <w:color w:val="000000"/>
          <w:szCs w:val="20"/>
          <w:lang w:val="en-GB" w:eastAsia="zh-CN"/>
        </w:rPr>
        <w:t>P-RNTI or TC-RNTI</w:t>
      </w:r>
      <w:r>
        <w:rPr>
          <w:szCs w:val="20"/>
          <w:lang w:val="en-GB" w:eastAsia="zh-CN"/>
        </w:rPr>
        <w:t xml:space="preserve">, the UE assumes SS/PBCH block transmission according to </w:t>
      </w:r>
      <w:r>
        <w:rPr>
          <w:i/>
          <w:color w:val="000000"/>
          <w:szCs w:val="20"/>
          <w:lang w:val="en-GB" w:eastAsia="zh-CN"/>
        </w:rPr>
        <w:t>ssb-PositionsInBurst</w:t>
      </w:r>
      <w:r>
        <w:rPr>
          <w:szCs w:val="20"/>
          <w:lang w:val="en-GB" w:eastAsia="zh-CN"/>
        </w:rPr>
        <w:t xml:space="preserve">, and if the PDSCH resource allocation overlaps with PRBs containing SS/PBCH block transmission resources the UE shall assume that </w:t>
      </w:r>
      <w:r>
        <w:rPr>
          <w:color w:val="000000"/>
          <w:szCs w:val="20"/>
          <w:lang w:val="en-GB" w:eastAsia="zh-CN"/>
        </w:rPr>
        <w:t>the PRBs containing SS/PBCH block transmission resources are not available for PDSCH</w:t>
      </w:r>
      <w:r>
        <w:rPr>
          <w:szCs w:val="20"/>
          <w:lang w:val="en-GB" w:eastAsia="zh-CN"/>
        </w:rPr>
        <w:t xml:space="preserve"> in the OFDM symbols where SS/PBCH block is transmitted.</w:t>
      </w:r>
    </w:p>
    <w:p>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A UE expects a configuration provided by </w:t>
      </w:r>
      <w:r>
        <w:rPr>
          <w:rFonts w:eastAsia="Malgun Gothic"/>
          <w:i/>
          <w:color w:val="000000"/>
          <w:szCs w:val="20"/>
          <w:lang w:val="en-GB"/>
        </w:rPr>
        <w:t>ssb-PositionsInBurst</w:t>
      </w:r>
      <w:r>
        <w:rPr>
          <w:rFonts w:eastAsia="Malgun Gothic"/>
          <w:color w:val="000000"/>
          <w:szCs w:val="20"/>
          <w:lang w:val="en-GB"/>
        </w:rPr>
        <w:t xml:space="preserve"> in </w:t>
      </w:r>
      <w:r>
        <w:rPr>
          <w:rFonts w:eastAsia="Malgun Gothic"/>
          <w:i/>
          <w:color w:val="000000"/>
          <w:szCs w:val="20"/>
          <w:lang w:val="en-GB"/>
        </w:rPr>
        <w:t>ServingCellConfigCommon</w:t>
      </w:r>
      <w:r>
        <w:rPr>
          <w:rFonts w:eastAsia="Malgun Gothic"/>
          <w:color w:val="000000"/>
          <w:szCs w:val="20"/>
          <w:lang w:val="en-GB"/>
        </w:rPr>
        <w:t xml:space="preserve"> to be same as a configuration provided by </w:t>
      </w:r>
      <w:r>
        <w:rPr>
          <w:rFonts w:eastAsia="Malgun Gothic"/>
          <w:i/>
          <w:color w:val="000000"/>
          <w:szCs w:val="20"/>
          <w:lang w:val="en-GB"/>
        </w:rPr>
        <w:t>ssb-PositionsInBurst</w:t>
      </w:r>
      <w:r>
        <w:rPr>
          <w:rFonts w:eastAsia="Malgun Gothic"/>
          <w:color w:val="000000"/>
          <w:szCs w:val="20"/>
          <w:lang w:val="en-GB"/>
        </w:rPr>
        <w:t xml:space="preserve"> in </w:t>
      </w:r>
      <w:r>
        <w:rPr>
          <w:rFonts w:eastAsia="Malgun Gothic"/>
          <w:i/>
          <w:color w:val="000000"/>
          <w:szCs w:val="20"/>
          <w:lang w:val="en-GB"/>
        </w:rPr>
        <w:t>SIB1</w:t>
      </w:r>
      <w:r>
        <w:rPr>
          <w:rFonts w:eastAsia="Malgun Gothic"/>
          <w:color w:val="000000"/>
          <w:szCs w:val="20"/>
          <w:lang w:val="en-GB"/>
        </w:rPr>
        <w:t>.</w:t>
      </w:r>
    </w:p>
    <w:p>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Malgun Gothic"/>
          <w:i/>
          <w:color w:val="000000"/>
          <w:szCs w:val="20"/>
          <w:lang w:val="en-GB"/>
        </w:rPr>
        <w:t>ssb-PositionsInBurst</w:t>
      </w:r>
      <w:r>
        <w:rPr>
          <w:rFonts w:eastAsia="Malgun Gothic"/>
          <w:color w:val="000000"/>
          <w:szCs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pPr>
        <w:framePr w:hSpace="142" w:wrap="around" w:vAnchor="text" w:hAnchor="text" w:y="1"/>
        <w:autoSpaceDE/>
        <w:autoSpaceDN/>
        <w:spacing w:after="180"/>
        <w:jc w:val="left"/>
        <w:rPr>
          <w:ins w:id="40" w:author="김선욱/책임연구원/미래기술센터 C&amp;M표준(연)5G무선통신표준Task(seonwook.kim@lge.com)" w:date="2020-04-06T17:42:00Z"/>
          <w:rFonts w:eastAsia="Malgun Gothic"/>
          <w:i/>
          <w:color w:val="000000"/>
          <w:szCs w:val="20"/>
          <w:lang w:val="en-GB"/>
        </w:rPr>
      </w:pPr>
      <w:r>
        <w:rPr>
          <w:rFonts w:eastAsia="Malgun Gothic"/>
          <w:color w:val="000000"/>
          <w:szCs w:val="20"/>
          <w:lang w:val="en-GB"/>
        </w:rPr>
        <w:t>A UE is not expected to handle the case where PDSCH DM-RS REs are overlapping, even partially, with any RE(s) not available for PDSCH</w:t>
      </w:r>
      <w:r>
        <w:rPr>
          <w:rFonts w:eastAsia="Malgun Gothic"/>
          <w:i/>
          <w:color w:val="000000"/>
          <w:szCs w:val="20"/>
          <w:lang w:val="en-GB"/>
        </w:rPr>
        <w:t>.</w:t>
      </w:r>
    </w:p>
    <w:p>
      <w:pPr>
        <w:rPr>
          <w:rFonts w:eastAsia="Batang"/>
          <w:lang w:val="en-GB"/>
        </w:rPr>
      </w:pPr>
      <w:ins w:id="41" w:author="김선욱/책임연구원/미래기술센터 C&amp;M표준(연)5G무선통신표준Task(seonwook.kim@lge.com)" w:date="2020-04-06T17:42:00Z">
        <w:r>
          <w:rPr>
            <w:rFonts w:eastAsia="Malgun Gothic"/>
            <w:color w:val="000000"/>
            <w:szCs w:val="20"/>
            <w:lang w:val="en-GB"/>
          </w:rPr>
          <w:t xml:space="preserve">For operation with shared spectrum channel access, SS/PBCH block transmission according to </w:t>
        </w:r>
      </w:ins>
      <w:ins w:id="42" w:author="김선욱/책임연구원/미래기술센터 C&amp;M표준(연)5G무선통신표준Task(seonwook.kim@lge.com)" w:date="2020-04-06T17:42:00Z">
        <w:r>
          <w:rPr>
            <w:rFonts w:eastAsia="Malgun Gothic"/>
            <w:i/>
            <w:color w:val="000000"/>
            <w:szCs w:val="20"/>
            <w:lang w:val="en-GB"/>
          </w:rPr>
          <w:t>ssb-PositionsInBurst</w:t>
        </w:r>
      </w:ins>
      <w:ins w:id="43" w:author="김선욱/책임연구원/미래기술센터 C&amp;M표준(연)5G무선통신표준Task(seonwook.kim@lge.com)" w:date="2020-04-06T17:42:00Z">
        <w:r>
          <w:rPr>
            <w:rFonts w:eastAsia="Malgun Gothic"/>
            <w:color w:val="000000"/>
            <w:szCs w:val="20"/>
            <w:lang w:val="en-GB"/>
          </w:rPr>
          <w:t xml:space="preserve"> represents all of</w:t>
        </w:r>
      </w:ins>
      <w:ins w:id="44" w:author="Mukherjee, Amitav" w:date="2020-05-25T19:22:00Z">
        <w:r>
          <w:rPr>
            <w:rFonts w:eastAsia="Malgun Gothic"/>
            <w:color w:val="000000"/>
            <w:szCs w:val="20"/>
            <w:lang w:val="en-GB"/>
          </w:rPr>
          <w:t xml:space="preserve"> the</w:t>
        </w:r>
      </w:ins>
      <w:ins w:id="45" w:author="김선욱/책임연구원/미래기술센터 C&amp;M표준(연)5G무선통신표준Task(seonwook.kim@lge.com)" w:date="2020-04-06T17:42:00Z">
        <w:r>
          <w:rPr>
            <w:rFonts w:eastAsia="Malgun Gothic"/>
            <w:color w:val="000000"/>
            <w:szCs w:val="20"/>
            <w:lang w:val="en-GB"/>
          </w:rPr>
          <w:t xml:space="preserve"> candidate SS/PBCH block ind</w:t>
        </w:r>
      </w:ins>
      <w:ins w:id="46" w:author="Mukherjee, Amitav" w:date="2020-05-25T19:22:00Z">
        <w:r>
          <w:rPr>
            <w:rFonts w:eastAsia="Malgun Gothic"/>
            <w:color w:val="000000"/>
            <w:szCs w:val="20"/>
            <w:lang w:val="en-GB"/>
          </w:rPr>
          <w:t>ic</w:t>
        </w:r>
      </w:ins>
      <w:ins w:id="47" w:author="김선욱/책임연구원/미래기술센터 C&amp;M표준(연)5G무선통신표준Task(seonwook.kim@lge.com)" w:date="2020-04-06T17:42:00Z">
        <w:r>
          <w:rPr>
            <w:rFonts w:eastAsia="Malgun Gothic"/>
            <w:color w:val="000000"/>
            <w:szCs w:val="20"/>
            <w:lang w:val="en-GB"/>
          </w:rPr>
          <w:t>es according to SS/PBCH block ind</w:t>
        </w:r>
      </w:ins>
      <w:ins w:id="48" w:author="Mukherjee, Amitav" w:date="2020-05-25T19:22:00Z">
        <w:r>
          <w:rPr>
            <w:rFonts w:eastAsia="Malgun Gothic"/>
            <w:color w:val="000000"/>
            <w:szCs w:val="20"/>
            <w:lang w:val="en-GB"/>
          </w:rPr>
          <w:t>ic</w:t>
        </w:r>
      </w:ins>
      <w:ins w:id="49" w:author="김선욱/책임연구원/미래기술센터 C&amp;M표준(연)5G무선통신표준Task(seonwook.kim@lge.com)" w:date="2020-04-06T17:42:00Z">
        <w:r>
          <w:rPr>
            <w:rFonts w:eastAsia="Malgun Gothic"/>
            <w:color w:val="000000"/>
            <w:szCs w:val="20"/>
            <w:lang w:val="en-GB"/>
          </w:rPr>
          <w:t xml:space="preserve">es provided by </w:t>
        </w:r>
      </w:ins>
      <w:ins w:id="50" w:author="김선욱/책임연구원/미래기술센터 C&amp;M표준(연)5G무선통신표준Task(seonwook.kim@lge.com)" w:date="2020-04-06T17:42:00Z">
        <w:r>
          <w:rPr>
            <w:rFonts w:eastAsia="Malgun Gothic"/>
            <w:i/>
            <w:color w:val="000000"/>
            <w:szCs w:val="20"/>
            <w:lang w:val="en-GB"/>
          </w:rPr>
          <w:t>ssb-PositionsInBurst</w:t>
        </w:r>
      </w:ins>
      <w:ins w:id="51" w:author="김선욱/책임연구원/미래기술센터 C&amp;M표준(연)5G무선통신표준Task(seonwook.kim@lge.com)" w:date="2020-04-06T17:42:00Z">
        <w:r>
          <w:rPr>
            <w:rFonts w:eastAsia="Malgun Gothic"/>
            <w:color w:val="000000"/>
            <w:szCs w:val="20"/>
            <w:lang w:val="en-GB"/>
          </w:rPr>
          <w:t xml:space="preserve"> as described in [Section 4.1, TS 38.213].</w:t>
        </w:r>
      </w:ins>
    </w:p>
    <w:p>
      <w:pPr>
        <w:rPr>
          <w:rFonts w:eastAsia="Batang"/>
          <w:lang w:val="en-GB"/>
        </w:rPr>
      </w:pPr>
    </w:p>
    <w:p>
      <w:r>
        <w:rPr>
          <w:color w:val="FF0000"/>
        </w:rPr>
        <w:t>================================== End of TP#13 ============================</w:t>
      </w:r>
      <w:r>
        <w:t xml:space="preserve">   </w:t>
      </w:r>
    </w:p>
    <w:p>
      <w:pPr>
        <w:rPr>
          <w:lang w:eastAsia="zh-CN"/>
        </w:rPr>
      </w:pPr>
    </w:p>
    <w:p>
      <w:pPr>
        <w:spacing w:line="260" w:lineRule="auto"/>
        <w:rPr>
          <w:b/>
          <w:color w:val="000000"/>
          <w:lang w:eastAsia="zh-CN"/>
        </w:rPr>
      </w:pPr>
      <w:r>
        <w:rPr>
          <w:rFonts w:hint="eastAsia"/>
          <w:b/>
          <w:szCs w:val="18"/>
          <w:lang w:eastAsia="zh-CN"/>
        </w:rPr>
        <w:t>Proposal</w:t>
      </w:r>
      <w:r>
        <w:rPr>
          <w:b/>
          <w:szCs w:val="18"/>
          <w:lang w:eastAsia="zh-CN"/>
        </w:rPr>
        <w:t xml:space="preserve"> B</w:t>
      </w:r>
      <w:r>
        <w:rPr>
          <w:rFonts w:hint="eastAsia"/>
          <w:b/>
          <w:szCs w:val="18"/>
          <w:lang w:eastAsia="zh-CN"/>
        </w:rPr>
        <w:t xml:space="preserve">: </w:t>
      </w:r>
      <w:r>
        <w:rPr>
          <w:rFonts w:hint="eastAsia"/>
          <w:szCs w:val="18"/>
          <w:lang w:eastAsia="zh-CN"/>
        </w:rPr>
        <w:t xml:space="preserve">The UE performs PDSCH rate-matching around the resources of candidate </w:t>
      </w:r>
      <w:r>
        <w:rPr>
          <w:color w:val="000000"/>
        </w:rPr>
        <w:t>SS/PBCH block</w:t>
      </w:r>
      <w:r>
        <w:rPr>
          <w:rFonts w:hint="eastAsia"/>
          <w:color w:val="000000"/>
          <w:lang w:eastAsia="zh-CN"/>
        </w:rPr>
        <w:t>s corresponding to a same SS/PBCH block index</w:t>
      </w:r>
      <w:r>
        <w:rPr>
          <w:color w:val="000000"/>
        </w:rPr>
        <w:t xml:space="preserve"> according to </w:t>
      </w:r>
      <w:r>
        <w:rPr>
          <w:i/>
          <w:color w:val="000000"/>
        </w:rPr>
        <w:t>ssb-PositionsInBurst</w:t>
      </w:r>
      <w:r>
        <w:rPr>
          <w:rFonts w:hint="eastAsia"/>
          <w:color w:val="000000"/>
          <w:lang w:eastAsia="zh-CN"/>
        </w:rPr>
        <w:t>, until the UE has successfully detected one SS/PBCH block within a discovery burst transmission window</w:t>
      </w:r>
      <w:r>
        <w:rPr>
          <w:color w:val="000000"/>
          <w:lang w:eastAsia="zh-CN"/>
        </w:rPr>
        <w:t xml:space="preserve"> </w:t>
      </w:r>
      <w:r>
        <w:rPr>
          <w:color w:val="000000"/>
          <w:lang w:eastAsia="zh-CN"/>
        </w:rPr>
        <w:fldChar w:fldCharType="begin"/>
      </w:r>
      <w:r>
        <w:rPr>
          <w:color w:val="000000"/>
          <w:lang w:eastAsia="zh-CN"/>
        </w:rPr>
        <w:instrText xml:space="preserve"> REF _Ref41316265 \r \h  \* MERGEFORMAT </w:instrText>
      </w:r>
      <w:r>
        <w:rPr>
          <w:color w:val="000000"/>
          <w:lang w:eastAsia="zh-CN"/>
        </w:rPr>
        <w:fldChar w:fldCharType="separate"/>
      </w:r>
      <w:r>
        <w:rPr>
          <w:color w:val="000000"/>
          <w:lang w:eastAsia="zh-CN"/>
        </w:rPr>
        <w:t>[2]</w:t>
      </w:r>
      <w:r>
        <w:rPr>
          <w:color w:val="000000"/>
          <w:lang w:eastAsia="zh-CN"/>
        </w:rPr>
        <w:fldChar w:fldCharType="end"/>
      </w:r>
      <w:r>
        <w:rPr>
          <w:rFonts w:hint="eastAsia"/>
          <w:color w:val="000000"/>
          <w:lang w:eastAsia="zh-CN"/>
        </w:rPr>
        <w:t>.</w:t>
      </w:r>
      <w:r>
        <w:rPr>
          <w:rFonts w:hint="eastAsia"/>
          <w:b/>
          <w:color w:val="000000"/>
          <w:lang w:eastAsia="zh-CN"/>
        </w:rPr>
        <w:t xml:space="preserve"> </w:t>
      </w:r>
    </w:p>
    <w:p>
      <w:pPr>
        <w:spacing w:line="260" w:lineRule="auto"/>
        <w:rPr>
          <w:b/>
          <w:color w:val="000000"/>
          <w:lang w:eastAsia="zh-CN"/>
        </w:rPr>
      </w:pPr>
    </w:p>
    <w:p>
      <w:pPr>
        <w:spacing w:before="120" w:beforeLines="5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14</w:t>
      </w:r>
      <w:r>
        <w:rPr>
          <w:rFonts w:hint="eastAsia"/>
          <w:color w:val="C00000"/>
          <w:lang w:eastAsia="zh-CN"/>
        </w:rPr>
        <w:t xml:space="preserve"> for Clause 5.1.4 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pPr>
        <w:rPr>
          <w:b/>
          <w:sz w:val="24"/>
          <w:lang w:eastAsia="zh-CN"/>
        </w:rPr>
      </w:pPr>
      <w:r>
        <w:rPr>
          <w:rFonts w:hint="eastAsia"/>
          <w:b/>
          <w:sz w:val="24"/>
          <w:lang w:eastAsia="zh-CN"/>
        </w:rPr>
        <w:t>5.1.4</w:t>
      </w:r>
      <w:r>
        <w:rPr>
          <w:rFonts w:hint="eastAsia"/>
          <w:b/>
          <w:sz w:val="24"/>
          <w:lang w:eastAsia="zh-CN"/>
        </w:rPr>
        <w:tab/>
      </w:r>
      <w:r>
        <w:rPr>
          <w:rFonts w:hint="eastAsia"/>
          <w:b/>
          <w:sz w:val="24"/>
          <w:lang w:eastAsia="zh-CN"/>
        </w:rPr>
        <w:t xml:space="preserve">  PDSCH resource mapping</w:t>
      </w:r>
    </w:p>
    <w:p>
      <w:pPr>
        <w:pStyle w:val="70"/>
        <w:jc w:val="center"/>
        <w:rPr>
          <w:lang w:val="en-US" w:eastAsia="zh-CN"/>
        </w:rPr>
      </w:pPr>
      <w:r>
        <w:rPr>
          <w:rFonts w:ascii="Times New Roman" w:hAnsi="Times New Roman" w:eastAsiaTheme="minorEastAsia"/>
          <w:color w:val="C00000"/>
          <w:szCs w:val="20"/>
        </w:rPr>
        <w:t>&lt; Unchanged parts are omitted &gt;</w:t>
      </w:r>
    </w:p>
    <w:p>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hint="eastAsia"/>
          <w:color w:val="FF0000"/>
          <w:lang w:eastAsia="zh-CN"/>
        </w:rPr>
        <w:t xml:space="preserve"> until the UE has detected </w:t>
      </w:r>
      <w:r>
        <w:rPr>
          <w:color w:val="FF0000"/>
          <w:lang w:eastAsia="zh-CN"/>
        </w:rPr>
        <w:t>one SS</w:t>
      </w:r>
      <w:r>
        <w:rPr>
          <w:rFonts w:hint="eastAsia"/>
          <w:color w:val="FF0000"/>
          <w:lang w:eastAsia="zh-CN"/>
        </w:rPr>
        <w:t xml:space="preserve">/PBCH block </w:t>
      </w:r>
      <w:r>
        <w:rPr>
          <w:color w:val="FF0000"/>
        </w:rPr>
        <w:t>within a discovery burst transmission window</w:t>
      </w:r>
      <w:r>
        <w:rPr>
          <w:color w:val="000000"/>
        </w:rPr>
        <w:t xml:space="preserve">. </w:t>
      </w:r>
    </w:p>
    <w:p>
      <w:pPr>
        <w:rPr>
          <w:color w:val="000000"/>
        </w:rPr>
      </w:pPr>
      <w:r>
        <w:rPr>
          <w:color w:val="000000"/>
        </w:rPr>
        <w:t>A UE is not expected to handle the case where PDSCH DM-RS REs are overlapping, even partially, with any RE(s) not available for PDSCH</w:t>
      </w:r>
      <w:r>
        <w:rPr>
          <w:i/>
          <w:color w:val="000000"/>
        </w:rPr>
        <w:t>.</w:t>
      </w:r>
    </w:p>
    <w:p>
      <w:pPr>
        <w:spacing w:line="260" w:lineRule="auto"/>
        <w:rPr>
          <w:iCs/>
          <w:lang w:eastAsia="zh-CN"/>
        </w:rPr>
      </w:pPr>
      <w:r>
        <w:rPr>
          <w:rFonts w:hint="eastAsia"/>
          <w:color w:val="C00000"/>
          <w:lang w:eastAsia="zh-CN"/>
        </w:rPr>
        <w:t xml:space="preserve">-------------------------------------------------- </w:t>
      </w:r>
      <w:r>
        <w:rPr>
          <w:rFonts w:hint="eastAsia"/>
          <w:color w:val="C00000"/>
        </w:rPr>
        <w:t xml:space="preserve">&lt; End of </w:t>
      </w:r>
      <w:r>
        <w:rPr>
          <w:color w:val="C00000"/>
        </w:rPr>
        <w:t>TP#14</w:t>
      </w:r>
      <w:r>
        <w:rPr>
          <w:rFonts w:hint="eastAsia"/>
          <w:color w:val="C00000"/>
        </w:rPr>
        <w:t>&gt;</w:t>
      </w:r>
      <w:r>
        <w:rPr>
          <w:rFonts w:hint="eastAsia"/>
          <w:color w:val="C00000"/>
          <w:lang w:eastAsia="zh-CN"/>
        </w:rPr>
        <w:t xml:space="preserve"> -----------------------------------------------------</w:t>
      </w:r>
    </w:p>
    <w:p>
      <w:pPr>
        <w:rPr>
          <w:lang w:eastAsia="zh-CN"/>
        </w:rPr>
      </w:pPr>
    </w:p>
    <w:tbl>
      <w:tblPr>
        <w:tblStyle w:val="32"/>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 xml:space="preserve">Samsung </w:t>
            </w:r>
          </w:p>
        </w:tc>
        <w:tc>
          <w:tcPr>
            <w:tcW w:w="6432" w:type="dxa"/>
          </w:tcPr>
          <w:p>
            <w:pPr>
              <w:widowControl w:val="0"/>
              <w:rPr>
                <w:lang w:eastAsia="zh-CN"/>
              </w:rPr>
            </w:pPr>
            <w:r>
              <w:rPr>
                <w:lang w:eastAsia="zh-CN"/>
              </w:rPr>
              <w:t xml:space="preserve">TP#13 can be merged with TP#3. </w:t>
            </w:r>
          </w:p>
          <w:p>
            <w:pPr>
              <w:widowControl w:val="0"/>
              <w:rPr>
                <w:lang w:eastAsia="zh-CN"/>
              </w:rPr>
            </w:pPr>
            <w:r>
              <w:rPr>
                <w:lang w:eastAsia="zh-CN"/>
              </w:rPr>
              <w:t xml:space="preserve">TP#14 is not needed. As explained in the preparation phase, the detection of one SSB by a UE should not be the criteria for performing from the gNB side. The information for transmitted SSB should be cell-specific, and gNB cannot enforce a UE to receive a SSB first before decoding PDSCH. Even the UE can detect the SSB, the PDSCH may not be intended for the same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rFonts w:hint="eastAsia" w:eastAsia="MS Mincho"/>
                <w:lang w:eastAsia="ja-JP"/>
              </w:rPr>
              <w:t>S</w:t>
            </w:r>
            <w:r>
              <w:rPr>
                <w:rFonts w:eastAsia="MS Mincho"/>
                <w:lang w:eastAsia="ja-JP"/>
              </w:rPr>
              <w:t>harp</w:t>
            </w:r>
          </w:p>
        </w:tc>
        <w:tc>
          <w:tcPr>
            <w:tcW w:w="6432" w:type="dxa"/>
          </w:tcPr>
          <w:p>
            <w:pPr>
              <w:widowControl w:val="0"/>
              <w:rPr>
                <w:rFonts w:eastAsia="MS Mincho"/>
                <w:lang w:eastAsia="ja-JP"/>
              </w:rPr>
            </w:pPr>
            <w:r>
              <w:rPr>
                <w:rFonts w:eastAsia="MS Mincho"/>
                <w:lang w:eastAsia="ja-JP"/>
              </w:rPr>
              <w:t xml:space="preserve">Proposal A: We don’t support the TP as the current spec. is clear enough. The UE rate matches around the resources for SS/PBCH blocks with candidate SS/PBCH block index corresponding to the SS/PBCH block index according to </w:t>
            </w:r>
            <w:r>
              <w:rPr>
                <w:rFonts w:eastAsia="MS Mincho"/>
                <w:i/>
                <w:lang w:eastAsia="ja-JP"/>
              </w:rPr>
              <w:t>ssb-PositionsInBurst</w:t>
            </w:r>
            <w:r>
              <w:rPr>
                <w:rFonts w:eastAsia="MS Mincho"/>
                <w:lang w:eastAsia="ja-JP"/>
              </w:rPr>
              <w:t>.</w:t>
            </w:r>
          </w:p>
          <w:p>
            <w:pPr>
              <w:widowControl w:val="0"/>
              <w:rPr>
                <w:lang w:eastAsia="zh-CN"/>
              </w:rPr>
            </w:pPr>
            <w:r>
              <w:rPr>
                <w:rFonts w:eastAsia="MS Mincho"/>
                <w:lang w:eastAsia="ja-JP"/>
              </w:rPr>
              <w:t>Proposal B: It’s not clear to us why we need to change the agreed behavior. It causes UE/gNB ambiguity on the understanding of the reserved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rFonts w:hint="eastAsia"/>
                <w:lang w:eastAsia="zh-CN"/>
              </w:rPr>
              <w:t>v</w:t>
            </w:r>
            <w:r>
              <w:rPr>
                <w:lang w:eastAsia="zh-CN"/>
              </w:rPr>
              <w:t>ivo</w:t>
            </w:r>
          </w:p>
        </w:tc>
        <w:tc>
          <w:tcPr>
            <w:tcW w:w="6432" w:type="dxa"/>
          </w:tcPr>
          <w:p>
            <w:pPr>
              <w:widowControl w:val="0"/>
              <w:rPr>
                <w:lang w:eastAsia="zh-CN"/>
              </w:rPr>
            </w:pPr>
            <w:r>
              <w:rPr>
                <w:rFonts w:hint="eastAsia"/>
                <w:lang w:eastAsia="zh-CN"/>
              </w:rPr>
              <w:t>T</w:t>
            </w:r>
            <w:r>
              <w:rPr>
                <w:lang w:eastAsia="zh-CN"/>
              </w:rPr>
              <w:t>P#13 address the same thing as TP#3</w:t>
            </w:r>
          </w:p>
          <w:p>
            <w:pPr>
              <w:widowControl w:val="0"/>
              <w:rPr>
                <w:lang w:eastAsia="zh-CN"/>
              </w:rPr>
            </w:pPr>
            <w:r>
              <w:rPr>
                <w:rFonts w:hint="eastAsia"/>
                <w:lang w:eastAsia="zh-CN"/>
              </w:rPr>
              <w:t>T</w:t>
            </w:r>
            <w:r>
              <w:rPr>
                <w:lang w:eastAsia="zh-CN"/>
              </w:rPr>
              <w:t>P#14 is not needed. It is clear that PDSCH rate matching around SSB should be in cell specific manner as clarified by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eastAsia="Malgun Gothic"/>
                <w:lang w:eastAsia="ko-KR"/>
              </w:rPr>
            </w:pPr>
            <w:r>
              <w:rPr>
                <w:rFonts w:hint="eastAsia" w:eastAsia="Malgun Gothic"/>
                <w:lang w:eastAsia="ko-KR"/>
              </w:rPr>
              <w:t>LG Electronics</w:t>
            </w:r>
          </w:p>
        </w:tc>
        <w:tc>
          <w:tcPr>
            <w:tcW w:w="6432" w:type="dxa"/>
          </w:tcPr>
          <w:p>
            <w:pPr>
              <w:widowControl w:val="0"/>
              <w:rPr>
                <w:rFonts w:eastAsia="Malgun Gothic"/>
                <w:lang w:eastAsia="ko-KR"/>
              </w:rPr>
            </w:pPr>
            <w:r>
              <w:rPr>
                <w:rFonts w:hint="eastAsia" w:eastAsia="Malgun Gothic"/>
                <w:lang w:eastAsia="ko-KR"/>
              </w:rPr>
              <w:t xml:space="preserve">Agree with Samsung and vivo. </w:t>
            </w:r>
            <w:r>
              <w:rPr>
                <w:rFonts w:eastAsia="Malgun Gothic"/>
                <w:lang w:eastAsia="ko-KR"/>
              </w:rPr>
              <w:t>TP#13 can be merged with TP#3.</w:t>
            </w:r>
          </w:p>
          <w:p>
            <w:pPr>
              <w:widowControl w:val="0"/>
              <w:rPr>
                <w:rFonts w:eastAsia="Malgun Gothic"/>
                <w:lang w:eastAsia="ko-KR"/>
              </w:rPr>
            </w:pPr>
            <w:r>
              <w:rPr>
                <w:rFonts w:eastAsia="Malgun Gothic"/>
                <w:lang w:eastAsia="ko-KR"/>
              </w:rPr>
              <w:t>For TP#14, we share the view with Samsung. UE cannot be enforced to detect SSB before PDSCH reception, and the instance where UE firstly detects a SSB may not be the same as that instance where gNB firstly transmits a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Spreadtrum</w:t>
            </w:r>
          </w:p>
        </w:tc>
        <w:tc>
          <w:tcPr>
            <w:tcW w:w="6432" w:type="dxa"/>
          </w:tcPr>
          <w:p>
            <w:pPr>
              <w:widowControl w:val="0"/>
              <w:rPr>
                <w:lang w:eastAsia="zh-CN"/>
              </w:rPr>
            </w:pPr>
            <w:r>
              <w:rPr>
                <w:lang w:eastAsia="zh-CN"/>
              </w:rPr>
              <w:t>Basically agree with Samsung.</w:t>
            </w:r>
          </w:p>
          <w:p>
            <w:pPr>
              <w:widowControl w:val="0"/>
              <w:rPr>
                <w:lang w:eastAsia="zh-CN"/>
              </w:rPr>
            </w:pPr>
            <w:r>
              <w:rPr>
                <w:lang w:eastAsia="zh-CN"/>
              </w:rPr>
              <w:t xml:space="preserve">For TP#14, honestly, in our view, TP in (#2.3) has the similar intention as TP#14. In my memory, the sentence to be modified in TP in (#2.3) is used for new implication of </w:t>
            </w:r>
            <w:r>
              <w:rPr>
                <w:i/>
                <w:lang w:eastAsia="zh-CN"/>
              </w:rPr>
              <w:t>ssb-PositionsInBurst</w:t>
            </w:r>
            <w:r>
              <w:rPr>
                <w:lang w:eastAsia="zh-CN"/>
              </w:rPr>
              <w:t xml:space="preserve"> including the usage of PDSCH rate matching or PDCCH collision handling on SSB. More general, the sentence to be modified in TP in (#2.3) is for what we mean about candidate SSB position when we are talking about </w:t>
            </w:r>
            <w:r>
              <w:rPr>
                <w:i/>
                <w:lang w:eastAsia="zh-CN"/>
              </w:rPr>
              <w:t>ssb-PositionsInBurst</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hint="default"/>
                <w:lang w:val="en-US" w:eastAsia="zh-CN"/>
              </w:rPr>
            </w:pPr>
            <w:r>
              <w:rPr>
                <w:rFonts w:hint="eastAsia"/>
                <w:lang w:val="en-US" w:eastAsia="zh-CN"/>
              </w:rPr>
              <w:t>ZTE</w:t>
            </w:r>
          </w:p>
        </w:tc>
        <w:tc>
          <w:tcPr>
            <w:tcW w:w="6432" w:type="dxa"/>
          </w:tcPr>
          <w:p>
            <w:pPr>
              <w:widowControl w:val="0"/>
              <w:rPr>
                <w:rFonts w:hint="default"/>
                <w:lang w:val="en-US" w:eastAsia="zh-CN"/>
              </w:rPr>
            </w:pPr>
            <w:r>
              <w:rPr>
                <w:rFonts w:hint="eastAsia"/>
                <w:lang w:val="en-US" w:eastAsia="zh-CN"/>
              </w:rPr>
              <w:t>We suggest to adopt Proposal B.</w:t>
            </w:r>
          </w:p>
          <w:p>
            <w:pPr>
              <w:widowControl w:val="0"/>
              <w:rPr>
                <w:rFonts w:hint="default"/>
                <w:lang w:val="en-US" w:eastAsia="zh-CN"/>
              </w:rPr>
            </w:pPr>
            <w:r>
              <w:rPr>
                <w:rFonts w:hint="eastAsia"/>
                <w:lang w:val="en-US" w:eastAsia="zh-CN"/>
              </w:rPr>
              <w:t xml:space="preserve">In last meeting, we have the agreement </w:t>
            </w:r>
            <w:r>
              <w:rPr>
                <w:rFonts w:hint="default"/>
                <w:lang w:val="en-US" w:eastAsia="zh-CN"/>
              </w:rPr>
              <w:t>“</w:t>
            </w:r>
            <w:r>
              <w:rPr>
                <w:highlight w:val="yellow"/>
              </w:rPr>
              <w:t>a number of transmitted SS/PBCH blocks with a same SS/PBCH block index is not larger than one</w:t>
            </w:r>
            <w:r>
              <w:t>.</w:t>
            </w:r>
            <w:r>
              <w:rPr>
                <w:rFonts w:eastAsia="宋体"/>
                <w:lang w:val="en-US" w:eastAsia="zh-CN"/>
              </w:rPr>
              <w:t>”</w:t>
            </w:r>
            <w:r>
              <w:rPr>
                <w:rFonts w:hint="eastAsia"/>
                <w:lang w:val="en-US" w:eastAsia="zh-CN"/>
              </w:rPr>
              <w:t>, that</w:t>
            </w:r>
            <w:r>
              <w:rPr>
                <w:rFonts w:hint="default"/>
                <w:lang w:val="en-US" w:eastAsia="zh-CN"/>
              </w:rPr>
              <w:t>’</w:t>
            </w:r>
            <w:r>
              <w:rPr>
                <w:rFonts w:hint="eastAsia"/>
                <w:lang w:val="en-US" w:eastAsia="zh-CN"/>
              </w:rPr>
              <w:t>s why we have TP#2 and TP#14, corresponding to SSB transmission and related rate matching. We don</w:t>
            </w:r>
            <w:r>
              <w:rPr>
                <w:rFonts w:hint="default"/>
                <w:lang w:val="en-US" w:eastAsia="zh-CN"/>
              </w:rPr>
              <w:t>’</w:t>
            </w:r>
            <w:r>
              <w:rPr>
                <w:rFonts w:hint="eastAsia"/>
                <w:lang w:val="en-US" w:eastAsia="zh-CN"/>
              </w:rPr>
              <w:t>t mean to enforce UE to detect SSB before PDSCH, actually we always define the UE behavior in spec, and gNB behavior will be restricted accordingly. The rate matching could be in cell specific manner even with TP#14. The agreement we made in last meeting does have large impact on PDSC rate matching,  for example, if Q=2, in a 5ms DRS window with 30kHz SCS, the number of candidate SSBs is 20, when UE detects a SSB in position 0, UE will not monitor the remaining candidate SSB positions, however the resources in these positions are wasted, which results in unnecessary degradation on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rPr>
          <w:lang w:eastAsia="zh-CN"/>
        </w:rPr>
      </w:pPr>
    </w:p>
    <w:p>
      <w:pPr>
        <w:rPr>
          <w:lang w:eastAsia="zh-CN"/>
        </w:rPr>
      </w:pPr>
    </w:p>
    <w:p>
      <w:pPr>
        <w:spacing w:after="0"/>
        <w:rPr>
          <w:lang w:val="en-GB" w:eastAsia="zh-CN"/>
        </w:rPr>
      </w:pPr>
      <w:bookmarkStart w:id="27" w:name="_Ref124671424"/>
      <w:bookmarkStart w:id="28" w:name="_Ref129681832"/>
      <w:bookmarkStart w:id="29" w:name="_Ref124589665"/>
      <w:bookmarkStart w:id="30" w:name="_Ref71620620"/>
    </w:p>
    <w:p>
      <w:pPr>
        <w:pStyle w:val="2"/>
        <w:numPr>
          <w:ilvl w:val="0"/>
          <w:numId w:val="0"/>
        </w:numPr>
        <w:spacing w:before="0" w:after="0"/>
        <w:ind w:left="432" w:hanging="432"/>
      </w:pPr>
      <w:r>
        <w:t>References</w:t>
      </w:r>
    </w:p>
    <w:bookmarkEnd w:id="27"/>
    <w:bookmarkEnd w:id="28"/>
    <w:bookmarkEnd w:id="29"/>
    <w:bookmarkEnd w:id="30"/>
    <w:p>
      <w:pPr>
        <w:pStyle w:val="35"/>
        <w:rPr>
          <w:sz w:val="22"/>
          <w:lang w:eastAsia="zh-CN"/>
        </w:rPr>
      </w:pPr>
      <w:bookmarkStart w:id="31" w:name="_Ref41211462"/>
      <w:bookmarkStart w:id="32" w:name="_Ref38271291"/>
      <w:r>
        <w:rPr>
          <w:sz w:val="22"/>
          <w:lang w:eastAsia="zh-CN"/>
        </w:rPr>
        <w:t>R1-2003371</w:t>
      </w:r>
      <w:r>
        <w:rPr>
          <w:sz w:val="22"/>
          <w:lang w:eastAsia="zh-CN"/>
        </w:rPr>
        <w:tab/>
      </w:r>
      <w:r>
        <w:rPr>
          <w:sz w:val="22"/>
          <w:lang w:eastAsia="zh-CN"/>
        </w:rPr>
        <w:t>Remaining issues on initial access procedure for NR-U</w:t>
      </w:r>
      <w:r>
        <w:rPr>
          <w:sz w:val="22"/>
          <w:lang w:eastAsia="zh-CN"/>
        </w:rPr>
        <w:tab/>
      </w:r>
      <w:r>
        <w:rPr>
          <w:sz w:val="22"/>
          <w:lang w:eastAsia="zh-CN"/>
        </w:rPr>
        <w:t>vivo</w:t>
      </w:r>
      <w:bookmarkEnd w:id="31"/>
    </w:p>
    <w:p>
      <w:pPr>
        <w:pStyle w:val="35"/>
        <w:rPr>
          <w:sz w:val="22"/>
          <w:lang w:eastAsia="zh-CN"/>
        </w:rPr>
      </w:pPr>
      <w:bookmarkStart w:id="33" w:name="_Ref41316265"/>
      <w:r>
        <w:rPr>
          <w:sz w:val="22"/>
          <w:lang w:eastAsia="zh-CN"/>
        </w:rPr>
        <w:t>R1-2003451</w:t>
      </w:r>
      <w:r>
        <w:rPr>
          <w:sz w:val="22"/>
          <w:lang w:eastAsia="zh-CN"/>
        </w:rPr>
        <w:tab/>
      </w:r>
      <w:r>
        <w:rPr>
          <w:sz w:val="22"/>
          <w:lang w:eastAsia="zh-CN"/>
        </w:rPr>
        <w:t>Remaining issues on the initial access procedure for NR-U</w:t>
      </w:r>
      <w:r>
        <w:rPr>
          <w:sz w:val="22"/>
          <w:lang w:eastAsia="zh-CN"/>
        </w:rPr>
        <w:tab/>
      </w:r>
      <w:r>
        <w:rPr>
          <w:sz w:val="22"/>
          <w:lang w:eastAsia="zh-CN"/>
        </w:rPr>
        <w:t>ZTE, Sanechips</w:t>
      </w:r>
      <w:bookmarkEnd w:id="33"/>
    </w:p>
    <w:p>
      <w:pPr>
        <w:pStyle w:val="35"/>
        <w:rPr>
          <w:sz w:val="22"/>
          <w:lang w:eastAsia="zh-CN"/>
        </w:rPr>
      </w:pPr>
      <w:r>
        <w:rPr>
          <w:sz w:val="22"/>
          <w:lang w:eastAsia="zh-CN"/>
        </w:rPr>
        <w:t>R1-2003513</w:t>
      </w:r>
      <w:r>
        <w:rPr>
          <w:sz w:val="22"/>
          <w:lang w:eastAsia="zh-CN"/>
        </w:rPr>
        <w:tab/>
      </w:r>
      <w:r>
        <w:rPr>
          <w:sz w:val="22"/>
          <w:lang w:eastAsia="zh-CN"/>
        </w:rPr>
        <w:t>Maintenance on the initial access procedures</w:t>
      </w:r>
      <w:r>
        <w:rPr>
          <w:sz w:val="22"/>
          <w:lang w:eastAsia="zh-CN"/>
        </w:rPr>
        <w:tab/>
      </w:r>
      <w:r>
        <w:rPr>
          <w:sz w:val="22"/>
          <w:lang w:eastAsia="zh-CN"/>
        </w:rPr>
        <w:t>Huawei, HiSilicon</w:t>
      </w:r>
    </w:p>
    <w:p>
      <w:pPr>
        <w:pStyle w:val="35"/>
        <w:rPr>
          <w:sz w:val="22"/>
          <w:lang w:eastAsia="zh-CN"/>
        </w:rPr>
      </w:pPr>
      <w:bookmarkStart w:id="34" w:name="_Ref41316722"/>
      <w:r>
        <w:rPr>
          <w:sz w:val="22"/>
          <w:lang w:eastAsia="zh-CN"/>
        </w:rPr>
        <w:t>R1-2003657</w:t>
      </w:r>
      <w:r>
        <w:rPr>
          <w:sz w:val="22"/>
          <w:lang w:eastAsia="zh-CN"/>
        </w:rPr>
        <w:tab/>
      </w:r>
      <w:r>
        <w:rPr>
          <w:sz w:val="22"/>
          <w:lang w:eastAsia="zh-CN"/>
        </w:rPr>
        <w:t>Remaining issues on initial access procedure for NR-U operation</w:t>
      </w:r>
      <w:r>
        <w:rPr>
          <w:sz w:val="22"/>
          <w:lang w:eastAsia="zh-CN"/>
        </w:rPr>
        <w:tab/>
      </w:r>
      <w:r>
        <w:rPr>
          <w:sz w:val="22"/>
          <w:lang w:eastAsia="zh-CN"/>
        </w:rPr>
        <w:t>MediaTek Inc.</w:t>
      </w:r>
      <w:bookmarkEnd w:id="34"/>
    </w:p>
    <w:p>
      <w:pPr>
        <w:pStyle w:val="35"/>
        <w:rPr>
          <w:sz w:val="22"/>
          <w:lang w:eastAsia="zh-CN"/>
        </w:rPr>
      </w:pPr>
      <w:r>
        <w:rPr>
          <w:sz w:val="22"/>
          <w:lang w:eastAsia="zh-CN"/>
        </w:rPr>
        <w:t>R1-2003729</w:t>
      </w:r>
      <w:r>
        <w:rPr>
          <w:sz w:val="22"/>
          <w:lang w:eastAsia="zh-CN"/>
        </w:rPr>
        <w:tab/>
      </w:r>
      <w:r>
        <w:rPr>
          <w:sz w:val="22"/>
          <w:lang w:eastAsia="zh-CN"/>
        </w:rPr>
        <w:t>Enhancements to initial access and mobility for NR-unlicensed</w:t>
      </w:r>
      <w:r>
        <w:rPr>
          <w:sz w:val="22"/>
          <w:lang w:eastAsia="zh-CN"/>
        </w:rPr>
        <w:tab/>
      </w:r>
      <w:r>
        <w:rPr>
          <w:sz w:val="22"/>
          <w:lang w:eastAsia="zh-CN"/>
        </w:rPr>
        <w:t>Intel Corporation</w:t>
      </w:r>
    </w:p>
    <w:p>
      <w:pPr>
        <w:pStyle w:val="35"/>
        <w:rPr>
          <w:sz w:val="22"/>
          <w:lang w:eastAsia="zh-CN"/>
        </w:rPr>
      </w:pPr>
      <w:bookmarkStart w:id="35" w:name="_Ref41324937"/>
      <w:r>
        <w:rPr>
          <w:sz w:val="22"/>
          <w:lang w:eastAsia="zh-CN"/>
        </w:rPr>
        <w:t>R1-2003844</w:t>
      </w:r>
      <w:r>
        <w:rPr>
          <w:sz w:val="22"/>
          <w:lang w:eastAsia="zh-CN"/>
        </w:rPr>
        <w:tab/>
      </w:r>
      <w:r>
        <w:rPr>
          <w:sz w:val="22"/>
          <w:lang w:eastAsia="zh-CN"/>
        </w:rPr>
        <w:t>Enhancements to initial access procedures</w:t>
      </w:r>
      <w:r>
        <w:rPr>
          <w:sz w:val="22"/>
          <w:lang w:eastAsia="zh-CN"/>
        </w:rPr>
        <w:tab/>
      </w:r>
      <w:r>
        <w:rPr>
          <w:sz w:val="22"/>
          <w:lang w:eastAsia="zh-CN"/>
        </w:rPr>
        <w:t>Ericsson</w:t>
      </w:r>
      <w:bookmarkEnd w:id="35"/>
    </w:p>
    <w:p>
      <w:pPr>
        <w:pStyle w:val="35"/>
        <w:rPr>
          <w:sz w:val="22"/>
          <w:lang w:eastAsia="zh-CN"/>
        </w:rPr>
      </w:pPr>
      <w:bookmarkStart w:id="36" w:name="_Ref41324924"/>
      <w:r>
        <w:rPr>
          <w:sz w:val="22"/>
          <w:lang w:eastAsia="zh-CN"/>
        </w:rPr>
        <w:t>R1-2003861</w:t>
      </w:r>
      <w:r>
        <w:rPr>
          <w:sz w:val="22"/>
          <w:lang w:eastAsia="zh-CN"/>
        </w:rPr>
        <w:tab/>
      </w:r>
      <w:r>
        <w:rPr>
          <w:sz w:val="22"/>
          <w:lang w:eastAsia="zh-CN"/>
        </w:rPr>
        <w:t>Initial access procedures for NR-U</w:t>
      </w:r>
      <w:r>
        <w:rPr>
          <w:sz w:val="22"/>
          <w:lang w:eastAsia="zh-CN"/>
        </w:rPr>
        <w:tab/>
      </w:r>
      <w:r>
        <w:rPr>
          <w:sz w:val="22"/>
          <w:lang w:eastAsia="zh-CN"/>
        </w:rPr>
        <w:t>Samsung</w:t>
      </w:r>
      <w:bookmarkEnd w:id="36"/>
    </w:p>
    <w:p>
      <w:pPr>
        <w:pStyle w:val="35"/>
        <w:rPr>
          <w:sz w:val="22"/>
          <w:lang w:eastAsia="zh-CN"/>
        </w:rPr>
      </w:pPr>
      <w:bookmarkStart w:id="37" w:name="_Ref41317225"/>
      <w:r>
        <w:rPr>
          <w:sz w:val="22"/>
          <w:lang w:eastAsia="zh-CN"/>
        </w:rPr>
        <w:t>R1-2003973</w:t>
      </w:r>
      <w:r>
        <w:rPr>
          <w:sz w:val="22"/>
          <w:lang w:eastAsia="zh-CN"/>
        </w:rPr>
        <w:tab/>
      </w:r>
      <w:r>
        <w:rPr>
          <w:sz w:val="22"/>
          <w:lang w:eastAsia="zh-CN"/>
        </w:rPr>
        <w:t>Remaining issues on initial access procedure for NR-U</w:t>
      </w:r>
      <w:r>
        <w:rPr>
          <w:sz w:val="22"/>
          <w:lang w:eastAsia="zh-CN"/>
        </w:rPr>
        <w:tab/>
      </w:r>
      <w:r>
        <w:rPr>
          <w:sz w:val="22"/>
          <w:lang w:eastAsia="zh-CN"/>
        </w:rPr>
        <w:t>ETRI</w:t>
      </w:r>
      <w:bookmarkEnd w:id="37"/>
    </w:p>
    <w:p>
      <w:pPr>
        <w:pStyle w:val="35"/>
        <w:rPr>
          <w:sz w:val="22"/>
          <w:lang w:eastAsia="zh-CN"/>
        </w:rPr>
      </w:pPr>
      <w:bookmarkStart w:id="38" w:name="_Ref41317379"/>
      <w:r>
        <w:rPr>
          <w:sz w:val="22"/>
          <w:lang w:eastAsia="zh-CN"/>
        </w:rPr>
        <w:t>R1-2004001</w:t>
      </w:r>
      <w:r>
        <w:rPr>
          <w:sz w:val="22"/>
          <w:lang w:eastAsia="zh-CN"/>
        </w:rPr>
        <w:tab/>
      </w:r>
      <w:r>
        <w:rPr>
          <w:sz w:val="22"/>
          <w:lang w:eastAsia="zh-CN"/>
        </w:rPr>
        <w:t>Remaining issues on initial access procedure</w:t>
      </w:r>
      <w:r>
        <w:rPr>
          <w:sz w:val="22"/>
          <w:lang w:eastAsia="zh-CN"/>
        </w:rPr>
        <w:tab/>
      </w:r>
      <w:r>
        <w:rPr>
          <w:sz w:val="22"/>
          <w:lang w:eastAsia="zh-CN"/>
        </w:rPr>
        <w:t>Spreadtrum Communications</w:t>
      </w:r>
      <w:bookmarkEnd w:id="38"/>
    </w:p>
    <w:p>
      <w:pPr>
        <w:pStyle w:val="35"/>
        <w:rPr>
          <w:sz w:val="22"/>
          <w:lang w:eastAsia="zh-CN"/>
        </w:rPr>
      </w:pPr>
      <w:bookmarkStart w:id="39" w:name="_Ref41326177"/>
      <w:r>
        <w:rPr>
          <w:sz w:val="22"/>
          <w:lang w:eastAsia="zh-CN"/>
        </w:rPr>
        <w:t>R1-2004014</w:t>
      </w:r>
      <w:r>
        <w:rPr>
          <w:sz w:val="22"/>
          <w:lang w:eastAsia="zh-CN"/>
        </w:rPr>
        <w:tab/>
      </w:r>
      <w:r>
        <w:rPr>
          <w:sz w:val="22"/>
          <w:lang w:eastAsia="zh-CN"/>
        </w:rPr>
        <w:t>Remaining issues of initial access and mobility for NR-U</w:t>
      </w:r>
      <w:r>
        <w:rPr>
          <w:sz w:val="22"/>
          <w:lang w:eastAsia="zh-CN"/>
        </w:rPr>
        <w:tab/>
      </w:r>
      <w:r>
        <w:rPr>
          <w:sz w:val="22"/>
          <w:lang w:eastAsia="zh-CN"/>
        </w:rPr>
        <w:t>LG Electronics</w:t>
      </w:r>
      <w:bookmarkEnd w:id="39"/>
    </w:p>
    <w:p>
      <w:pPr>
        <w:pStyle w:val="35"/>
        <w:rPr>
          <w:sz w:val="22"/>
          <w:lang w:eastAsia="zh-CN"/>
        </w:rPr>
      </w:pPr>
      <w:r>
        <w:rPr>
          <w:sz w:val="22"/>
          <w:lang w:eastAsia="zh-CN"/>
        </w:rPr>
        <w:t>R1-2004086</w:t>
      </w:r>
      <w:r>
        <w:rPr>
          <w:sz w:val="22"/>
          <w:lang w:eastAsia="zh-CN"/>
        </w:rPr>
        <w:tab/>
      </w:r>
      <w:r>
        <w:rPr>
          <w:sz w:val="22"/>
          <w:lang w:eastAsia="zh-CN"/>
        </w:rPr>
        <w:t>Discussion on the remaining issues of enhancements to initial access procedure</w:t>
      </w:r>
      <w:r>
        <w:rPr>
          <w:sz w:val="22"/>
          <w:lang w:eastAsia="zh-CN"/>
        </w:rPr>
        <w:tab/>
      </w:r>
      <w:r>
        <w:rPr>
          <w:sz w:val="22"/>
          <w:lang w:eastAsia="zh-CN"/>
        </w:rPr>
        <w:t>OPPO</w:t>
      </w:r>
    </w:p>
    <w:p>
      <w:pPr>
        <w:pStyle w:val="35"/>
        <w:rPr>
          <w:sz w:val="22"/>
          <w:lang w:eastAsia="zh-CN"/>
        </w:rPr>
      </w:pPr>
      <w:r>
        <w:rPr>
          <w:sz w:val="22"/>
          <w:lang w:eastAsia="zh-CN"/>
        </w:rPr>
        <w:t>R1-2004444</w:t>
      </w:r>
      <w:r>
        <w:rPr>
          <w:sz w:val="22"/>
          <w:lang w:eastAsia="zh-CN"/>
        </w:rPr>
        <w:tab/>
      </w:r>
      <w:r>
        <w:rPr>
          <w:sz w:val="22"/>
          <w:lang w:eastAsia="zh-CN"/>
        </w:rPr>
        <w:t>TP for Initial access and mobility procedures for NR-U</w:t>
      </w:r>
      <w:r>
        <w:rPr>
          <w:sz w:val="22"/>
          <w:lang w:eastAsia="zh-CN"/>
        </w:rPr>
        <w:tab/>
      </w:r>
      <w:r>
        <w:rPr>
          <w:sz w:val="22"/>
          <w:lang w:eastAsia="zh-CN"/>
        </w:rPr>
        <w:t>Qualcomm Incorporated</w:t>
      </w:r>
    </w:p>
    <w:p>
      <w:pPr>
        <w:pStyle w:val="35"/>
        <w:rPr>
          <w:sz w:val="22"/>
          <w:lang w:eastAsia="zh-CN"/>
        </w:rPr>
      </w:pPr>
      <w:bookmarkStart w:id="40" w:name="_Ref41211466"/>
      <w:r>
        <w:rPr>
          <w:sz w:val="22"/>
          <w:lang w:eastAsia="zh-CN"/>
        </w:rPr>
        <w:t>R1-2004526</w:t>
      </w:r>
      <w:r>
        <w:rPr>
          <w:sz w:val="22"/>
          <w:lang w:eastAsia="zh-CN"/>
        </w:rPr>
        <w:tab/>
      </w:r>
      <w:r>
        <w:rPr>
          <w:sz w:val="22"/>
          <w:lang w:eastAsia="zh-CN"/>
        </w:rPr>
        <w:t>On Enhancements to Initial Access Procedure for NR-U</w:t>
      </w:r>
      <w:r>
        <w:rPr>
          <w:sz w:val="22"/>
          <w:lang w:eastAsia="zh-CN"/>
        </w:rPr>
        <w:tab/>
      </w:r>
      <w:r>
        <w:rPr>
          <w:sz w:val="22"/>
          <w:lang w:eastAsia="zh-CN"/>
        </w:rPr>
        <w:t>Nokia, Nokia Shanghai Bell</w:t>
      </w:r>
      <w:bookmarkEnd w:id="40"/>
    </w:p>
    <w:p>
      <w:pPr>
        <w:pStyle w:val="35"/>
        <w:rPr>
          <w:sz w:val="22"/>
          <w:szCs w:val="22"/>
          <w:lang w:eastAsia="zh-CN"/>
        </w:rPr>
      </w:pPr>
      <w:r>
        <w:rPr>
          <w:sz w:val="22"/>
          <w:szCs w:val="22"/>
          <w:lang w:eastAsia="zh-CN"/>
        </w:rPr>
        <w:t>R1-2003306     Feature lead summary on for initial access procedures enhancements</w:t>
      </w:r>
      <w:r>
        <w:rPr>
          <w:sz w:val="22"/>
          <w:szCs w:val="22"/>
          <w:lang w:eastAsia="zh-CN"/>
        </w:rPr>
        <w:tab/>
      </w:r>
      <w:r>
        <w:rPr>
          <w:sz w:val="22"/>
          <w:szCs w:val="22"/>
          <w:lang w:eastAsia="zh-CN"/>
        </w:rPr>
        <w:t>Charter Communications</w:t>
      </w:r>
      <w:bookmarkEnd w:id="32"/>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等线">
    <w:altName w:val="微软雅黑"/>
    <w:panose1 w:val="02010600030101010101"/>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78B"/>
    <w:multiLevelType w:val="multilevel"/>
    <w:tmpl w:val="0AC007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6415814"/>
    <w:multiLevelType w:val="multilevel"/>
    <w:tmpl w:val="264158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3A877D64"/>
    <w:multiLevelType w:val="singleLevel"/>
    <w:tmpl w:val="3A877D64"/>
    <w:lvl w:ilvl="0" w:tentative="0">
      <w:start w:val="1"/>
      <w:numFmt w:val="decimal"/>
      <w:pStyle w:val="35"/>
      <w:lvlText w:val="[%1]"/>
      <w:lvlJc w:val="left"/>
      <w:pPr>
        <w:tabs>
          <w:tab w:val="left" w:pos="540"/>
        </w:tabs>
        <w:ind w:left="540" w:hanging="360"/>
      </w:pPr>
    </w:lvl>
  </w:abstractNum>
  <w:abstractNum w:abstractNumId="4">
    <w:nsid w:val="4B1F283C"/>
    <w:multiLevelType w:val="singleLevel"/>
    <w:tmpl w:val="4B1F283C"/>
    <w:lvl w:ilvl="0" w:tentative="0">
      <w:start w:val="1"/>
      <w:numFmt w:val="bullet"/>
      <w:pStyle w:val="48"/>
      <w:lvlText w:val=""/>
      <w:lvlJc w:val="left"/>
      <w:pPr>
        <w:tabs>
          <w:tab w:val="left" w:pos="1843"/>
        </w:tabs>
        <w:ind w:left="1843" w:hanging="425"/>
      </w:pPr>
      <w:rPr>
        <w:rFonts w:hint="default" w:ascii="Symbol" w:hAnsi="Symbol"/>
      </w:rPr>
    </w:lvl>
  </w:abstractNum>
  <w:abstractNum w:abstractNumId="5">
    <w:nsid w:val="7F547DFD"/>
    <w:multiLevelType w:val="singleLevel"/>
    <w:tmpl w:val="7F547DFD"/>
    <w:lvl w:ilvl="0" w:tentative="0">
      <w:start w:val="1"/>
      <w:numFmt w:val="bullet"/>
      <w:pStyle w:val="74"/>
      <w:lvlText w:val=""/>
      <w:lvlJc w:val="left"/>
      <w:pPr>
        <w:tabs>
          <w:tab w:val="left" w:pos="1418"/>
        </w:tabs>
        <w:ind w:left="1418" w:hanging="426"/>
      </w:pPr>
      <w:rPr>
        <w:rFonts w:hint="default" w:ascii="Wingdings" w:hAnsi="Wingdings"/>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정훈 이">
    <w15:presenceInfo w15:providerId="None" w15:userId="정훈 이"/>
  </w15:person>
  <w15:person w15:author="Mukherjee, Amitav">
    <w15:presenceInfo w15:providerId="AD" w15:userId="S-1-5-21-2957877638-2650906760-3733329590-20794176"/>
  </w15:person>
  <w15:person w15:author="Spreadtrum">
    <w15:presenceInfo w15:providerId="None" w15:userId="Spreadtrum"/>
  </w15:person>
  <w15:person w15:author="Author">
    <w15:presenceInfo w15:providerId="None" w15:userId="Author"/>
  </w15:person>
  <w15:person w15:author="Sharp">
    <w15:presenceInfo w15:providerId="None" w15:userId="Sharp"/>
  </w15:person>
  <w15:person w15:author="김선욱/책임연구원/미래기술센터 C&amp;M표준(연)5G무선통신표준Task(seonwook.kim@lge.com)">
    <w15:presenceInfo w15:providerId="AD" w15:userId="S-1-5-21-2543426832-1914326140-3112152631-1404202"/>
  </w15:person>
  <w15:person w15:author="CW Tsai (蔡秋薇)">
    <w15:presenceInfo w15:providerId="AD" w15:userId="S-1-5-21-1711831044-1024940897-1435325219-45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9AE"/>
    <w:rsid w:val="000F7E56"/>
    <w:rsid w:val="000F7F58"/>
    <w:rsid w:val="00100067"/>
    <w:rsid w:val="00100128"/>
    <w:rsid w:val="00100FF3"/>
    <w:rsid w:val="0010148D"/>
    <w:rsid w:val="00101B9E"/>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9F2"/>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5E52"/>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0C7C"/>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2C13"/>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1D69"/>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32"/>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248"/>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0E82"/>
    <w:rsid w:val="00591879"/>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7A7"/>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8F7961"/>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11A"/>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B3D"/>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439"/>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2CD8"/>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1AA4"/>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6BC"/>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61D"/>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593"/>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1BD"/>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0A21"/>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22F"/>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5EC4"/>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3EF0"/>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D19"/>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1757"/>
    <w:rsid w:val="00FF2310"/>
    <w:rsid w:val="00FF269B"/>
    <w:rsid w:val="00FF2E73"/>
    <w:rsid w:val="00FF4AE2"/>
    <w:rsid w:val="00FF50A8"/>
    <w:rsid w:val="00FF571E"/>
    <w:rsid w:val="00FF62E3"/>
    <w:rsid w:val="00FF6BD1"/>
    <w:rsid w:val="00FF6CC0"/>
    <w:rsid w:val="00FF7512"/>
    <w:rsid w:val="00FF7563"/>
    <w:rsid w:val="422B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3"/>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5">
    <w:name w:val="Default Paragraph Font"/>
    <w:semiHidden/>
    <w:unhideWhenUsed/>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0"/>
    <w:pPr>
      <w:ind w:left="100" w:leftChars="400" w:hanging="200" w:hangingChars="200"/>
      <w:contextualSpacing/>
    </w:pPr>
  </w:style>
  <w:style w:type="paragraph" w:styleId="12">
    <w:name w:val="annotation subject"/>
    <w:basedOn w:val="13"/>
    <w:next w:val="13"/>
    <w:link w:val="55"/>
    <w:semiHidden/>
    <w:unhideWhenUsed/>
    <w:qFormat/>
    <w:uiPriority w:val="0"/>
    <w:rPr>
      <w:b/>
      <w:bCs/>
    </w:rPr>
  </w:style>
  <w:style w:type="paragraph" w:styleId="13">
    <w:name w:val="annotation text"/>
    <w:basedOn w:val="1"/>
    <w:link w:val="54"/>
    <w:unhideWhenUsed/>
    <w:qFormat/>
    <w:uiPriority w:val="0"/>
    <w:pPr>
      <w:jc w:val="left"/>
    </w:pPr>
  </w:style>
  <w:style w:type="paragraph" w:styleId="14">
    <w:name w:val="caption"/>
    <w:basedOn w:val="1"/>
    <w:next w:val="1"/>
    <w:link w:val="34"/>
    <w:qFormat/>
    <w:uiPriority w:val="0"/>
    <w:pPr>
      <w:jc w:val="center"/>
    </w:pPr>
    <w:rPr>
      <w:b/>
      <w:bCs/>
      <w:sz w:val="20"/>
      <w:szCs w:val="20"/>
    </w:rPr>
  </w:style>
  <w:style w:type="paragraph" w:styleId="15">
    <w:name w:val="List Bullet"/>
    <w:basedOn w:val="16"/>
    <w:qFormat/>
    <w:uiPriority w:val="0"/>
    <w:pPr>
      <w:autoSpaceDE/>
      <w:autoSpaceDN/>
      <w:adjustRightInd/>
      <w:spacing w:after="180"/>
      <w:ind w:left="568" w:hanging="284"/>
      <w:jc w:val="left"/>
    </w:pPr>
    <w:rPr>
      <w:sz w:val="20"/>
      <w:szCs w:val="20"/>
      <w:lang w:val="en-GB"/>
    </w:rPr>
  </w:style>
  <w:style w:type="paragraph" w:styleId="16">
    <w:name w:val="List"/>
    <w:basedOn w:val="1"/>
    <w:qFormat/>
    <w:uiPriority w:val="0"/>
    <w:pPr>
      <w:ind w:left="360" w:hanging="360"/>
    </w:pPr>
  </w:style>
  <w:style w:type="paragraph" w:styleId="17">
    <w:name w:val="Body Text"/>
    <w:basedOn w:val="1"/>
    <w:link w:val="33"/>
    <w:qFormat/>
    <w:uiPriority w:val="0"/>
    <w:rPr>
      <w:sz w:val="20"/>
      <w:szCs w:val="20"/>
    </w:rPr>
  </w:style>
  <w:style w:type="paragraph" w:styleId="18">
    <w:name w:val="List 2"/>
    <w:basedOn w:val="1"/>
    <w:semiHidden/>
    <w:unhideWhenUsed/>
    <w:qFormat/>
    <w:uiPriority w:val="0"/>
    <w:pPr>
      <w:ind w:left="100" w:leftChars="200" w:hanging="200" w:hangingChars="200"/>
      <w:contextualSpacing/>
    </w:pPr>
  </w:style>
  <w:style w:type="paragraph" w:styleId="19">
    <w:name w:val="Balloon Text"/>
    <w:basedOn w:val="1"/>
    <w:semiHidden/>
    <w:qFormat/>
    <w:uiPriority w:val="0"/>
    <w:rPr>
      <w:rFonts w:ascii="Tahoma" w:hAnsi="Tahoma" w:cs="Tahoma"/>
      <w:sz w:val="16"/>
      <w:szCs w:val="16"/>
    </w:rPr>
  </w:style>
  <w:style w:type="paragraph" w:styleId="20">
    <w:name w:val="footer"/>
    <w:basedOn w:val="1"/>
    <w:link w:val="41"/>
    <w:qFormat/>
    <w:uiPriority w:val="0"/>
    <w:pPr>
      <w:tabs>
        <w:tab w:val="center" w:pos="4680"/>
        <w:tab w:val="right" w:pos="9360"/>
      </w:tabs>
    </w:pPr>
  </w:style>
  <w:style w:type="paragraph" w:styleId="21">
    <w:name w:val="header"/>
    <w:basedOn w:val="1"/>
    <w:link w:val="40"/>
    <w:qFormat/>
    <w:uiPriority w:val="0"/>
    <w:pPr>
      <w:tabs>
        <w:tab w:val="center" w:pos="4680"/>
        <w:tab w:val="right" w:pos="9360"/>
      </w:tabs>
    </w:pPr>
  </w:style>
  <w:style w:type="paragraph" w:styleId="22">
    <w:name w:val="footnote text"/>
    <w:basedOn w:val="1"/>
    <w:semiHidden/>
    <w:qFormat/>
    <w:uiPriority w:val="0"/>
    <w:rPr>
      <w:sz w:val="20"/>
      <w:szCs w:val="20"/>
    </w:rPr>
  </w:style>
  <w:style w:type="paragraph" w:styleId="23">
    <w:name w:val="Body Text 2"/>
    <w:basedOn w:val="1"/>
    <w:qFormat/>
    <w:uiPriority w:val="0"/>
    <w:pPr>
      <w:spacing w:after="0"/>
      <w:jc w:val="left"/>
    </w:pPr>
    <w:rPr>
      <w:szCs w:val="20"/>
    </w:rPr>
  </w:style>
  <w:style w:type="paragraph" w:styleId="24">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26">
    <w:name w:val="FollowedHyperlink"/>
    <w:basedOn w:val="25"/>
    <w:qFormat/>
    <w:uiPriority w:val="0"/>
    <w:rPr>
      <w:color w:val="800080"/>
      <w:u w:val="single"/>
    </w:rPr>
  </w:style>
  <w:style w:type="character" w:styleId="27">
    <w:name w:val="Emphasis"/>
    <w:basedOn w:val="25"/>
    <w:qFormat/>
    <w:uiPriority w:val="0"/>
    <w:rPr>
      <w:i/>
    </w:rPr>
  </w:style>
  <w:style w:type="character" w:styleId="28">
    <w:name w:val="Hyperlink"/>
    <w:basedOn w:val="25"/>
    <w:qFormat/>
    <w:uiPriority w:val="0"/>
    <w:rPr>
      <w:color w:val="0000FF"/>
      <w:u w:val="single"/>
    </w:rPr>
  </w:style>
  <w:style w:type="character" w:styleId="29">
    <w:name w:val="annotation reference"/>
    <w:basedOn w:val="25"/>
    <w:unhideWhenUsed/>
    <w:qFormat/>
    <w:uiPriority w:val="0"/>
    <w:rPr>
      <w:sz w:val="21"/>
      <w:szCs w:val="21"/>
    </w:rPr>
  </w:style>
  <w:style w:type="character" w:styleId="30">
    <w:name w:val="footnote reference"/>
    <w:basedOn w:val="25"/>
    <w:semiHidden/>
    <w:qFormat/>
    <w:uiPriority w:val="0"/>
    <w:rPr>
      <w:vertAlign w:val="superscript"/>
    </w:rPr>
  </w:style>
  <w:style w:type="table" w:styleId="32">
    <w:name w:val="Table Grid"/>
    <w:basedOn w:val="31"/>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3">
    <w:name w:val="Body Text Char"/>
    <w:basedOn w:val="25"/>
    <w:link w:val="17"/>
    <w:qFormat/>
    <w:uiPriority w:val="0"/>
  </w:style>
  <w:style w:type="character" w:customStyle="1" w:styleId="34">
    <w:name w:val="Caption Char"/>
    <w:basedOn w:val="25"/>
    <w:link w:val="14"/>
    <w:qFormat/>
    <w:uiPriority w:val="0"/>
    <w:rPr>
      <w:b/>
      <w:bCs/>
    </w:rPr>
  </w:style>
  <w:style w:type="paragraph" w:customStyle="1" w:styleId="35">
    <w:name w:val="References"/>
    <w:basedOn w:val="1"/>
    <w:qFormat/>
    <w:uiPriority w:val="0"/>
    <w:pPr>
      <w:numPr>
        <w:ilvl w:val="0"/>
        <w:numId w:val="2"/>
      </w:numPr>
      <w:tabs>
        <w:tab w:val="left" w:pos="360"/>
        <w:tab w:val="clear" w:pos="540"/>
      </w:tabs>
      <w:adjustRightInd/>
      <w:spacing w:after="60"/>
      <w:ind w:left="360"/>
    </w:pPr>
    <w:rPr>
      <w:sz w:val="20"/>
      <w:szCs w:val="16"/>
    </w:rPr>
  </w:style>
  <w:style w:type="paragraph" w:customStyle="1" w:styleId="36">
    <w:name w:val="_Style 26"/>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Header Char"/>
    <w:basedOn w:val="25"/>
    <w:link w:val="21"/>
    <w:qFormat/>
    <w:uiPriority w:val="0"/>
    <w:rPr>
      <w:sz w:val="22"/>
      <w:szCs w:val="22"/>
    </w:rPr>
  </w:style>
  <w:style w:type="character" w:customStyle="1" w:styleId="41">
    <w:name w:val="Footer Char"/>
    <w:basedOn w:val="25"/>
    <w:link w:val="20"/>
    <w:qFormat/>
    <w:uiPriority w:val="0"/>
    <w:rPr>
      <w:sz w:val="22"/>
      <w:szCs w:val="22"/>
    </w:rPr>
  </w:style>
  <w:style w:type="paragraph" w:customStyle="1" w:styleId="42">
    <w:name w:val="tablecol"/>
    <w:basedOn w:val="39"/>
    <w:qFormat/>
    <w:uiPriority w:val="0"/>
    <w:pPr>
      <w:jc w:val="center"/>
    </w:pPr>
    <w:rPr>
      <w:b/>
    </w:rPr>
  </w:style>
  <w:style w:type="paragraph" w:customStyle="1" w:styleId="43">
    <w:name w:val="B1"/>
    <w:basedOn w:val="16"/>
    <w:link w:val="49"/>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4">
    <w:name w:val="B2"/>
    <w:basedOn w:val="18"/>
    <w:link w:val="50"/>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5">
    <w:name w:val="B3"/>
    <w:basedOn w:val="11"/>
    <w:link w:val="51"/>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6">
    <w:name w:val="List Paragraph"/>
    <w:basedOn w:val="1"/>
    <w:link w:val="47"/>
    <w:qFormat/>
    <w:uiPriority w:val="34"/>
    <w:pPr>
      <w:autoSpaceDE/>
      <w:autoSpaceDN/>
      <w:adjustRightInd/>
      <w:snapToGrid/>
      <w:spacing w:after="0"/>
      <w:ind w:firstLine="420"/>
      <w:jc w:val="left"/>
    </w:pPr>
    <w:rPr>
      <w:rFonts w:ascii="宋体" w:hAnsi="宋体"/>
      <w:sz w:val="24"/>
      <w:szCs w:val="24"/>
    </w:rPr>
  </w:style>
  <w:style w:type="character" w:customStyle="1" w:styleId="47">
    <w:name w:val="List Paragraph Char"/>
    <w:link w:val="46"/>
    <w:qFormat/>
    <w:uiPriority w:val="34"/>
    <w:rPr>
      <w:rFonts w:ascii="宋体" w:hAnsi="宋体"/>
      <w:sz w:val="24"/>
      <w:szCs w:val="24"/>
    </w:rPr>
  </w:style>
  <w:style w:type="paragraph" w:customStyle="1" w:styleId="48">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49">
    <w:name w:val="B1 Zchn"/>
    <w:link w:val="43"/>
    <w:qFormat/>
    <w:uiPriority w:val="0"/>
    <w:rPr>
      <w:rFonts w:eastAsia="MS Mincho"/>
      <w:lang w:val="en-GB"/>
    </w:rPr>
  </w:style>
  <w:style w:type="character" w:customStyle="1" w:styleId="50">
    <w:name w:val="B2 Char"/>
    <w:link w:val="44"/>
    <w:qFormat/>
    <w:uiPriority w:val="0"/>
    <w:rPr>
      <w:rFonts w:eastAsia="MS Mincho"/>
      <w:lang w:val="en-GB"/>
    </w:rPr>
  </w:style>
  <w:style w:type="character" w:customStyle="1" w:styleId="51">
    <w:name w:val="B3 Char"/>
    <w:link w:val="45"/>
    <w:qFormat/>
    <w:uiPriority w:val="0"/>
    <w:rPr>
      <w:rFonts w:eastAsia="MS Mincho"/>
      <w:lang w:val="en-GB"/>
    </w:rPr>
  </w:style>
  <w:style w:type="character" w:styleId="52">
    <w:name w:val="Placeholder Text"/>
    <w:basedOn w:val="25"/>
    <w:semiHidden/>
    <w:qFormat/>
    <w:uiPriority w:val="99"/>
    <w:rPr>
      <w:color w:val="808080"/>
    </w:rPr>
  </w:style>
  <w:style w:type="character" w:customStyle="1" w:styleId="53">
    <w:name w:val="Heading 2 Char1"/>
    <w:basedOn w:val="25"/>
    <w:link w:val="3"/>
    <w:qFormat/>
    <w:uiPriority w:val="9"/>
    <w:rPr>
      <w:b/>
      <w:bCs/>
      <w:sz w:val="24"/>
      <w:szCs w:val="22"/>
    </w:rPr>
  </w:style>
  <w:style w:type="character" w:customStyle="1" w:styleId="54">
    <w:name w:val="Comment Text Char"/>
    <w:basedOn w:val="25"/>
    <w:link w:val="13"/>
    <w:qFormat/>
    <w:uiPriority w:val="0"/>
    <w:rPr>
      <w:sz w:val="22"/>
      <w:szCs w:val="22"/>
    </w:rPr>
  </w:style>
  <w:style w:type="character" w:customStyle="1" w:styleId="55">
    <w:name w:val="Comment Subject Char"/>
    <w:basedOn w:val="54"/>
    <w:link w:val="12"/>
    <w:semiHidden/>
    <w:qFormat/>
    <w:uiPriority w:val="0"/>
    <w:rPr>
      <w:b/>
      <w:bCs/>
      <w:sz w:val="22"/>
      <w:szCs w:val="22"/>
    </w:rPr>
  </w:style>
  <w:style w:type="character" w:customStyle="1" w:styleId="56">
    <w:name w:val="apple-converted-space"/>
    <w:basedOn w:val="25"/>
    <w:qFormat/>
    <w:uiPriority w:val="0"/>
  </w:style>
  <w:style w:type="paragraph" w:customStyle="1" w:styleId="57">
    <w:name w:val="TAL"/>
    <w:basedOn w:val="1"/>
    <w:link w:val="58"/>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58">
    <w:name w:val="TAL Car"/>
    <w:basedOn w:val="25"/>
    <w:link w:val="57"/>
    <w:qFormat/>
    <w:locked/>
    <w:uiPriority w:val="0"/>
    <w:rPr>
      <w:rFonts w:ascii="Arial" w:hAnsi="Arial" w:eastAsiaTheme="minorEastAsia"/>
      <w:sz w:val="18"/>
      <w:lang w:val="en-GB"/>
    </w:rPr>
  </w:style>
  <w:style w:type="paragraph" w:customStyle="1" w:styleId="59">
    <w:name w:val="TAN"/>
    <w:basedOn w:val="57"/>
    <w:qFormat/>
    <w:uiPriority w:val="0"/>
    <w:pPr>
      <w:ind w:left="851" w:hanging="851"/>
    </w:pPr>
  </w:style>
  <w:style w:type="paragraph" w:customStyle="1" w:styleId="60">
    <w:name w:val="Revision"/>
    <w:hidden/>
    <w:semiHidden/>
    <w:qFormat/>
    <w:uiPriority w:val="99"/>
    <w:rPr>
      <w:rFonts w:ascii="Times New Roman" w:hAnsi="Times New Roman" w:eastAsia="宋体" w:cs="Times New Roman"/>
      <w:sz w:val="22"/>
      <w:szCs w:val="22"/>
      <w:lang w:val="en-US" w:eastAsia="en-US" w:bidi="ar-SA"/>
    </w:rPr>
  </w:style>
  <w:style w:type="paragraph" w:customStyle="1" w:styleId="61">
    <w:name w:val="B4"/>
    <w:basedOn w:val="1"/>
    <w:link w:val="63"/>
    <w:qFormat/>
    <w:uiPriority w:val="0"/>
    <w:pPr>
      <w:autoSpaceDE/>
      <w:autoSpaceDN/>
      <w:adjustRightInd/>
      <w:snapToGrid/>
      <w:spacing w:after="180"/>
      <w:ind w:left="1418" w:hanging="284"/>
      <w:jc w:val="left"/>
    </w:pPr>
    <w:rPr>
      <w:rFonts w:eastAsiaTheme="minorEastAsia"/>
      <w:sz w:val="20"/>
      <w:szCs w:val="20"/>
      <w:lang w:val="en-GB"/>
    </w:rPr>
  </w:style>
  <w:style w:type="paragraph" w:customStyle="1" w:styleId="62">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character" w:customStyle="1" w:styleId="63">
    <w:name w:val="B4 Char"/>
    <w:link w:val="61"/>
    <w:qFormat/>
    <w:uiPriority w:val="0"/>
    <w:rPr>
      <w:rFonts w:eastAsiaTheme="minorEastAsia"/>
      <w:lang w:val="en-GB"/>
    </w:rPr>
  </w:style>
  <w:style w:type="paragraph" w:customStyle="1" w:styleId="64">
    <w:name w:val="TAH"/>
    <w:basedOn w:val="1"/>
    <w:link w:val="67"/>
    <w:qFormat/>
    <w:uiPriority w:val="0"/>
    <w:pPr>
      <w:keepNext/>
      <w:keepLines/>
      <w:overflowPunct w:val="0"/>
      <w:snapToGrid/>
      <w:jc w:val="center"/>
      <w:textAlignment w:val="baseline"/>
    </w:pPr>
    <w:rPr>
      <w:rFonts w:ascii="Arial" w:hAnsi="Arial" w:eastAsia="Times New Roman"/>
      <w:b/>
      <w:sz w:val="18"/>
      <w:szCs w:val="20"/>
      <w:lang w:val="en-GB" w:eastAsia="en-GB"/>
    </w:rPr>
  </w:style>
  <w:style w:type="paragraph" w:customStyle="1" w:styleId="65">
    <w:name w:val="TH"/>
    <w:basedOn w:val="1"/>
    <w:link w:val="66"/>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66">
    <w:name w:val="TH Char"/>
    <w:link w:val="65"/>
    <w:qFormat/>
    <w:uiPriority w:val="0"/>
    <w:rPr>
      <w:rFonts w:ascii="Arial" w:hAnsi="Arial" w:eastAsia="Times New Roman"/>
      <w:b/>
      <w:lang w:val="en-GB" w:eastAsia="en-GB"/>
    </w:rPr>
  </w:style>
  <w:style w:type="character" w:customStyle="1" w:styleId="67">
    <w:name w:val="TAH Car"/>
    <w:link w:val="64"/>
    <w:qFormat/>
    <w:locked/>
    <w:uiPriority w:val="0"/>
    <w:rPr>
      <w:rFonts w:ascii="Arial" w:hAnsi="Arial" w:eastAsia="Times New Roman"/>
      <w:b/>
      <w:sz w:val="18"/>
      <w:lang w:val="en-GB" w:eastAsia="en-GB"/>
    </w:rPr>
  </w:style>
  <w:style w:type="paragraph" w:customStyle="1" w:styleId="68">
    <w:name w:val="TAC"/>
    <w:basedOn w:val="1"/>
    <w:link w:val="69"/>
    <w:qFormat/>
    <w:uiPriority w:val="0"/>
    <w:pPr>
      <w:keepNext/>
      <w:keepLines/>
      <w:autoSpaceDE/>
      <w:autoSpaceDN/>
      <w:adjustRightInd/>
      <w:snapToGrid/>
      <w:spacing w:after="0"/>
      <w:jc w:val="center"/>
    </w:pPr>
    <w:rPr>
      <w:rFonts w:ascii="Arial" w:hAnsi="Arial" w:eastAsia="Times New Roman"/>
      <w:sz w:val="18"/>
      <w:szCs w:val="20"/>
      <w:lang w:val="zh-CN"/>
    </w:rPr>
  </w:style>
  <w:style w:type="character" w:customStyle="1" w:styleId="69">
    <w:name w:val="TAC Char"/>
    <w:link w:val="68"/>
    <w:qFormat/>
    <w:locked/>
    <w:uiPriority w:val="0"/>
    <w:rPr>
      <w:rFonts w:ascii="Arial" w:hAnsi="Arial" w:eastAsia="Times New Roman"/>
      <w:sz w:val="18"/>
      <w:lang w:val="zh-CN"/>
    </w:rPr>
  </w:style>
  <w:style w:type="paragraph" w:customStyle="1" w:styleId="70">
    <w:name w:val="00 BodyText"/>
    <w:basedOn w:val="1"/>
    <w:qFormat/>
    <w:uiPriority w:val="0"/>
    <w:pPr>
      <w:autoSpaceDE/>
      <w:autoSpaceDN/>
      <w:adjustRightInd/>
      <w:snapToGrid/>
      <w:spacing w:after="220" w:line="259" w:lineRule="auto"/>
      <w:jc w:val="left"/>
    </w:pPr>
    <w:rPr>
      <w:rFonts w:ascii="Arial" w:hAnsi="Arial"/>
      <w:sz w:val="20"/>
      <w:szCs w:val="24"/>
      <w:lang w:val="en-GB"/>
    </w:rPr>
  </w:style>
  <w:style w:type="character" w:customStyle="1" w:styleId="71">
    <w:name w:val="B1 Char1"/>
    <w:qFormat/>
    <w:uiPriority w:val="0"/>
    <w:rPr>
      <w:rFonts w:eastAsia="Times New Roman"/>
    </w:rPr>
  </w:style>
  <w:style w:type="character" w:customStyle="1" w:styleId="72">
    <w:name w:val="B1 (文字)"/>
    <w:qFormat/>
    <w:locked/>
    <w:uiPriority w:val="0"/>
    <w:rPr>
      <w:lang w:val="en-GB" w:eastAsia="en-US"/>
    </w:rPr>
  </w:style>
  <w:style w:type="character" w:customStyle="1" w:styleId="73">
    <w:name w:val="colour"/>
    <w:basedOn w:val="25"/>
    <w:qFormat/>
    <w:uiPriority w:val="0"/>
  </w:style>
  <w:style w:type="paragraph" w:customStyle="1" w:styleId="74">
    <w:name w:val="text intend 2"/>
    <w:basedOn w:val="1"/>
    <w:qFormat/>
    <w:uiPriority w:val="0"/>
    <w:pPr>
      <w:numPr>
        <w:ilvl w:val="0"/>
        <w:numId w:val="4"/>
      </w:numPr>
      <w:overflowPunct w:val="0"/>
      <w:snapToGrid/>
      <w:textAlignment w:val="baseline"/>
    </w:pPr>
    <w:rPr>
      <w:rFonts w:eastAsia="MS Mincho"/>
      <w:sz w:val="24"/>
      <w:szCs w:val="20"/>
      <w:lang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wmf"/><Relationship Id="rId14" Type="http://schemas.openxmlformats.org/officeDocument/2006/relationships/image" Target="media/image11.wmf"/><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D7E33-B986-4AF4-BB73-BDD0CB680C78}">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13</Pages>
  <Words>4947</Words>
  <Characters>28201</Characters>
  <Lines>235</Lines>
  <Paragraphs>66</Paragraphs>
  <TotalTime>1</TotalTime>
  <ScaleCrop>false</ScaleCrop>
  <LinksUpToDate>false</LinksUpToDate>
  <CharactersWithSpaces>33082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2020-05-26T14:08:00Z</dcterms:created>
  <dc:creator>min zhang</dc:creator>
  <cp:lastModifiedBy>Ziyang ZTE</cp:lastModifiedBy>
  <cp:lastPrinted>2007-06-18T22:08:00Z</cp:lastPrinted>
  <dcterms:modified xsi:type="dcterms:W3CDTF">2020-05-26T17:43:17Z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