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6F08BA" w:rsidRPr="004C05A3" w:rsidRDefault="006F08BA"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6F08BA" w:rsidRDefault="006F08BA"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6F08BA" w:rsidRPr="004C05A3" w:rsidRDefault="006F08BA" w:rsidP="00A0542B">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6F08BA" w:rsidRDefault="006F08BA"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w:t>
      </w:r>
      <w:proofErr w:type="gramStart"/>
      <w:r w:rsidR="00004759">
        <w:rPr>
          <w:rStyle w:val="Char"/>
        </w:rPr>
        <w:t>,B</w:t>
      </w:r>
      <w:proofErr w:type="gramEnd"/>
      <w:r w:rsidR="00004759">
        <w:rPr>
          <w:rStyle w:val="Char"/>
        </w:rPr>
        <w:t>)</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6F08BA" w:rsidRPr="002625EB" w:rsidRDefault="006F08BA"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4pt;height:20pt" o:ole="">
                                  <v:imagedata r:id="rId13" o:title=""/>
                                </v:shape>
                                <o:OLEObject Type="Embed" ProgID="Equation.3" ShapeID="_x0000_i1027" DrawAspect="Content" ObjectID="_1652207604" r:id="rId14"/>
                              </w:object>
                            </w:r>
                            <w:r w:rsidRPr="002625EB">
                              <w:rPr>
                                <w:rFonts w:hint="eastAsia"/>
                              </w:rPr>
                              <w:t xml:space="preserve"> bits</w:t>
                            </w:r>
                          </w:p>
                          <w:p w14:paraId="661DF2C2" w14:textId="2253D7F1" w:rsidR="006F08BA" w:rsidRDefault="006F08BA"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5pt;height:15pt" o:ole="">
                                  <v:imagedata r:id="rId15" o:title=""/>
                                </v:shape>
                                <o:OLEObject Type="Embed" ProgID="Equation.3" ShapeID="_x0000_i1028" DrawAspect="Content" ObjectID="_1652207605"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6F08BA" w:rsidRPr="002625EB" w:rsidRDefault="006F08BA"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4pt;height:20pt" o:ole="">
                            <v:imagedata r:id="rId13" o:title=""/>
                          </v:shape>
                          <o:OLEObject Type="Embed" ProgID="Equation.3" ShapeID="_x0000_i1027" DrawAspect="Content" ObjectID="_1652207604" r:id="rId17"/>
                        </w:object>
                      </w:r>
                      <w:r w:rsidRPr="002625EB">
                        <w:rPr>
                          <w:rFonts w:hint="eastAsia"/>
                        </w:rPr>
                        <w:t xml:space="preserve"> bits</w:t>
                      </w:r>
                    </w:p>
                    <w:p w14:paraId="661DF2C2" w14:textId="2253D7F1" w:rsidR="006F08BA" w:rsidRDefault="006F08BA"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5pt;height:15pt" o:ole="">
                            <v:imagedata r:id="rId15" o:title=""/>
                          </v:shape>
                          <o:OLEObject Type="Embed" ProgID="Equation.3" ShapeID="_x0000_i1028" DrawAspect="Content" ObjectID="_1652207605"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6F08BA" w:rsidRPr="005A68FE" w:rsidRDefault="006F08BA">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6F08BA" w:rsidRPr="005A68FE" w:rsidRDefault="006F08BA">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w:t>
            </w:r>
            <w:proofErr w:type="spellStart"/>
            <w:r w:rsidRPr="002E2AE8">
              <w:rPr>
                <w:sz w:val="20"/>
                <w:szCs w:val="20"/>
              </w:rPr>
              <w:t>fallback</w:t>
            </w:r>
            <w:proofErr w:type="spellEnd"/>
            <w:r w:rsidRPr="002E2AE8">
              <w:rPr>
                <w:sz w:val="20"/>
                <w:szCs w:val="20"/>
              </w:rPr>
              <w:t xml:space="preserve">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 xml:space="preserve">Note: The FDRA field for </w:t>
            </w:r>
            <w:proofErr w:type="spellStart"/>
            <w:r w:rsidRPr="002E2AE8">
              <w:rPr>
                <w:sz w:val="20"/>
                <w:szCs w:val="20"/>
              </w:rPr>
              <w:t>fallback</w:t>
            </w:r>
            <w:proofErr w:type="spellEnd"/>
            <w:r w:rsidRPr="002E2AE8">
              <w:rPr>
                <w:sz w:val="20"/>
                <w:szCs w:val="20"/>
              </w:rPr>
              <w:t xml:space="preserve">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 xml:space="preserve">The initial UL BWP is up to 50RBs wide. Note that initial DL/UL BWP have to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SimSun"/>
          <w:i/>
        </w:rPr>
        <w:t>useInterlacePUCCH</w:t>
      </w:r>
      <w:proofErr w:type="spellEnd"/>
      <w:r w:rsidR="004A2D82" w:rsidRPr="004A2D82">
        <w:rPr>
          <w:rFonts w:eastAsia="SimSun"/>
          <w:i/>
        </w:rPr>
        <w:t>-PUSCH</w:t>
      </w:r>
      <w:r w:rsidR="004A2D82" w:rsidRPr="004A2D82">
        <w:rPr>
          <w:rFonts w:eastAsia="SimSun"/>
          <w:iCs/>
        </w:rPr>
        <w:t xml:space="preserve"> in </w:t>
      </w:r>
      <w:r w:rsidR="004A2D82" w:rsidRPr="004A2D82">
        <w:rPr>
          <w:rFonts w:eastAsia="SimSun"/>
          <w:i/>
        </w:rPr>
        <w:t>BWP-</w:t>
      </w:r>
      <w:proofErr w:type="spellStart"/>
      <w:r w:rsidR="004A2D82" w:rsidRPr="004A2D82">
        <w:rPr>
          <w:rFonts w:eastAsia="SimSun"/>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SimSun"/>
        </w:rPr>
      </w:pPr>
      <w:r>
        <w:rPr>
          <w:rFonts w:eastAsia="SimSun"/>
          <w:color w:val="000000"/>
        </w:rPr>
        <w:t xml:space="preserve">If </w:t>
      </w:r>
      <w:r>
        <w:rPr>
          <w:rFonts w:eastAsia="SimSun"/>
        </w:rPr>
        <w:t xml:space="preserve">a UE is provided a PUCCH resource by </w:t>
      </w:r>
      <w:proofErr w:type="spellStart"/>
      <w:r>
        <w:rPr>
          <w:rFonts w:eastAsia="SimSun"/>
          <w:i/>
        </w:rPr>
        <w:t>pucch-ResourceCommon</w:t>
      </w:r>
      <w:proofErr w:type="spellEnd"/>
      <w:r>
        <w:rPr>
          <w:rFonts w:eastAsia="SimSun"/>
        </w:rPr>
        <w:t xml:space="preserve"> and is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3E9D934" w14:textId="77777777" w:rsidR="00FF63A5" w:rsidRDefault="00FF63A5" w:rsidP="00FF63A5">
      <w:pPr>
        <w:spacing w:line="240" w:lineRule="auto"/>
        <w:ind w:left="568" w:hanging="284"/>
        <w:rPr>
          <w:rFonts w:eastAsia="SimSun"/>
          <w:lang w:val="en-US"/>
        </w:rPr>
      </w:pPr>
      <w:r>
        <w:rPr>
          <w:rFonts w:eastAsia="SimSun"/>
          <w:lang w:val="x-none"/>
        </w:rPr>
        <w:lastRenderedPageBreak/>
        <w:t>-</w:t>
      </w:r>
      <w:r>
        <w:rPr>
          <w:rFonts w:eastAsia="SimSun"/>
          <w:lang w:val="x-none"/>
        </w:rPr>
        <w:tab/>
        <w:t xml:space="preserve">the UE determines </w:t>
      </w:r>
      <w:r>
        <w:rPr>
          <w:rFonts w:eastAsia="SimSun"/>
        </w:rPr>
        <w:t xml:space="preserve">for the PUCCH resource </w:t>
      </w:r>
      <w:r>
        <w:rPr>
          <w:rFonts w:eastAsia="SimSun"/>
          <w:lang w:val="x-none"/>
        </w:rPr>
        <w:t xml:space="preserve">an interlace index </w:t>
      </w:r>
      <m:oMath>
        <m:r>
          <w:rPr>
            <w:rFonts w:ascii="Cambria Math" w:eastAsia="SimSun" w:hAnsi="Cambria Math"/>
            <w:lang w:val="x-none"/>
          </w:rPr>
          <m:t>m</m:t>
        </m:r>
      </m:oMath>
      <w:r>
        <w:rPr>
          <w:rFonts w:eastAsia="SimSun"/>
        </w:rPr>
        <w:t xml:space="preserve"> as </w:t>
      </w:r>
      <m:oMath>
        <m:r>
          <w:rPr>
            <w:rFonts w:ascii="Cambria Math" w:eastAsia="SimSun" w:hAnsi="Cambria Math"/>
            <w:lang w:val="x-none"/>
          </w:rPr>
          <m:t>m=</m:t>
        </m:r>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lang w:val="x-none"/>
                          </w:rPr>
                        </m:ctrlPr>
                      </m:sSubPr>
                      <m:e>
                        <m:r>
                          <w:rPr>
                            <w:rFonts w:ascii="Cambria Math" w:eastAsia="SimSun" w:hAnsi="Cambria Math"/>
                            <w:lang w:val="x-none"/>
                          </w:rPr>
                          <m:t>N</m:t>
                        </m:r>
                      </m:e>
                      <m:sub>
                        <m:r>
                          <m:rPr>
                            <m:nor/>
                          </m:rPr>
                          <w:rPr>
                            <w:rFonts w:eastAsia="SimSun"/>
                            <w:lang w:val="x-none"/>
                          </w:rPr>
                          <m:t>CS</m:t>
                        </m:r>
                        <m:ctrlPr>
                          <w:rPr>
                            <w:rFonts w:ascii="Cambria Math" w:eastAsia="SimSun" w:hAnsi="Cambria Math"/>
                            <w:lang w:val="x-none"/>
                          </w:rPr>
                        </m:ctrlPr>
                      </m:sub>
                    </m:sSub>
                  </m:den>
                </m:f>
              </m:e>
            </m:d>
          </m:e>
        </m:d>
        <m:r>
          <m:rPr>
            <m:nor/>
          </m:rPr>
          <w:rPr>
            <w:rFonts w:ascii="Cambria Math" w:eastAsia="SimSun" w:hAnsi="Cambria Math"/>
          </w:rPr>
          <m:t>mod</m:t>
        </m:r>
        <m:r>
          <w:rPr>
            <w:rFonts w:ascii="Cambria Math" w:eastAsia="SimSun" w:hAnsi="Cambria Math"/>
          </w:rPr>
          <m:t>M</m:t>
        </m:r>
      </m:oMath>
      <w:r>
        <w:rPr>
          <w:rFonts w:eastAsia="SimSun"/>
        </w:rPr>
        <w:t xml:space="preserve"> </w:t>
      </w:r>
      <w:r>
        <w:rPr>
          <w:rFonts w:eastAsia="SimSun"/>
          <w:lang w:val="x-none"/>
        </w:rPr>
        <w:t xml:space="preserve">where </w:t>
      </w:r>
      <m:oMath>
        <m:r>
          <w:rPr>
            <w:rFonts w:ascii="Cambria Math" w:eastAsia="SimSun" w:hAnsi="Cambria Math"/>
          </w:rPr>
          <m:t>M</m:t>
        </m:r>
      </m:oMath>
      <w:r>
        <w:rPr>
          <w:rFonts w:eastAsia="SimSun"/>
          <w:lang w:val="x-none"/>
        </w:rPr>
        <w:t xml:space="preserve"> is a number of interlaces [4, TS 38.211] and </w:t>
      </w:r>
      <m:oMath>
        <m:sSub>
          <m:sSubPr>
            <m:ctrlPr>
              <w:rPr>
                <w:rFonts w:ascii="Cambria Math" w:eastAsia="SimSun" w:hAnsi="Cambria Math"/>
                <w:i/>
                <w:lang w:val="x-none"/>
              </w:rPr>
            </m:ctrlPr>
          </m:sSubPr>
          <m:e>
            <m:r>
              <w:rPr>
                <w:rFonts w:ascii="Cambria Math" w:eastAsia="SimSun" w:hAnsi="Cambria Math"/>
                <w:lang w:val="x-none"/>
              </w:rPr>
              <m:t>m</m:t>
            </m:r>
          </m:e>
          <m:sub>
            <m:r>
              <w:rPr>
                <w:rFonts w:ascii="Cambria Math" w:eastAsia="SimSun" w:hAnsi="Cambria Math"/>
                <w:lang w:val="x-none"/>
              </w:rPr>
              <m:t>0</m:t>
            </m:r>
          </m:sub>
        </m:sSub>
        <m:r>
          <w:rPr>
            <w:rFonts w:ascii="Cambria Math" w:eastAsia="SimSun" w:hAnsi="Cambria Math"/>
            <w:lang w:val="x-none"/>
          </w:rPr>
          <m:t>=</m:t>
        </m:r>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an interlace index offset and </w:t>
      </w:r>
      <m:oMath>
        <m:sSubSup>
          <m:sSubSupPr>
            <m:ctrlPr>
              <w:rPr>
                <w:rFonts w:ascii="Cambria Math" w:eastAsia="SimSun" w:hAnsi="Cambria Math"/>
                <w:i/>
              </w:rPr>
            </m:ctrlPr>
          </m:sSubSupPr>
          <m:e>
            <m:r>
              <w:rPr>
                <w:rFonts w:ascii="Cambria Math" w:eastAsia="SimSun" w:hAnsi="Cambria Math"/>
              </w:rPr>
              <m:t>RB</m:t>
            </m:r>
          </m:e>
          <m:sub>
            <m:r>
              <m:rPr>
                <m:nor/>
              </m:rPr>
              <w:rPr>
                <w:rFonts w:ascii="Cambria Math" w:eastAsia="SimSun" w:hAnsi="Cambria Math"/>
              </w:rPr>
              <m:t>BWP</m:t>
            </m:r>
          </m:sub>
          <m:sup>
            <m:r>
              <m:rPr>
                <m:nor/>
              </m:rPr>
              <w:rPr>
                <w:rFonts w:ascii="Cambria Math" w:eastAsia="SimSun" w:hAnsi="Cambria Math"/>
              </w:rPr>
              <m:t>offset</m:t>
            </m:r>
          </m:sup>
        </m:sSubSup>
      </m:oMath>
      <w:r>
        <w:rPr>
          <w:rFonts w:eastAsia="SimSun"/>
        </w:rPr>
        <w:t xml:space="preserve"> is as given in</w:t>
      </w:r>
      <w:r>
        <w:rPr>
          <w:rFonts w:eastAsia="SimSun"/>
          <w:lang w:val="x-none"/>
        </w:rPr>
        <w:t xml:space="preserve"> Table 9.2.1-1 </w:t>
      </w:r>
    </w:p>
    <w:p w14:paraId="6F0D33B1" w14:textId="0B5D4BE1" w:rsidR="00FF63A5" w:rsidRDefault="00FF63A5" w:rsidP="00FF63A5">
      <w:pPr>
        <w:pStyle w:val="a6"/>
        <w:ind w:left="540" w:hanging="270"/>
        <w:rPr>
          <w:lang w:val="en-US"/>
        </w:rPr>
      </w:pPr>
      <w:r>
        <w:rPr>
          <w:rFonts w:ascii="Times New Roman" w:eastAsia="SimSun" w:hAnsi="Times New Roman"/>
        </w:rPr>
        <w:t>-</w:t>
      </w:r>
      <w:r>
        <w:rPr>
          <w:rFonts w:ascii="Times New Roman" w:eastAsia="SimSun" w:hAnsi="Times New Roman"/>
        </w:rPr>
        <w:tab/>
      </w:r>
      <w:r>
        <w:rPr>
          <w:rFonts w:ascii="Times New Roman" w:eastAsia="SimSun" w:hAnsi="Times New Roman"/>
          <w:color w:val="FF0000"/>
        </w:rPr>
        <w:t>the</w:t>
      </w:r>
      <w:r w:rsidRPr="007D0810">
        <w:rPr>
          <w:rFonts w:ascii="Times New Roman" w:eastAsia="SimSun" w:hAnsi="Times New Roman"/>
          <w:color w:val="FF0000"/>
        </w:rPr>
        <w:t xml:space="preserv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UL RB set is the one that intersects with the</w:t>
      </w:r>
      <w:r w:rsidR="006B4384">
        <w:rPr>
          <w:rFonts w:ascii="Times New Roman" w:eastAsia="SimSun" w:hAnsi="Times New Roman"/>
          <w:color w:val="FF0000"/>
        </w:rPr>
        <w:t xml:space="preserve"> lowest-indexed RB in the initial DL BWP of the </w:t>
      </w:r>
      <w:r>
        <w:rPr>
          <w:rFonts w:ascii="Times New Roman" w:eastAsia="SimSun" w:hAnsi="Times New Roman"/>
          <w:color w:val="FF0000"/>
        </w:rPr>
        <w:t>CORESET in which the</w:t>
      </w:r>
      <w:r w:rsidR="006B4384">
        <w:rPr>
          <w:rFonts w:ascii="Times New Roman" w:eastAsia="SimSun" w:hAnsi="Times New Roman"/>
          <w:color w:val="FF0000"/>
        </w:rPr>
        <w:t xml:space="preserve"> UE detects the</w:t>
      </w:r>
      <w:r>
        <w:rPr>
          <w:rFonts w:ascii="Times New Roman" w:eastAsia="SimSun" w:hAnsi="Times New Roman"/>
          <w:color w:val="FF0000"/>
        </w:rPr>
        <w:t xml:space="preserve"> </w:t>
      </w:r>
      <w:commentRangeStart w:id="19"/>
      <w:r>
        <w:rPr>
          <w:rFonts w:ascii="Times New Roman" w:eastAsia="SimSun" w:hAnsi="Times New Roman"/>
          <w:color w:val="FF0000"/>
        </w:rPr>
        <w:t>DCI format</w:t>
      </w:r>
      <w:commentRangeEnd w:id="19"/>
      <w:r>
        <w:rPr>
          <w:rStyle w:val="af9"/>
        </w:rPr>
        <w:commentReference w:id="19"/>
      </w:r>
      <w:r>
        <w:rPr>
          <w:rFonts w:ascii="Times New Roman" w:eastAsia="SimSun"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SimSun"/>
          <w:color w:val="000000"/>
          <w:lang w:val="x-none"/>
        </w:rPr>
      </w:pPr>
      <w:r>
        <w:rPr>
          <w:rFonts w:eastAsia="SimSun"/>
          <w:lang w:val="x-none"/>
        </w:rPr>
        <w:t>-</w:t>
      </w:r>
      <w:r>
        <w:rPr>
          <w:rFonts w:eastAsia="SimSun"/>
          <w:lang w:val="x-none"/>
        </w:rPr>
        <w:tab/>
        <w:t xml:space="preserve">the UE determines an initial cyclic shift index in a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m:rPr>
            <m:nor/>
          </m:rPr>
          <w:rPr>
            <w:rFonts w:ascii="Cambria Math" w:eastAsia="SimSun" w:hAnsi="Cambria Math"/>
            <w:lang w:val="x-none"/>
          </w:rPr>
          <m:t>mod</m:t>
        </m:r>
        <m:sSub>
          <m:sSubPr>
            <m:ctrlPr>
              <w:rPr>
                <w:rFonts w:ascii="Cambria Math" w:eastAsia="SimSun" w:hAnsi="Cambria Math"/>
                <w:i/>
                <w:lang w:val="x-none"/>
              </w:rPr>
            </m:ctrlPr>
          </m:sSubPr>
          <m:e>
            <m:r>
              <w:rPr>
                <w:rFonts w:ascii="Cambria Math" w:eastAsia="SimSun" w:hAnsi="Cambria Math"/>
                <w:lang w:val="x-none"/>
              </w:rPr>
              <m:t>N</m:t>
            </m:r>
          </m:e>
          <m:sub>
            <m:r>
              <m:rPr>
                <m:nor/>
              </m:rPr>
              <w:rPr>
                <w:rFonts w:ascii="Cambria Math" w:eastAsia="SimSun" w:hAnsi="Cambria Math"/>
                <w:lang w:val="x-none"/>
              </w:rPr>
              <m:t>CS</m:t>
            </m:r>
          </m:sub>
        </m:sSub>
      </m:oMath>
      <w:r>
        <w:rPr>
          <w:rFonts w:eastAsia="SimSun"/>
        </w:rPr>
        <w:t xml:space="preserve">, </w:t>
      </w:r>
      <w:r>
        <w:rPr>
          <w:rFonts w:eastAsia="SimSun"/>
          <w:color w:val="000000"/>
          <w:lang w:val="x-none"/>
        </w:rPr>
        <w:t xml:space="preserve">where </w:t>
      </w:r>
      <m:oMath>
        <m:sSub>
          <m:sSubPr>
            <m:ctrlPr>
              <w:rPr>
                <w:rFonts w:ascii="Cambria Math" w:eastAsia="SimSun" w:hAnsi="Cambria Math"/>
                <w:i/>
                <w:color w:val="000000"/>
                <w:lang w:val="x-none"/>
              </w:rPr>
            </m:ctrlPr>
          </m:sSubPr>
          <m:e>
            <m:r>
              <w:rPr>
                <w:rFonts w:ascii="Cambria Math" w:eastAsia="SimSun" w:hAnsi="Cambria Math"/>
                <w:color w:val="000000"/>
                <w:lang w:val="x-none"/>
              </w:rPr>
              <m:t>N</m:t>
            </m:r>
          </m:e>
          <m:sub>
            <m:r>
              <m:rPr>
                <m:nor/>
              </m:rPr>
              <w:rPr>
                <w:rFonts w:eastAsia="SimSun"/>
                <w:color w:val="000000"/>
                <w:lang w:val="x-none"/>
              </w:rPr>
              <m:t>CS</m:t>
            </m:r>
          </m:sub>
        </m:sSub>
      </m:oMath>
      <w:r>
        <w:rPr>
          <w:rFonts w:eastAsia="SimSun"/>
          <w:color w:val="000000"/>
          <w:lang w:val="x-none"/>
        </w:rPr>
        <w:t xml:space="preserve"> is the total number of initial cyclic shifts indexes in the set of initial cyclic shift indexes </w:t>
      </w:r>
      <w:r>
        <w:rPr>
          <w:rFonts w:eastAsia="SimSun"/>
        </w:rPr>
        <w:t>in</w:t>
      </w:r>
      <w:r>
        <w:rPr>
          <w:rFonts w:eastAsia="SimSun"/>
          <w:lang w:val="x-none"/>
        </w:rPr>
        <w:t xml:space="preserve"> Table 9.2.1-1</w:t>
      </w:r>
    </w:p>
    <w:p w14:paraId="5C78F332" w14:textId="77777777" w:rsidR="00FF63A5" w:rsidRDefault="00FF63A5" w:rsidP="00FF63A5">
      <w:pPr>
        <w:spacing w:line="240" w:lineRule="auto"/>
        <w:ind w:left="568" w:hanging="284"/>
        <w:rPr>
          <w:rFonts w:eastAsia="SimSun"/>
          <w:lang w:val="x-none"/>
        </w:rPr>
      </w:pPr>
      <w:r>
        <w:rPr>
          <w:rFonts w:eastAsia="SimSun"/>
          <w:color w:val="000000"/>
          <w:lang w:val="x-none"/>
        </w:rPr>
        <w:t>-</w:t>
      </w:r>
      <w:r>
        <w:rPr>
          <w:rFonts w:eastAsia="SimSun"/>
          <w:color w:val="000000"/>
          <w:lang w:val="x-none"/>
        </w:rPr>
        <w:tab/>
        <w:t xml:space="preserve">if </w:t>
      </w:r>
      <w:proofErr w:type="spellStart"/>
      <w:r>
        <w:rPr>
          <w:rFonts w:eastAsia="SimSun"/>
          <w:i/>
          <w:lang w:val="x-none"/>
        </w:rPr>
        <w:t>pucch-ResourceCommon</w:t>
      </w:r>
      <w:proofErr w:type="spellEnd"/>
      <w:r>
        <w:rPr>
          <w:rFonts w:eastAsia="SimSun"/>
          <w:lang w:val="x-none"/>
        </w:rPr>
        <w:t xml:space="preserve"> indicates</w:t>
      </w:r>
    </w:p>
    <w:p w14:paraId="2716ADC4"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0: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2C15018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1 or 2: the first symbol is 9 for a PUCCH resource with PUCCH format 0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=15</m:t>
        </m:r>
      </m:oMath>
    </w:p>
    <w:p w14:paraId="3CE99E1F" w14:textId="77777777" w:rsidR="00FF63A5" w:rsidRDefault="00FF63A5" w:rsidP="00FF63A5">
      <w:pPr>
        <w:spacing w:line="240" w:lineRule="auto"/>
        <w:ind w:left="851" w:hanging="284"/>
        <w:rPr>
          <w:rFonts w:eastAsia="SimSun"/>
          <w:lang w:val="x-none"/>
        </w:rPr>
      </w:pPr>
      <w:r>
        <w:rPr>
          <w:rFonts w:eastAsia="SimSun"/>
          <w:lang w:val="x-none"/>
        </w:rPr>
        <w:t>-</w:t>
      </w:r>
      <w:r>
        <w:rPr>
          <w:rFonts w:eastAsia="SimSun"/>
          <w:lang w:val="x-none"/>
        </w:rPr>
        <w:tab/>
        <w:t xml:space="preserve">index 3, 7, or 11: </w:t>
      </w:r>
      <w:r>
        <w:rPr>
          <w:rFonts w:eastAsia="SimSun"/>
          <w:lang w:val="x-none" w:eastAsia="zh-CN"/>
        </w:rPr>
        <w:t>an orthogonal cover code</w:t>
      </w:r>
      <w:r>
        <w:rPr>
          <w:rFonts w:eastAsia="SimSun"/>
          <w:lang w:val="x-none"/>
        </w:rPr>
        <w:t xml:space="preserve"> </w:t>
      </w:r>
      <w:r>
        <w:rPr>
          <w:rFonts w:eastAsia="SimSun"/>
          <w:lang w:val="x-none" w:eastAsia="zh-CN"/>
        </w:rPr>
        <w:t xml:space="preserve">with index </w:t>
      </w:r>
      <w:r>
        <w:rPr>
          <w:rFonts w:eastAsia="SimSun"/>
          <w:lang w:val="x-none"/>
        </w:rPr>
        <w:t>1</w:t>
      </w:r>
      <w:r>
        <w:rPr>
          <w:rFonts w:eastAsia="SimSun"/>
          <w:lang w:val="x-none" w:eastAsia="zh-CN"/>
        </w:rPr>
        <w:t xml:space="preserve"> is used for a</w:t>
      </w:r>
      <w:r>
        <w:rPr>
          <w:rFonts w:eastAsia="SimSun"/>
          <w:lang w:val="x-none"/>
        </w:rPr>
        <w:t xml:space="preserve"> PUCCH resource with PUCCH format 1 if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ascii="Cambria Math" w:eastAsia="SimSun" w:hAnsi="Cambria Math"/>
                <w:lang w:val="x-none"/>
              </w:rPr>
              <m:t>PUCCH</m:t>
            </m:r>
          </m:sub>
        </m:sSub>
        <m:r>
          <w:rPr>
            <w:rFonts w:ascii="Cambria Math" w:eastAsia="SimSun" w:hAnsi="Cambria Math"/>
            <w:lang w:val="x-none"/>
          </w:rPr>
          <m:t>≥10</m:t>
        </m:r>
      </m:oMath>
    </w:p>
    <w:p w14:paraId="6963D690" w14:textId="77777777" w:rsidR="00FF63A5" w:rsidRDefault="00FF63A5" w:rsidP="00FF63A5">
      <w:pPr>
        <w:spacing w:line="240" w:lineRule="auto"/>
        <w:ind w:left="568" w:hanging="284"/>
        <w:rPr>
          <w:rFonts w:eastAsia="SimSun"/>
        </w:rPr>
      </w:pPr>
      <w:r>
        <w:rPr>
          <w:rFonts w:eastAsia="SimSun"/>
          <w:color w:val="000000"/>
          <w:lang w:val="x-none"/>
        </w:rPr>
        <w:t>-</w:t>
      </w:r>
      <w:r>
        <w:rPr>
          <w:rFonts w:eastAsia="SimSun"/>
          <w:color w:val="000000"/>
          <w:lang w:val="x-none"/>
        </w:rPr>
        <w:tab/>
        <w:t>the UE does not</w:t>
      </w:r>
      <w:r>
        <w:rPr>
          <w:rFonts w:eastAsia="SimSun"/>
          <w:lang w:val="x-none"/>
        </w:rPr>
        <w:t xml:space="preserve"> expect </w:t>
      </w:r>
      <w:proofErr w:type="spellStart"/>
      <w:r>
        <w:rPr>
          <w:rFonts w:eastAsia="SimSun"/>
          <w:i/>
          <w:lang w:val="x-none"/>
        </w:rPr>
        <w:t>pucch-ResourceCommon</w:t>
      </w:r>
      <w:proofErr w:type="spellEnd"/>
      <w:r>
        <w:rPr>
          <w:rFonts w:eastAsia="SimSun"/>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proofErr w:type="gramStart"/>
      <w:r>
        <w:t>,</w:t>
      </w:r>
      <w:proofErr w:type="gramEnd"/>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275BB374" w:rsidR="00230FB2" w:rsidRPr="006F08BA" w:rsidRDefault="006F08BA" w:rsidP="00A009BB">
            <w:pPr>
              <w:pStyle w:val="a6"/>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a6"/>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proofErr w:type="gramStart"/>
            <w:r>
              <w:rPr>
                <w:rFonts w:eastAsiaTheme="minorEastAsia" w:hint="eastAsia"/>
                <w:sz w:val="20"/>
                <w:szCs w:val="20"/>
                <w:lang w:val="de-DE"/>
              </w:rPr>
              <w:t>’</w:t>
            </w:r>
            <w:proofErr w:type="gramEnd"/>
            <w:r>
              <w:rPr>
                <w:rFonts w:eastAsiaTheme="minorEastAsia"/>
                <w:sz w:val="20"/>
                <w:szCs w:val="20"/>
                <w:lang w:val="de-DE"/>
              </w:rPr>
              <w:t>, but we are fine with Alt-2</w:t>
            </w:r>
            <w:proofErr w:type="gramStart"/>
            <w:r>
              <w:rPr>
                <w:rFonts w:eastAsiaTheme="minorEastAsia" w:hint="eastAsia"/>
                <w:sz w:val="20"/>
                <w:szCs w:val="20"/>
                <w:lang w:val="de-DE"/>
              </w:rPr>
              <w:t>’</w:t>
            </w:r>
            <w:proofErr w:type="gramEnd"/>
            <w:r>
              <w:rPr>
                <w:rFonts w:eastAsiaTheme="minorEastAsia"/>
                <w:sz w:val="20"/>
                <w:szCs w:val="20"/>
                <w:lang w:val="de-DE"/>
              </w:rPr>
              <w:t xml:space="preserve"> if it</w:t>
            </w:r>
            <w:proofErr w:type="gramStart"/>
            <w:r>
              <w:rPr>
                <w:rFonts w:eastAsiaTheme="minorEastAsia"/>
                <w:sz w:val="20"/>
                <w:szCs w:val="20"/>
                <w:lang w:val="de-DE"/>
              </w:rPr>
              <w:t>’</w:t>
            </w:r>
            <w:proofErr w:type="gramEnd"/>
            <w:r>
              <w:rPr>
                <w:rFonts w:eastAsiaTheme="minorEastAsia"/>
                <w:sz w:val="20"/>
                <w:szCs w:val="20"/>
                <w:lang w:val="de-DE"/>
              </w:rPr>
              <w:t xml:space="preserve">s the majority view. </w:t>
            </w:r>
          </w:p>
          <w:p w14:paraId="7B000DA5" w14:textId="77777777" w:rsidR="00183F3E" w:rsidRPr="00070224" w:rsidRDefault="00183F3E" w:rsidP="00183F3E">
            <w:pPr>
              <w:pStyle w:val="a6"/>
              <w:spacing w:after="0"/>
              <w:jc w:val="left"/>
              <w:rPr>
                <w:rFonts w:eastAsiaTheme="minorEastAsia"/>
                <w:sz w:val="20"/>
                <w:szCs w:val="20"/>
                <w:lang w:val="de-DE"/>
              </w:rPr>
            </w:pPr>
          </w:p>
          <w:p w14:paraId="4C187A56" w14:textId="77777777" w:rsidR="00183F3E" w:rsidRDefault="00183F3E" w:rsidP="00183F3E">
            <w:pPr>
              <w:pStyle w:val="a6"/>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a6"/>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a6"/>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a6"/>
              <w:spacing w:after="0"/>
              <w:rPr>
                <w:sz w:val="20"/>
                <w:szCs w:val="20"/>
                <w:lang w:val="de-DE"/>
              </w:rPr>
            </w:pPr>
          </w:p>
          <w:p w14:paraId="4B8F5B99" w14:textId="58C19CC3" w:rsidR="002E6C18" w:rsidRPr="00D11A4A" w:rsidRDefault="002E6C18" w:rsidP="002E6C18">
            <w:pPr>
              <w:pStyle w:val="a6"/>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a6"/>
              <w:spacing w:after="0"/>
              <w:rPr>
                <w:sz w:val="20"/>
                <w:szCs w:val="20"/>
                <w:lang w:val="de-DE"/>
              </w:rPr>
            </w:pPr>
          </w:p>
          <w:p w14:paraId="3852ED95" w14:textId="77777777" w:rsidR="002A3B21" w:rsidRDefault="002A3B21" w:rsidP="002E6C18">
            <w:pPr>
              <w:pStyle w:val="a6"/>
              <w:spacing w:after="0"/>
              <w:rPr>
                <w:sz w:val="20"/>
                <w:szCs w:val="20"/>
                <w:lang w:val="de-DE"/>
              </w:rPr>
            </w:pPr>
          </w:p>
          <w:p w14:paraId="3DFA2E7D" w14:textId="3D7B57BD" w:rsidR="002E6C18" w:rsidRDefault="002E6C18" w:rsidP="002E6C18">
            <w:pPr>
              <w:pStyle w:val="a6"/>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a6"/>
              <w:spacing w:after="0"/>
              <w:rPr>
                <w:sz w:val="20"/>
                <w:szCs w:val="20"/>
                <w:lang w:val="de-DE"/>
              </w:rPr>
            </w:pPr>
          </w:p>
          <w:p w14:paraId="52FDDFD9" w14:textId="0AA4B985" w:rsidR="002E6C18" w:rsidRDefault="00083A9B" w:rsidP="002E6C18">
            <w:pPr>
              <w:pStyle w:val="a6"/>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a6"/>
              <w:spacing w:after="0"/>
              <w:rPr>
                <w:sz w:val="20"/>
                <w:szCs w:val="20"/>
                <w:lang w:val="de-DE"/>
              </w:rPr>
            </w:pPr>
          </w:p>
          <w:p w14:paraId="12B2B655" w14:textId="4F7F2493" w:rsidR="004660F3" w:rsidRDefault="004660F3" w:rsidP="002E6C18">
            <w:pPr>
              <w:pStyle w:val="a6"/>
              <w:spacing w:after="0"/>
              <w:rPr>
                <w:sz w:val="20"/>
                <w:szCs w:val="20"/>
                <w:lang w:val="de-DE"/>
              </w:rPr>
            </w:pPr>
          </w:p>
          <w:p w14:paraId="37B7D988" w14:textId="77777777" w:rsidR="004660F3" w:rsidRDefault="004660F3" w:rsidP="002E6C18">
            <w:pPr>
              <w:pStyle w:val="a6"/>
              <w:spacing w:after="0"/>
              <w:rPr>
                <w:sz w:val="20"/>
                <w:szCs w:val="20"/>
                <w:lang w:val="de-DE"/>
              </w:rPr>
            </w:pPr>
          </w:p>
          <w:p w14:paraId="3AF65CD2" w14:textId="01D99195" w:rsidR="004660F3" w:rsidRDefault="004660F3" w:rsidP="002E6C18">
            <w:pPr>
              <w:pStyle w:val="a6"/>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a6"/>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a6"/>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a6"/>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a6"/>
              <w:spacing w:after="0"/>
              <w:rPr>
                <w:rFonts w:ascii="Times New Roman" w:hAnsi="Times New Roman"/>
                <w:sz w:val="20"/>
                <w:lang w:val="de-DE"/>
              </w:rPr>
            </w:pPr>
          </w:p>
          <w:p w14:paraId="700E49A1" w14:textId="77777777" w:rsidR="002E6C18" w:rsidRPr="00840E61" w:rsidRDefault="002E6C18" w:rsidP="002E6C18">
            <w:pPr>
              <w:pStyle w:val="a6"/>
              <w:spacing w:after="0"/>
              <w:rPr>
                <w:rFonts w:ascii="Times New Roman" w:hAnsi="Times New Roman"/>
                <w:sz w:val="20"/>
                <w:lang w:val="de-DE"/>
              </w:rPr>
            </w:pPr>
          </w:p>
          <w:p w14:paraId="55B9CAE2" w14:textId="6601A3DD" w:rsidR="002E6C18" w:rsidRPr="00D11A4A" w:rsidRDefault="002E6C18" w:rsidP="002E6C18">
            <w:pPr>
              <w:pStyle w:val="a6"/>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a6"/>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a6"/>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a6"/>
              <w:spacing w:after="0"/>
              <w:rPr>
                <w:rFonts w:ascii="Times New Roman" w:eastAsiaTheme="minorEastAsia" w:hAnsi="Times New Roman"/>
                <w:lang w:val="de-DE"/>
              </w:rPr>
            </w:pPr>
          </w:p>
          <w:p w14:paraId="78947237" w14:textId="7A188275" w:rsidR="00FD323E" w:rsidRDefault="009E2BDF" w:rsidP="009E2BDF">
            <w:pPr>
              <w:pStyle w:val="a6"/>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126F5F39" w14:textId="77777777" w:rsidR="00B13C46" w:rsidRPr="00ED500C" w:rsidRDefault="00B13C46" w:rsidP="00B13C46">
            <w:pPr>
              <w:pStyle w:val="a6"/>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a6"/>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a6"/>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a6"/>
              <w:spacing w:after="0"/>
              <w:rPr>
                <w:rFonts w:ascii="Times New Roman" w:eastAsiaTheme="minorEastAsia" w:hAnsi="Times New Roman"/>
              </w:rPr>
            </w:pPr>
          </w:p>
          <w:p w14:paraId="50655E82" w14:textId="77777777" w:rsidR="00B13C46" w:rsidRDefault="00B13C46" w:rsidP="00B13C46">
            <w:pPr>
              <w:pStyle w:val="a6"/>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a6"/>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a6"/>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a6"/>
              <w:spacing w:after="0"/>
              <w:rPr>
                <w:rFonts w:ascii="Times New Roman" w:hAnsi="Times New Roman"/>
                <w:lang w:val="de-DE"/>
              </w:rPr>
            </w:pPr>
            <w:bookmarkStart w:id="28" w:name="_GoBack"/>
            <w:bookmarkEnd w:id="28"/>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xml:space="preserve">, also followed by </w:t>
            </w:r>
            <w:proofErr w:type="spellStart"/>
            <w:r w:rsidR="0027665D">
              <w:rPr>
                <w:rFonts w:ascii="Times New Roman" w:eastAsia="MS Gothic" w:hAnsi="Times New Roman"/>
                <w:sz w:val="18"/>
                <w:lang w:eastAsia="ja-JP"/>
              </w:rPr>
              <w:t>Havish’s</w:t>
            </w:r>
            <w:proofErr w:type="spellEnd"/>
            <w:r w:rsidR="0027665D">
              <w:rPr>
                <w:rFonts w:ascii="Times New Roman" w:eastAsia="MS Gothic" w:hAnsi="Times New Roman"/>
                <w:sz w:val="18"/>
                <w:lang w:eastAsia="ja-JP"/>
              </w:rPr>
              <w:t xml:space="preserve">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a6"/>
              <w:spacing w:after="0"/>
              <w:rPr>
                <w:rFonts w:ascii="Times New Roman" w:eastAsia="MS Gothic" w:hAnsi="Times New Roman"/>
                <w:sz w:val="18"/>
                <w:lang w:eastAsia="ja-JP"/>
              </w:rPr>
            </w:pPr>
          </w:p>
          <w:p w14:paraId="1DC0A6B3" w14:textId="2634C86F" w:rsidR="0027665D" w:rsidRDefault="0027665D" w:rsidP="00B13C46">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a6"/>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AB0584">
              <w:rPr>
                <w:rFonts w:ascii="Times New Roman" w:eastAsia="MS Gothic" w:hAnsi="Times New Roman"/>
                <w:sz w:val="18"/>
                <w:lang w:eastAsia="ja-JP"/>
              </w:rPr>
              <w:t xml:space="preserve">Alt-2: PUSCH is allocated in Msg1 RB set. </w:t>
            </w:r>
          </w:p>
          <w:p w14:paraId="396ABC4C" w14:textId="0F48DB23"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AB0584">
              <w:rPr>
                <w:rFonts w:ascii="Times New Roman" w:eastAsia="MS Gothic" w:hAnsi="Times New Roman"/>
                <w:sz w:val="18"/>
                <w:lang w:eastAsia="ja-JP"/>
              </w:rPr>
              <w:t xml:space="preserve">Alt-3: </w:t>
            </w:r>
            <w:r w:rsidR="00AB0584">
              <w:rPr>
                <w:rFonts w:ascii="Times New Roman" w:eastAsia="MS Gothic" w:hAnsi="Times New Roman"/>
                <w:sz w:val="18"/>
                <w:lang w:eastAsia="ja-JP"/>
              </w:rPr>
              <w:t xml:space="preserve">if active UL BWP fully covers initial UL BWP and have the same SCS and CP length, the PUSCH is allocated in the RB set of the active UL BWP overlaps with the initial UL BWP; otherwise, PUSCH in allocated in the </w:t>
            </w:r>
            <w:r w:rsidR="00AB0584">
              <w:rPr>
                <w:rFonts w:ascii="Times New Roman" w:eastAsia="MS Gothic" w:hAnsi="Times New Roman"/>
                <w:sz w:val="18"/>
                <w:lang w:eastAsia="ja-JP"/>
              </w:rPr>
              <w:t xml:space="preserve">UL </w:t>
            </w:r>
            <w:r w:rsidR="00AB0584">
              <w:rPr>
                <w:rFonts w:ascii="Times New Roman" w:eastAsia="MS Gothic" w:hAnsi="Times New Roman"/>
                <w:sz w:val="18"/>
                <w:lang w:eastAsia="ja-JP"/>
              </w:rPr>
              <w:t>RB se</w:t>
            </w:r>
            <w:r w:rsidR="00AB0584">
              <w:rPr>
                <w:rFonts w:ascii="Times New Roman" w:eastAsia="MS Gothic" w:hAnsi="Times New Roman"/>
                <w:sz w:val="18"/>
                <w:lang w:eastAsia="ja-JP"/>
              </w:rPr>
              <w:t xml:space="preserv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AB0584">
              <w:rPr>
                <w:rFonts w:ascii="Times New Roman" w:eastAsia="MS Gothic" w:hAnsi="Times New Roman"/>
                <w:sz w:val="18"/>
                <w:lang w:eastAsia="ja-JP"/>
              </w:rPr>
              <w:t xml:space="preserve">Alt-4: </w:t>
            </w:r>
            <w:r w:rsidR="00AB0584">
              <w:rPr>
                <w:rFonts w:ascii="Times New Roman" w:eastAsia="MS Gothic" w:hAnsi="Times New Roman"/>
                <w:sz w:val="18"/>
                <w:lang w:eastAsia="ja-JP"/>
              </w:rPr>
              <w:t xml:space="preserve">if active UL BWP fully covers initial UL BWP and have the same SCS and CP length, the PUSCH is allocated in the RB set of the active UL BWP overlaps with the initial UL BWP; otherwise, </w:t>
            </w:r>
            <w:r w:rsidR="00AB0584">
              <w:rPr>
                <w:rFonts w:ascii="Times New Roman" w:eastAsia="MS Gothic" w:hAnsi="Times New Roman"/>
                <w:sz w:val="18"/>
                <w:lang w:eastAsia="ja-JP"/>
              </w:rPr>
              <w:t xml:space="preserve">RAR includes Y bits. </w:t>
            </w:r>
          </w:p>
          <w:p w14:paraId="1FA49643" w14:textId="77777777" w:rsidR="00AB0584" w:rsidRPr="00A92E47" w:rsidRDefault="00AB0584" w:rsidP="00AB0584">
            <w:pPr>
              <w:pStyle w:val="a6"/>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a6"/>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w:t>
            </w:r>
            <w:r>
              <w:rPr>
                <w:rFonts w:ascii="Times New Roman" w:eastAsia="MS Gothic" w:hAnsi="Times New Roman"/>
                <w:sz w:val="18"/>
                <w:lang w:eastAsia="ja-JP"/>
              </w:rPr>
              <w:t xml:space="preserve">if active UL BWP fully covers initial UL BWP and have the same SCS and CP length, the PUSCH is allocated in the RB set of the active UL BWP overlaps with </w:t>
            </w:r>
            <w:r>
              <w:rPr>
                <w:rFonts w:ascii="Times New Roman" w:eastAsia="MS Gothic" w:hAnsi="Times New Roman"/>
                <w:sz w:val="18"/>
                <w:lang w:eastAsia="ja-JP"/>
              </w:rPr>
              <w:t>CORESET 0</w:t>
            </w:r>
            <w:r>
              <w:rPr>
                <w:rFonts w:ascii="Times New Roman" w:eastAsia="MS Gothic" w:hAnsi="Times New Roman"/>
                <w:sz w:val="18"/>
                <w:lang w:eastAsia="ja-JP"/>
              </w:rPr>
              <w:t xml:space="preserve">; otherwise, the PUSCH in allocated in the RB set 0 of the active UL BWP. </w:t>
            </w:r>
          </w:p>
          <w:p w14:paraId="1DF97FF8" w14:textId="1F9FBBEF" w:rsid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w:t>
            </w:r>
            <w:r>
              <w:rPr>
                <w:rFonts w:ascii="Times New Roman" w:eastAsia="MS Gothic" w:hAnsi="Times New Roman"/>
                <w:sz w:val="18"/>
                <w:lang w:eastAsia="ja-JP"/>
              </w:rPr>
              <w:t>lt-2</w:t>
            </w:r>
            <w:r>
              <w:rPr>
                <w:rFonts w:ascii="Times New Roman" w:eastAsia="MS Gothic" w:hAnsi="Times New Roman"/>
                <w:sz w:val="18"/>
                <w:lang w:eastAsia="ja-JP"/>
              </w:rPr>
              <w:t>:</w:t>
            </w:r>
            <w:r>
              <w:rPr>
                <w:rFonts w:ascii="Times New Roman" w:eastAsia="MS Gothic" w:hAnsi="Times New Roman"/>
                <w:sz w:val="18"/>
                <w:lang w:eastAsia="ja-JP"/>
              </w:rPr>
              <w:t xml:space="preserve"> </w:t>
            </w:r>
            <w:r>
              <w:rPr>
                <w:rFonts w:ascii="Times New Roman" w:eastAsia="MS Gothic" w:hAnsi="Times New Roman"/>
                <w:sz w:val="18"/>
                <w:lang w:eastAsia="ja-JP"/>
              </w:rPr>
              <w:t>PUSCH is allocated in Msg1 RB set.</w:t>
            </w:r>
          </w:p>
          <w:p w14:paraId="4DF971CD" w14:textId="4551BD57" w:rsid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w:t>
            </w:r>
            <w:r>
              <w:rPr>
                <w:rFonts w:ascii="Times New Roman" w:eastAsia="MS Gothic" w:hAnsi="Times New Roman"/>
                <w:sz w:val="18"/>
                <w:lang w:eastAsia="ja-JP"/>
              </w:rPr>
              <w:t>lt-3</w:t>
            </w:r>
            <w:r>
              <w:rPr>
                <w:rFonts w:ascii="Times New Roman" w:eastAsia="MS Gothic" w:hAnsi="Times New Roman"/>
                <w:sz w:val="18"/>
                <w:lang w:eastAsia="ja-JP"/>
              </w:rPr>
              <w:t>: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a6"/>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O2-Alt-4:</w:t>
            </w:r>
            <w:r>
              <w:rPr>
                <w:rFonts w:ascii="Times New Roman" w:eastAsia="MS Gothic" w:hAnsi="Times New Roman"/>
                <w:sz w:val="18"/>
                <w:lang w:eastAsia="ja-JP"/>
              </w:rPr>
              <w:t xml:space="preserve"> RAR includes Y bits. </w:t>
            </w:r>
          </w:p>
          <w:p w14:paraId="4154A0D7" w14:textId="087C427F" w:rsidR="00AB0584" w:rsidRDefault="00AB0584" w:rsidP="0027665D">
            <w:pPr>
              <w:pStyle w:val="a6"/>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a6"/>
              <w:spacing w:after="0"/>
              <w:ind w:left="488" w:hangingChars="271" w:hanging="488"/>
              <w:rPr>
                <w:rFonts w:ascii="Times New Roman" w:eastAsia="MS Gothic" w:hAnsi="Times New Roman" w:hint="eastAsia"/>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a6"/>
              <w:spacing w:after="0"/>
              <w:rPr>
                <w:rFonts w:ascii="Times New Roman" w:eastAsia="MS Gothic" w:hAnsi="Times New Roman"/>
                <w:sz w:val="18"/>
                <w:lang w:eastAsia="ja-JP"/>
              </w:rPr>
            </w:pPr>
          </w:p>
          <w:p w14:paraId="04928D63" w14:textId="77777777" w:rsidR="002155F8" w:rsidRDefault="002155F8" w:rsidP="002155F8">
            <w:pPr>
              <w:pStyle w:val="a6"/>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a6"/>
              <w:spacing w:after="0"/>
              <w:rPr>
                <w:rFonts w:ascii="Times New Roman" w:eastAsia="MS Gothic" w:hAnsi="Times New Roman"/>
                <w:sz w:val="18"/>
                <w:lang w:eastAsia="ja-JP"/>
              </w:rPr>
            </w:pPr>
            <w:r>
              <w:rPr>
                <w:rFonts w:ascii="Times New Roman" w:eastAsia="MS Gothic" w:hAnsi="Times New Roman"/>
                <w:sz w:val="18"/>
                <w:lang w:eastAsia="ja-JP"/>
              </w:rPr>
              <w:t>O</w:t>
            </w:r>
            <w:r>
              <w:rPr>
                <w:rFonts w:ascii="Times New Roman" w:eastAsia="MS Gothic" w:hAnsi="Times New Roman"/>
                <w:sz w:val="18"/>
                <w:lang w:eastAsia="ja-JP"/>
              </w:rPr>
              <w:t>2</w:t>
            </w:r>
            <w:r>
              <w:rPr>
                <w:rFonts w:ascii="Times New Roman" w:eastAsia="MS Gothic" w:hAnsi="Times New Roman"/>
                <w:sz w:val="18"/>
                <w:lang w:eastAsia="ja-JP"/>
              </w:rPr>
              <w:t>-Alt-1 and O</w:t>
            </w:r>
            <w:r>
              <w:rPr>
                <w:rFonts w:ascii="Times New Roman" w:eastAsia="MS Gothic" w:hAnsi="Times New Roman"/>
                <w:sz w:val="18"/>
                <w:lang w:eastAsia="ja-JP"/>
              </w:rPr>
              <w:t>2</w:t>
            </w:r>
            <w:r>
              <w:rPr>
                <w:rFonts w:ascii="Times New Roman" w:eastAsia="MS Gothic" w:hAnsi="Times New Roman"/>
                <w:sz w:val="18"/>
                <w:lang w:eastAsia="ja-JP"/>
              </w:rPr>
              <w:t xml:space="preserve">-Alt-2 are </w:t>
            </w:r>
            <w:r>
              <w:rPr>
                <w:rFonts w:ascii="Times New Roman" w:eastAsia="MS Gothic" w:hAnsi="Times New Roman"/>
                <w:sz w:val="18"/>
                <w:lang w:eastAsia="ja-JP"/>
              </w:rPr>
              <w:t>still</w:t>
            </w:r>
            <w:r>
              <w:rPr>
                <w:rFonts w:ascii="Times New Roman" w:eastAsia="MS Gothic" w:hAnsi="Times New Roman"/>
                <w:sz w:val="18"/>
                <w:lang w:eastAsia="ja-JP"/>
              </w:rPr>
              <w:t xml:space="preserve"> the same for idle UE</w:t>
            </w:r>
            <w:r>
              <w:rPr>
                <w:rFonts w:ascii="Times New Roman" w:eastAsia="MS Gothic" w:hAnsi="Times New Roman"/>
                <w:sz w:val="18"/>
                <w:lang w:eastAsia="ja-JP"/>
              </w:rPr>
              <w:t xml:space="preserve">, and O2-Alt-2 has the advantage of leaving more flexibility for gNB to configure RB set for Msg1 transmission for active UEs. Similarly, if companies are after </w:t>
            </w:r>
            <w:r>
              <w:rPr>
                <w:rFonts w:ascii="Times New Roman" w:eastAsia="MS Gothic" w:hAnsi="Times New Roman"/>
                <w:sz w:val="18"/>
                <w:lang w:eastAsia="ja-JP"/>
              </w:rPr>
              <w:t>scheduling flexibility, O</w:t>
            </w:r>
            <w:r>
              <w:rPr>
                <w:rFonts w:ascii="Times New Roman" w:eastAsia="MS Gothic" w:hAnsi="Times New Roman"/>
                <w:sz w:val="18"/>
                <w:lang w:eastAsia="ja-JP"/>
              </w:rPr>
              <w:t>2</w:t>
            </w:r>
            <w:r>
              <w:rPr>
                <w:rFonts w:ascii="Times New Roman" w:eastAsia="MS Gothic" w:hAnsi="Times New Roman"/>
                <w:sz w:val="18"/>
                <w:lang w:eastAsia="ja-JP"/>
              </w:rPr>
              <w:t>-Alt-4 should be considered.</w:t>
            </w:r>
            <w:r>
              <w:rPr>
                <w:rFonts w:ascii="Times New Roman" w:eastAsia="MS Gothic" w:hAnsi="Times New Roman"/>
                <w:sz w:val="18"/>
                <w:lang w:eastAsia="ja-JP"/>
              </w:rPr>
              <w:t xml:space="preserve"> </w:t>
            </w:r>
          </w:p>
          <w:p w14:paraId="58B4F495" w14:textId="77777777" w:rsidR="002155F8" w:rsidRDefault="002155F8" w:rsidP="002155F8">
            <w:pPr>
              <w:pStyle w:val="a6"/>
              <w:spacing w:after="0"/>
              <w:rPr>
                <w:rFonts w:ascii="Times New Roman" w:eastAsia="MS Gothic" w:hAnsi="Times New Roman"/>
                <w:sz w:val="18"/>
                <w:lang w:eastAsia="ja-JP"/>
              </w:rPr>
            </w:pPr>
          </w:p>
          <w:p w14:paraId="25726C1E" w14:textId="77777777" w:rsidR="002155F8" w:rsidRPr="005741D8" w:rsidRDefault="002155F8" w:rsidP="002155F8">
            <w:pPr>
              <w:pStyle w:val="a6"/>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a6"/>
              <w:spacing w:after="0"/>
              <w:rPr>
                <w:rFonts w:ascii="Times New Roman" w:eastAsia="MS Gothic" w:hAnsi="Times New Roman" w:hint="eastAsia"/>
                <w:sz w:val="18"/>
                <w:lang w:eastAsia="ja-JP"/>
              </w:rPr>
            </w:pPr>
            <w:r>
              <w:rPr>
                <w:rFonts w:ascii="Times New Roman" w:eastAsia="MS Gothic" w:hAnsi="Times New Roman"/>
                <w:sz w:val="18"/>
                <w:lang w:eastAsia="ja-JP"/>
              </w:rPr>
              <w:t xml:space="preserve">We prefer Option 1 and support O1-Alt-1 and O1-Alt-2, with slight preference for </w:t>
            </w:r>
            <w:r>
              <w:rPr>
                <w:rFonts w:ascii="Times New Roman" w:eastAsia="MS Gothic" w:hAnsi="Times New Roman"/>
                <w:sz w:val="18"/>
                <w:lang w:eastAsia="ja-JP"/>
              </w:rPr>
              <w:t>O1-Alt-2</w:t>
            </w:r>
            <w:r>
              <w:rPr>
                <w:rFonts w:ascii="Times New Roman" w:eastAsia="MS Gothic" w:hAnsi="Times New Roman"/>
                <w:sz w:val="18"/>
                <w:lang w:eastAsia="ja-JP"/>
              </w:rPr>
              <w:t>.</w:t>
            </w:r>
          </w:p>
        </w:tc>
      </w:tr>
      <w:tr w:rsidR="0027665D" w14:paraId="111AF4B1" w14:textId="77777777" w:rsidTr="00A009BB">
        <w:tc>
          <w:tcPr>
            <w:tcW w:w="1525" w:type="dxa"/>
          </w:tcPr>
          <w:p w14:paraId="22616A37" w14:textId="31AA8B5F" w:rsidR="0027665D" w:rsidRPr="0027665D" w:rsidRDefault="0027665D" w:rsidP="002E6C18">
            <w:pPr>
              <w:pStyle w:val="a6"/>
              <w:spacing w:after="0"/>
              <w:rPr>
                <w:rFonts w:hint="eastAsia"/>
              </w:rPr>
            </w:pPr>
          </w:p>
        </w:tc>
        <w:tc>
          <w:tcPr>
            <w:tcW w:w="7560" w:type="dxa"/>
          </w:tcPr>
          <w:p w14:paraId="0E348D3C" w14:textId="77777777" w:rsidR="0027665D" w:rsidRDefault="0027665D" w:rsidP="00B13C46">
            <w:pPr>
              <w:pStyle w:val="a6"/>
              <w:spacing w:after="0"/>
              <w:rPr>
                <w:rFonts w:ascii="Times New Roman" w:eastAsia="MS Gothic" w:hAnsi="Times New Roman"/>
                <w:sz w:val="18"/>
                <w:lang w:eastAsia="ja-JP"/>
              </w:rPr>
            </w:pPr>
          </w:p>
        </w:tc>
      </w:tr>
    </w:tbl>
    <w:p w14:paraId="117AC087" w14:textId="11F1196A"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lastRenderedPageBreak/>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6F08BA" w:rsidRPr="004C05A3" w:rsidRDefault="006F08BA"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6F08BA" w:rsidRDefault="006F08BA"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6F08BA" w:rsidRPr="004C05A3" w:rsidRDefault="006F08BA" w:rsidP="00F976AE">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6F08BA" w:rsidRDefault="006F08BA"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 xml:space="preserve">Since Rel-15 supports both Option 1 and Option 2, it should be further discussed how to capture the NR-U agreement on 20 MHz initial DL/UL BWP in consideration of both of these options. As it turns out, </w:t>
      </w:r>
      <w:r>
        <w:rPr>
          <w:rStyle w:val="Char"/>
        </w:rPr>
        <w:lastRenderedPageBreak/>
        <w:t>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SimSun" w:hAnsi="Times New Roman"/>
          <w:color w:val="FF0000"/>
        </w:rPr>
        <w:lastRenderedPageBreak/>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SimSun" w:hAnsi="Times New Roman"/>
          <w:color w:val="FF0000"/>
        </w:rPr>
        <w:t xml:space="preserve">CORESET in which the </w:t>
      </w:r>
      <w:commentRangeStart w:id="44"/>
      <w:r>
        <w:rPr>
          <w:rFonts w:ascii="Times New Roman" w:eastAsia="SimSun" w:hAnsi="Times New Roman"/>
          <w:color w:val="FF0000"/>
        </w:rPr>
        <w:t xml:space="preserve">DCI format </w:t>
      </w:r>
      <w:commentRangeEnd w:id="44"/>
      <w:r>
        <w:rPr>
          <w:rStyle w:val="af9"/>
        </w:rPr>
        <w:commentReference w:id="44"/>
      </w:r>
      <w:r>
        <w:rPr>
          <w:rFonts w:ascii="Times New Roman" w:eastAsia="SimSun" w:hAnsi="Times New Roman"/>
          <w:color w:val="FF0000"/>
        </w:rPr>
        <w:t>is detected</w:t>
      </w:r>
      <w:commentRangeEnd w:id="43"/>
      <w:r>
        <w:rPr>
          <w:rStyle w:val="af9"/>
        </w:rPr>
        <w:commentReference w:id="43"/>
      </w:r>
      <w:r>
        <w:rPr>
          <w:rFonts w:ascii="Times New Roman" w:eastAsia="SimSun" w:hAnsi="Times New Roman"/>
          <w:color w:val="FF0000"/>
        </w:rPr>
        <w:t>. [</w:t>
      </w:r>
      <w:commentRangeStart w:id="45"/>
      <w:r>
        <w:rPr>
          <w:rFonts w:ascii="Times New Roman" w:eastAsia="SimSun" w:hAnsi="Times New Roman"/>
          <w:color w:val="FF0000"/>
        </w:rPr>
        <w:t>If there is no intersection</w:t>
      </w:r>
      <w:commentRangeEnd w:id="45"/>
      <w:r>
        <w:rPr>
          <w:rStyle w:val="af9"/>
        </w:rPr>
        <w:commentReference w:id="45"/>
      </w:r>
      <w:r>
        <w:rPr>
          <w:rFonts w:ascii="Times New Roman" w:eastAsia="SimSun"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5"/>
          <w:footerReference w:type="default" r:id="rId26"/>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pt;height:86pt" o:ole="">
            <v:imagedata r:id="rId28" o:title=""/>
          </v:shape>
          <o:OLEObject Type="Embed" ProgID="Visio.Drawing.15" ShapeID="_x0000_i1025" DrawAspect="Content" ObjectID="_1652207602" r:id="rId29"/>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pt;height:116.5pt" o:ole="">
            <v:imagedata r:id="rId30" o:title=""/>
          </v:shape>
          <o:OLEObject Type="Embed" ProgID="Visio.Drawing.15" ShapeID="_x0000_i1026" DrawAspect="Content" ObjectID="_1652207603" r:id="rId31"/>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2"/>
      <w:footerReference w:type="default" r:id="rId33"/>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6F08BA" w:rsidRDefault="006F08BA">
      <w:pPr>
        <w:pStyle w:val="a9"/>
      </w:pPr>
      <w:r>
        <w:rPr>
          <w:rStyle w:val="af9"/>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6F08BA" w:rsidRDefault="006F08BA">
      <w:pPr>
        <w:pStyle w:val="a9"/>
      </w:pPr>
    </w:p>
    <w:p w14:paraId="4999AF06" w14:textId="42A2E36F" w:rsidR="006F08BA" w:rsidRDefault="006F08BA">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6F08BA" w:rsidRDefault="006F08BA" w:rsidP="009E2A1F">
      <w:pPr>
        <w:pStyle w:val="a9"/>
      </w:pPr>
      <w:r>
        <w:rPr>
          <w:rStyle w:val="af9"/>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6F08BA" w:rsidRDefault="006F08BA" w:rsidP="009E2A1F">
      <w:pPr>
        <w:pStyle w:val="a9"/>
      </w:pPr>
    </w:p>
    <w:p w14:paraId="39DCE8B2" w14:textId="3F874640" w:rsidR="006F08BA" w:rsidRDefault="006F08BA"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6F08BA" w:rsidRDefault="006F08BA" w:rsidP="00FF63A5">
      <w:pPr>
        <w:pStyle w:val="a9"/>
      </w:pPr>
      <w:r>
        <w:rPr>
          <w:rStyle w:val="af9"/>
        </w:rPr>
        <w:annotationRef/>
      </w:r>
      <w:r>
        <w:t>Earlier in Section 9.2.1 the following text clarifies what DCI format the UE detects:</w:t>
      </w:r>
    </w:p>
    <w:p w14:paraId="534CE0A5" w14:textId="77777777" w:rsidR="006F08BA" w:rsidRDefault="006F08BA" w:rsidP="00FF63A5">
      <w:pPr>
        <w:pStyle w:val="a9"/>
      </w:pPr>
    </w:p>
    <w:p w14:paraId="4752F4E7" w14:textId="77777777" w:rsidR="006F08BA" w:rsidRPr="00DA007B" w:rsidRDefault="006F08BA"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6F08BA" w:rsidRDefault="006F08BA" w:rsidP="005E321A">
      <w:pPr>
        <w:pStyle w:val="a9"/>
      </w:pPr>
      <w:r>
        <w:rPr>
          <w:rStyle w:val="af9"/>
        </w:rPr>
        <w:annotationRef/>
      </w:r>
      <w:r>
        <w:t>Note: TC-RNTI to be addressed separately (Issue #1)</w:t>
      </w:r>
    </w:p>
  </w:comment>
  <w:comment w:id="23" w:author="Stephen Grant" w:date="2020-05-23T08:36:00Z" w:initials="SG">
    <w:p w14:paraId="3996847D" w14:textId="77777777" w:rsidR="006F08BA" w:rsidRDefault="006F08BA" w:rsidP="00004759">
      <w:pPr>
        <w:pStyle w:val="a9"/>
      </w:pPr>
      <w:r>
        <w:rPr>
          <w:rStyle w:val="af9"/>
        </w:rPr>
        <w:annotationRef/>
      </w:r>
      <w:r>
        <w:t>Note: TC-RNTI to be addressed separately (Issue #1)</w:t>
      </w:r>
    </w:p>
  </w:comment>
  <w:comment w:id="24" w:author="Stephen Grant" w:date="2020-05-23T08:36:00Z" w:initials="SG">
    <w:p w14:paraId="4CF48340" w14:textId="77777777" w:rsidR="006F08BA" w:rsidRDefault="006F08BA" w:rsidP="00004759">
      <w:pPr>
        <w:pStyle w:val="a9"/>
      </w:pPr>
      <w:r>
        <w:rPr>
          <w:rStyle w:val="af9"/>
        </w:rPr>
        <w:annotationRef/>
      </w:r>
      <w:r>
        <w:t>Note: TC-RNTI to be addressed separately (Issue #1)</w:t>
      </w:r>
    </w:p>
  </w:comment>
  <w:comment w:id="25" w:author="Stephen Grant" w:date="2020-05-27T15:46:00Z" w:initials="SG">
    <w:p w14:paraId="239DEAD6" w14:textId="7410AEE5" w:rsidR="006F08BA" w:rsidRDefault="006F08BA">
      <w:pPr>
        <w:pStyle w:val="a9"/>
      </w:pPr>
      <w:r>
        <w:rPr>
          <w:rStyle w:val="af9"/>
        </w:rPr>
        <w:annotationRef/>
      </w:r>
      <w:r>
        <w:t>Narrowed down to Alt-1 and Alt-3 since Alt-2 has very little support</w:t>
      </w:r>
    </w:p>
  </w:comment>
  <w:comment w:id="26" w:author="Stephen Grant" w:date="2020-05-27T19:04:00Z" w:initials="SG">
    <w:p w14:paraId="628042D2" w14:textId="3F1ADE01" w:rsidR="006F08BA" w:rsidRDefault="006F08BA">
      <w:pPr>
        <w:pStyle w:val="a9"/>
      </w:pPr>
      <w:r>
        <w:rPr>
          <w:rStyle w:val="af9"/>
        </w:rPr>
        <w:annotationRef/>
      </w:r>
      <w:r>
        <w:t>Fujitsu points out that this covers the case of active UL BWP being the initial UL BWP</w:t>
      </w:r>
    </w:p>
  </w:comment>
  <w:comment w:id="44" w:author="Stephen Grant" w:date="2020-05-19T08:16:00Z" w:initials="SG">
    <w:p w14:paraId="52EDC1C4" w14:textId="77777777" w:rsidR="006F08BA" w:rsidRDefault="006F08BA" w:rsidP="00F976AE">
      <w:pPr>
        <w:pStyle w:val="a9"/>
      </w:pPr>
      <w:r>
        <w:rPr>
          <w:rStyle w:val="af9"/>
        </w:rPr>
        <w:annotationRef/>
      </w:r>
      <w:r>
        <w:t>Earlier in Section 9.2.1 the following text clarifies what DCI format the UE detects:</w:t>
      </w:r>
    </w:p>
    <w:p w14:paraId="062F5260" w14:textId="77777777" w:rsidR="006F08BA" w:rsidRDefault="006F08BA" w:rsidP="00F976AE">
      <w:pPr>
        <w:pStyle w:val="a9"/>
      </w:pPr>
    </w:p>
    <w:p w14:paraId="6077DC01" w14:textId="77777777" w:rsidR="006F08BA" w:rsidRPr="00DA007B" w:rsidRDefault="006F08BA"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6F08BA" w:rsidRDefault="006F08BA" w:rsidP="00F976AE">
      <w:pPr>
        <w:pStyle w:val="a9"/>
      </w:pPr>
      <w:r>
        <w:rPr>
          <w:rStyle w:val="af9"/>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6F08BA" w:rsidRDefault="006F08BA" w:rsidP="00F976AE">
      <w:pPr>
        <w:pStyle w:val="a9"/>
      </w:pPr>
      <w:r>
        <w:rPr>
          <w:rStyle w:val="af9"/>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C764" w14:textId="77777777" w:rsidR="00E14A94" w:rsidRDefault="00E14A94">
      <w:pPr>
        <w:spacing w:after="0" w:line="240" w:lineRule="auto"/>
      </w:pPr>
      <w:r>
        <w:separator/>
      </w:r>
    </w:p>
  </w:endnote>
  <w:endnote w:type="continuationSeparator" w:id="0">
    <w:p w14:paraId="6978446E" w14:textId="77777777" w:rsidR="00E14A94" w:rsidRDefault="00E1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6F08BA" w:rsidRDefault="006F08B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52F36">
      <w:rPr>
        <w:rStyle w:val="af5"/>
        <w:noProof/>
      </w:rPr>
      <w:t>22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52F36">
      <w:rPr>
        <w:rStyle w:val="af5"/>
        <w:noProof/>
      </w:rPr>
      <w:t>25</w:t>
    </w:r>
    <w:r>
      <w:rPr>
        <w:rStyle w:val="af5"/>
      </w:rPr>
      <w:fldChar w:fldCharType="end"/>
    </w:r>
    <w:r>
      <w:rPr>
        <w:rStyle w:val="af5"/>
      </w:rPr>
      <w:tab/>
    </w:r>
  </w:p>
  <w:p w14:paraId="4282BD34" w14:textId="77777777" w:rsidR="006F08BA" w:rsidRDefault="006F08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6F08BA" w:rsidRDefault="006F08B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52F36">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52F36">
      <w:rPr>
        <w:rStyle w:val="af5"/>
        <w:noProof/>
      </w:rPr>
      <w:t>25</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10B2D" w14:textId="77777777" w:rsidR="00E14A94" w:rsidRDefault="00E14A94">
      <w:pPr>
        <w:spacing w:after="0" w:line="240" w:lineRule="auto"/>
      </w:pPr>
      <w:r>
        <w:separator/>
      </w:r>
    </w:p>
  </w:footnote>
  <w:footnote w:type="continuationSeparator" w:id="0">
    <w:p w14:paraId="4B1F5033" w14:textId="77777777" w:rsidR="00E14A94" w:rsidRDefault="00E1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6F08BA" w:rsidRDefault="006F08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652BD847" w14:textId="77777777" w:rsidR="006F08BA" w:rsidRDefault="006F08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6F08BA" w:rsidRDefault="006F08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2">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12"/>
  </w:num>
  <w:num w:numId="3">
    <w:abstractNumId w:val="3"/>
  </w:num>
  <w:num w:numId="4">
    <w:abstractNumId w:val="9"/>
  </w:num>
  <w:num w:numId="5">
    <w:abstractNumId w:val="6"/>
  </w:num>
  <w:num w:numId="6">
    <w:abstractNumId w:val="30"/>
  </w:num>
  <w:num w:numId="7">
    <w:abstractNumId w:val="0"/>
  </w:num>
  <w:num w:numId="8">
    <w:abstractNumId w:val="36"/>
  </w:num>
  <w:num w:numId="9">
    <w:abstractNumId w:val="11"/>
  </w:num>
  <w:num w:numId="10">
    <w:abstractNumId w:val="21"/>
  </w:num>
  <w:num w:numId="11">
    <w:abstractNumId w:val="15"/>
  </w:num>
  <w:num w:numId="12">
    <w:abstractNumId w:val="23"/>
  </w:num>
  <w:num w:numId="13">
    <w:abstractNumId w:val="24"/>
  </w:num>
  <w:num w:numId="14">
    <w:abstractNumId w:val="40"/>
  </w:num>
  <w:num w:numId="15">
    <w:abstractNumId w:val="39"/>
  </w:num>
  <w:num w:numId="16">
    <w:abstractNumId w:val="32"/>
  </w:num>
  <w:num w:numId="17">
    <w:abstractNumId w:val="33"/>
  </w:num>
  <w:num w:numId="18">
    <w:abstractNumId w:val="19"/>
  </w:num>
  <w:num w:numId="19">
    <w:abstractNumId w:val="2"/>
  </w:num>
  <w:num w:numId="20">
    <w:abstractNumId w:val="7"/>
  </w:num>
  <w:num w:numId="21">
    <w:abstractNumId w:val="17"/>
  </w:num>
  <w:num w:numId="22">
    <w:abstractNumId w:val="27"/>
  </w:num>
  <w:num w:numId="23">
    <w:abstractNumId w:val="38"/>
  </w:num>
  <w:num w:numId="24">
    <w:abstractNumId w:val="27"/>
  </w:num>
  <w:num w:numId="25">
    <w:abstractNumId w:val="5"/>
  </w:num>
  <w:num w:numId="26">
    <w:abstractNumId w:val="38"/>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7"/>
  </w:num>
  <w:num w:numId="42">
    <w:abstractNumId w:val="16"/>
  </w:num>
  <w:num w:numId="43">
    <w:abstractNumId w:val="1"/>
  </w:num>
  <w:num w:numId="44">
    <w:abstractNumId w:val="18"/>
  </w:num>
  <w:num w:numId="45">
    <w:abstractNumId w:val="35"/>
  </w:num>
  <w:num w:numId="46">
    <w:abstractNumId w:val="31"/>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eader" Target="header1.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8.png"/><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5.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187ECF-3435-42B3-B8EE-2182A28E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25</Pages>
  <Words>9336</Words>
  <Characters>53218</Characters>
  <Application>Microsoft Office Word</Application>
  <DocSecurity>0</DocSecurity>
  <Lines>443</Lines>
  <Paragraphs>124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3</cp:revision>
  <cp:lastPrinted>2008-01-30T21:09:00Z</cp:lastPrinted>
  <dcterms:created xsi:type="dcterms:W3CDTF">2020-05-28T19:42:00Z</dcterms:created>
  <dcterms:modified xsi:type="dcterms:W3CDTF">2020-05-28T19:43:00Z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