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E4B6" w14:textId="68779465" w:rsidR="0038295D" w:rsidRPr="009A02E2" w:rsidRDefault="0038295D" w:rsidP="0038295D">
      <w:pPr>
        <w:pStyle w:val="Header"/>
        <w:tabs>
          <w:tab w:val="right" w:pos="9639"/>
        </w:tabs>
        <w:rPr>
          <w:bCs/>
          <w:noProof w:val="0"/>
          <w:sz w:val="24"/>
          <w:szCs w:val="24"/>
        </w:rPr>
      </w:pPr>
      <w:r w:rsidRPr="009A02E2">
        <w:rPr>
          <w:bCs/>
          <w:noProof w:val="0"/>
          <w:sz w:val="24"/>
          <w:szCs w:val="24"/>
        </w:rPr>
        <w:t>3GPP TSG RAN WG1 #101</w:t>
      </w:r>
      <w:r w:rsidRPr="009A02E2">
        <w:rPr>
          <w:bCs/>
          <w:noProof w:val="0"/>
          <w:sz w:val="24"/>
          <w:szCs w:val="24"/>
        </w:rPr>
        <w:tab/>
      </w:r>
      <w:r w:rsidR="00CF052D" w:rsidRPr="009A02E2">
        <w:rPr>
          <w:bCs/>
          <w:noProof w:val="0"/>
          <w:sz w:val="24"/>
          <w:szCs w:val="24"/>
        </w:rPr>
        <w:t xml:space="preserve"> </w:t>
      </w:r>
      <w:r w:rsidR="00CF052D" w:rsidRPr="009A02E2">
        <w:rPr>
          <w:bCs/>
          <w:noProof w:val="0"/>
          <w:sz w:val="24"/>
          <w:szCs w:val="24"/>
          <w:highlight w:val="yellow"/>
        </w:rPr>
        <w:t>DRAFT</w:t>
      </w:r>
      <w:r w:rsidR="00CF052D" w:rsidRPr="009A02E2">
        <w:rPr>
          <w:bCs/>
          <w:noProof w:val="0"/>
          <w:sz w:val="24"/>
          <w:szCs w:val="24"/>
        </w:rPr>
        <w:t xml:space="preserve"> </w:t>
      </w:r>
      <w:r w:rsidRPr="009A02E2">
        <w:rPr>
          <w:bCs/>
          <w:noProof w:val="0"/>
          <w:sz w:val="24"/>
          <w:szCs w:val="24"/>
        </w:rPr>
        <w:t>R1-20046</w:t>
      </w:r>
      <w:r w:rsidR="00CF052D" w:rsidRPr="009A02E2">
        <w:rPr>
          <w:bCs/>
          <w:noProof w:val="0"/>
          <w:sz w:val="24"/>
          <w:szCs w:val="24"/>
        </w:rPr>
        <w:t>41</w:t>
      </w:r>
    </w:p>
    <w:p w14:paraId="7D8DFEF8" w14:textId="77777777" w:rsidR="0038295D" w:rsidRPr="009A02E2" w:rsidRDefault="0038295D" w:rsidP="0038295D">
      <w:pPr>
        <w:pStyle w:val="Header"/>
        <w:rPr>
          <w:bCs/>
          <w:noProof w:val="0"/>
          <w:sz w:val="24"/>
          <w:szCs w:val="24"/>
        </w:rPr>
      </w:pPr>
      <w:r w:rsidRPr="009A02E2">
        <w:rPr>
          <w:bCs/>
          <w:noProof w:val="0"/>
          <w:sz w:val="24"/>
          <w:szCs w:val="24"/>
        </w:rPr>
        <w:t>e-Meeting, May 25</w:t>
      </w:r>
      <w:r w:rsidRPr="009A02E2">
        <w:rPr>
          <w:bCs/>
          <w:noProof w:val="0"/>
          <w:sz w:val="24"/>
          <w:szCs w:val="24"/>
          <w:vertAlign w:val="superscript"/>
        </w:rPr>
        <w:t>th</w:t>
      </w:r>
      <w:r w:rsidRPr="009A02E2">
        <w:rPr>
          <w:bCs/>
          <w:noProof w:val="0"/>
          <w:sz w:val="24"/>
          <w:szCs w:val="24"/>
        </w:rPr>
        <w:t xml:space="preserve"> – June 5</w:t>
      </w:r>
      <w:r w:rsidRPr="009A02E2">
        <w:rPr>
          <w:bCs/>
          <w:noProof w:val="0"/>
          <w:sz w:val="24"/>
          <w:szCs w:val="24"/>
          <w:vertAlign w:val="superscript"/>
        </w:rPr>
        <w:t>th</w:t>
      </w:r>
      <w:r w:rsidRPr="009A02E2">
        <w:rPr>
          <w:bCs/>
          <w:noProof w:val="0"/>
          <w:sz w:val="24"/>
          <w:szCs w:val="24"/>
        </w:rPr>
        <w:t>, 2020</w:t>
      </w:r>
    </w:p>
    <w:p w14:paraId="6D22AB7A" w14:textId="77777777" w:rsidR="00BD6CA6" w:rsidRPr="009A02E2" w:rsidRDefault="00BD6CA6" w:rsidP="00BD6CA6">
      <w:pPr>
        <w:pStyle w:val="Header"/>
        <w:rPr>
          <w:bCs/>
          <w:noProof w:val="0"/>
          <w:sz w:val="24"/>
        </w:rPr>
      </w:pPr>
    </w:p>
    <w:p w14:paraId="661948BA" w14:textId="08BBAB13"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Agenda item:</w:t>
      </w:r>
      <w:r w:rsidRPr="009A02E2">
        <w:rPr>
          <w:rFonts w:ascii="Arial" w:hAnsi="Arial" w:cs="Arial"/>
          <w:b/>
          <w:bCs/>
          <w:sz w:val="24"/>
          <w:szCs w:val="24"/>
        </w:rPr>
        <w:tab/>
        <w:t>7.2.10.6</w:t>
      </w:r>
    </w:p>
    <w:p w14:paraId="7307E680" w14:textId="4091BD50"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Source:</w:t>
      </w:r>
      <w:r w:rsidRPr="009A02E2">
        <w:rPr>
          <w:rFonts w:ascii="Arial" w:hAnsi="Arial" w:cs="Arial"/>
          <w:b/>
          <w:bCs/>
          <w:sz w:val="24"/>
        </w:rPr>
        <w:tab/>
      </w:r>
      <w:r w:rsidRPr="009A02E2">
        <w:rPr>
          <w:rFonts w:ascii="Arial" w:hAnsi="Arial" w:cs="Arial"/>
          <w:b/>
          <w:bCs/>
          <w:sz w:val="24"/>
          <w:szCs w:val="24"/>
        </w:rPr>
        <w:t>Moderator (Nokia)</w:t>
      </w:r>
    </w:p>
    <w:p w14:paraId="1122C207" w14:textId="0BFAB61F" w:rsidR="00BD6CA6" w:rsidRPr="009A02E2" w:rsidRDefault="00BD6CA6" w:rsidP="00BD6CA6">
      <w:pPr>
        <w:ind w:left="1985" w:hanging="1985"/>
        <w:rPr>
          <w:rFonts w:ascii="Arial" w:hAnsi="Arial" w:cs="Arial"/>
          <w:b/>
          <w:bCs/>
          <w:sz w:val="24"/>
          <w:szCs w:val="24"/>
        </w:rPr>
      </w:pPr>
      <w:r w:rsidRPr="009A02E2">
        <w:rPr>
          <w:rFonts w:ascii="Arial" w:hAnsi="Arial" w:cs="Arial"/>
          <w:b/>
          <w:bCs/>
          <w:sz w:val="24"/>
          <w:szCs w:val="24"/>
        </w:rPr>
        <w:t>Title:</w:t>
      </w:r>
      <w:r w:rsidRPr="009A02E2">
        <w:rPr>
          <w:rFonts w:ascii="Arial" w:hAnsi="Arial" w:cs="Arial"/>
          <w:b/>
          <w:bCs/>
          <w:sz w:val="24"/>
        </w:rPr>
        <w:tab/>
        <w:t xml:space="preserve">FL summary </w:t>
      </w:r>
      <w:r w:rsidR="00CF052D" w:rsidRPr="009A02E2">
        <w:rPr>
          <w:rFonts w:ascii="Arial" w:hAnsi="Arial" w:cs="Arial"/>
          <w:b/>
          <w:bCs/>
          <w:sz w:val="24"/>
        </w:rPr>
        <w:t xml:space="preserve">#2 </w:t>
      </w:r>
      <w:r w:rsidRPr="009A02E2">
        <w:rPr>
          <w:rFonts w:ascii="Arial" w:hAnsi="Arial" w:cs="Arial"/>
          <w:b/>
          <w:bCs/>
          <w:sz w:val="24"/>
        </w:rPr>
        <w:t>on cross-carrier scheduling with different numerology</w:t>
      </w:r>
      <w:r w:rsidRPr="009A02E2">
        <w:rPr>
          <w:rFonts w:ascii="Arial" w:hAnsi="Arial" w:cs="Arial"/>
          <w:b/>
          <w:bCs/>
          <w:sz w:val="24"/>
        </w:rPr>
        <w:tab/>
      </w:r>
    </w:p>
    <w:p w14:paraId="7D7A2E07" w14:textId="63991A19"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Document for:</w:t>
      </w:r>
      <w:r w:rsidRPr="009A02E2">
        <w:rPr>
          <w:rFonts w:ascii="Arial" w:hAnsi="Arial" w:cs="Arial"/>
          <w:b/>
          <w:bCs/>
          <w:sz w:val="24"/>
          <w:szCs w:val="24"/>
        </w:rPr>
        <w:tab/>
        <w:t>Discussion and Decision</w:t>
      </w:r>
    </w:p>
    <w:p w14:paraId="6A964EE1" w14:textId="7E1B5659" w:rsidR="004000E8" w:rsidRPr="009A02E2" w:rsidRDefault="002B72FA" w:rsidP="00CE0424">
      <w:pPr>
        <w:pStyle w:val="Heading1"/>
      </w:pPr>
      <w:bookmarkStart w:id="0" w:name="_Ref178064866"/>
      <w:r w:rsidRPr="009A02E2">
        <w:t>1</w:t>
      </w:r>
      <w:r w:rsidR="00230D18" w:rsidRPr="009A02E2">
        <w:tab/>
      </w:r>
      <w:bookmarkEnd w:id="0"/>
      <w:r w:rsidR="0071605A" w:rsidRPr="009A02E2">
        <w:t>Introduction</w:t>
      </w:r>
    </w:p>
    <w:p w14:paraId="1CB6EC48" w14:textId="4CFAFF21" w:rsidR="0038295D" w:rsidRPr="009A02E2" w:rsidRDefault="0038295D" w:rsidP="00BD6CA6">
      <w:pPr>
        <w:pStyle w:val="Doc-text2"/>
        <w:tabs>
          <w:tab w:val="clear" w:pos="1622"/>
          <w:tab w:val="left" w:pos="1276"/>
        </w:tabs>
        <w:ind w:left="0" w:firstLine="0"/>
        <w:rPr>
          <w:lang w:val="en-GB"/>
        </w:rPr>
      </w:pPr>
      <w:r w:rsidRPr="009A02E2">
        <w:rPr>
          <w:lang w:val="en-GB"/>
        </w:rPr>
        <w:t xml:space="preserve">This contribution is the </w:t>
      </w:r>
      <w:r w:rsidR="00CF052D" w:rsidRPr="009A02E2">
        <w:rPr>
          <w:lang w:val="en-GB"/>
        </w:rPr>
        <w:t xml:space="preserve">RAN1#101 </w:t>
      </w:r>
      <w:r w:rsidRPr="009A02E2">
        <w:rPr>
          <w:lang w:val="en-GB"/>
        </w:rPr>
        <w:t xml:space="preserve">meeting </w:t>
      </w:r>
      <w:r w:rsidR="00CF052D" w:rsidRPr="009A02E2">
        <w:rPr>
          <w:lang w:val="en-GB"/>
        </w:rPr>
        <w:t>discussion summary</w:t>
      </w:r>
      <w:r w:rsidRPr="009A02E2">
        <w:rPr>
          <w:lang w:val="en-GB"/>
        </w:rPr>
        <w:t>.</w:t>
      </w:r>
    </w:p>
    <w:p w14:paraId="70DDC3A1" w14:textId="5427A4B7" w:rsidR="007E4E6C" w:rsidRPr="009A02E2" w:rsidRDefault="00DF43CF" w:rsidP="00DD6F3D">
      <w:pPr>
        <w:pStyle w:val="Heading1"/>
        <w:rPr>
          <w:rStyle w:val="Heading1Char"/>
        </w:rPr>
      </w:pPr>
      <w:r w:rsidRPr="009A02E2">
        <w:rPr>
          <w:rStyle w:val="Heading1Char"/>
        </w:rPr>
        <w:t>2</w:t>
      </w:r>
      <w:r w:rsidR="000702B2" w:rsidRPr="009A02E2">
        <w:rPr>
          <w:rStyle w:val="Heading1Char"/>
        </w:rPr>
        <w:tab/>
      </w:r>
      <w:r w:rsidR="00CF052D" w:rsidRPr="009A02E2">
        <w:rPr>
          <w:rStyle w:val="Heading1Char"/>
        </w:rPr>
        <w:t>Issue to be addressed in RAN1#101-e</w:t>
      </w:r>
    </w:p>
    <w:p w14:paraId="1F312745" w14:textId="441C953A" w:rsidR="00FA7866" w:rsidRPr="009A02E2" w:rsidRDefault="00FA7866" w:rsidP="00FA7866">
      <w:pPr>
        <w:pStyle w:val="BodyText"/>
        <w:jc w:val="left"/>
        <w:rPr>
          <w:rFonts w:cs="Arial"/>
          <w:lang w:eastAsia="zh-TW"/>
        </w:rPr>
      </w:pPr>
      <w:r w:rsidRPr="009A02E2">
        <w:rPr>
          <w:rFonts w:cs="Arial"/>
          <w:lang w:eastAsia="zh-TW"/>
        </w:rPr>
        <w:t>Codebook for more than 1 DCI per monitoring occasion, three solution options can be identified in the submitted documents</w:t>
      </w:r>
      <w:r w:rsidR="009A02E2" w:rsidRPr="009A02E2">
        <w:rPr>
          <w:rFonts w:cs="Arial"/>
          <w:lang w:eastAsia="zh-TW"/>
        </w:rPr>
        <w:t>:</w:t>
      </w:r>
    </w:p>
    <w:p w14:paraId="42123496" w14:textId="487C3A07" w:rsidR="007B5627" w:rsidRPr="009A02E2" w:rsidRDefault="007B5627" w:rsidP="00FA7866">
      <w:pPr>
        <w:pStyle w:val="ListParagraph"/>
        <w:numPr>
          <w:ilvl w:val="0"/>
          <w:numId w:val="41"/>
        </w:numPr>
        <w:spacing w:after="240"/>
        <w:rPr>
          <w:rFonts w:ascii="Arial" w:hAnsi="Arial" w:cs="Arial"/>
          <w:bCs/>
          <w:iCs/>
          <w:sz w:val="20"/>
          <w:szCs w:val="20"/>
          <w:lang w:val="en-GB"/>
        </w:rPr>
      </w:pPr>
      <w:r w:rsidRPr="009A02E2">
        <w:rPr>
          <w:rFonts w:ascii="Arial" w:hAnsi="Arial" w:cs="Arial"/>
          <w:iCs/>
          <w:sz w:val="20"/>
          <w:szCs w:val="20"/>
          <w:lang w:val="en-GB" w:eastAsia="zh-CN"/>
        </w:rPr>
        <w:t xml:space="preserve">If the maximum number of unicast DCIs per MO per scheduled cell is increased to larger than one, the </w:t>
      </w:r>
      <w:r w:rsidRPr="001F247B">
        <w:rPr>
          <w:rFonts w:ascii="Arial" w:hAnsi="Arial" w:cs="Arial"/>
          <w:iCs/>
          <w:sz w:val="20"/>
          <w:szCs w:val="20"/>
          <w:highlight w:val="yellow"/>
          <w:lang w:val="en-GB" w:eastAsia="zh-CN"/>
        </w:rPr>
        <w:t>PDSCH starting time</w:t>
      </w:r>
      <w:r w:rsidRPr="009A02E2">
        <w:rPr>
          <w:rFonts w:ascii="Arial" w:hAnsi="Arial" w:cs="Arial"/>
          <w:iCs/>
          <w:sz w:val="20"/>
          <w:szCs w:val="20"/>
          <w:lang w:val="en-GB" w:eastAsia="zh-CN"/>
        </w:rPr>
        <w:t xml:space="preserve"> in addition to the existing MO and Cell index is introduced to order the HARQ-ACK feedback.</w:t>
      </w:r>
      <w:r w:rsidR="00FA7866" w:rsidRPr="009A02E2">
        <w:rPr>
          <w:rFonts w:ascii="Arial" w:hAnsi="Arial" w:cs="Arial"/>
          <w:iCs/>
          <w:sz w:val="20"/>
          <w:szCs w:val="20"/>
          <w:lang w:val="en-GB" w:eastAsia="zh-CN"/>
        </w:rPr>
        <w:t xml:space="preserve"> [1]</w:t>
      </w:r>
    </w:p>
    <w:p w14:paraId="1DD9402B" w14:textId="2E584CDF" w:rsidR="002B05B9" w:rsidRPr="009A02E2" w:rsidRDefault="007B5627" w:rsidP="00FA7866">
      <w:pPr>
        <w:pStyle w:val="ListParagraph"/>
        <w:numPr>
          <w:ilvl w:val="0"/>
          <w:numId w:val="41"/>
        </w:numPr>
        <w:spacing w:after="240"/>
        <w:rPr>
          <w:rFonts w:ascii="Arial" w:eastAsia="MS Gothic" w:hAnsi="Arial" w:cs="Arial"/>
          <w:sz w:val="20"/>
          <w:szCs w:val="20"/>
          <w:lang w:val="en-GB"/>
        </w:rPr>
      </w:pPr>
      <w:r w:rsidRPr="001F247B">
        <w:rPr>
          <w:rFonts w:ascii="Arial" w:eastAsia="MS Gothic" w:hAnsi="Arial" w:cs="Arial"/>
          <w:sz w:val="20"/>
          <w:szCs w:val="20"/>
          <w:highlight w:val="yellow"/>
          <w:lang w:val="en-GB"/>
        </w:rPr>
        <w:t>CCE index</w:t>
      </w:r>
      <w:r w:rsidRPr="009A02E2">
        <w:rPr>
          <w:rFonts w:ascii="Arial" w:eastAsia="MS Gothic" w:hAnsi="Arial" w:cs="Arial"/>
          <w:sz w:val="20"/>
          <w:szCs w:val="20"/>
          <w:lang w:val="en-GB"/>
        </w:rPr>
        <w:t xml:space="preserve"> is introduced to further determine the Type-2 HARQ-ACK codebook and PUCCH resource.</w:t>
      </w:r>
      <w:r w:rsidR="00FA7866" w:rsidRPr="009A02E2">
        <w:rPr>
          <w:rFonts w:ascii="Arial" w:eastAsia="MS Gothic" w:hAnsi="Arial" w:cs="Arial"/>
          <w:sz w:val="20"/>
          <w:szCs w:val="20"/>
          <w:lang w:val="en-GB"/>
        </w:rPr>
        <w:t xml:space="preserve"> [3], [7]</w:t>
      </w:r>
    </w:p>
    <w:p w14:paraId="289CB315" w14:textId="5F84B5F6" w:rsidR="00CF052D" w:rsidRPr="009A02E2" w:rsidRDefault="00FA7866" w:rsidP="00FA7866">
      <w:pPr>
        <w:pStyle w:val="ListParagraph"/>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A</w:t>
      </w:r>
      <w:r w:rsidR="007B5627" w:rsidRPr="009A02E2">
        <w:rPr>
          <w:rFonts w:ascii="Arial" w:eastAsia="MS Gothic" w:hAnsi="Arial" w:cs="Arial"/>
          <w:sz w:val="20"/>
          <w:szCs w:val="20"/>
          <w:lang w:val="en-GB"/>
        </w:rPr>
        <w:t xml:space="preserve">ssuming X&gt;1 DL DCIs scheduling unicast PDSCHs per scheduled cell can be transmitted in a PDCCH MO, </w:t>
      </w:r>
      <w:r w:rsidR="007B5627" w:rsidRPr="001F247B">
        <w:rPr>
          <w:rFonts w:ascii="Arial" w:eastAsia="MS Gothic" w:hAnsi="Arial" w:cs="Arial"/>
          <w:sz w:val="20"/>
          <w:szCs w:val="20"/>
          <w:highlight w:val="yellow"/>
          <w:lang w:val="en-GB"/>
        </w:rPr>
        <w:t>C-DAI is used as a third dimension of HARQ-ACK bits ordering</w:t>
      </w:r>
      <w:r w:rsidR="007B5627" w:rsidRPr="009A02E2">
        <w:rPr>
          <w:rFonts w:ascii="Arial" w:eastAsia="MS Gothic" w:hAnsi="Arial" w:cs="Arial"/>
          <w:sz w:val="20"/>
          <w:szCs w:val="20"/>
          <w:lang w:val="en-GB"/>
        </w:rPr>
        <w:t xml:space="preserve"> in Type2 HARQ-ACK CB</w:t>
      </w:r>
      <w:r w:rsidRPr="009A02E2">
        <w:rPr>
          <w:rFonts w:ascii="Arial" w:eastAsia="MS Gothic" w:hAnsi="Arial" w:cs="Arial"/>
          <w:sz w:val="20"/>
          <w:szCs w:val="20"/>
          <w:lang w:val="en-GB"/>
        </w:rPr>
        <w:t xml:space="preserve"> [6].</w:t>
      </w:r>
    </w:p>
    <w:p w14:paraId="6AA57890" w14:textId="1795AFA9" w:rsidR="00CF052D" w:rsidRPr="009A02E2" w:rsidRDefault="00CF052D" w:rsidP="0038295D">
      <w:pPr>
        <w:rPr>
          <w:rFonts w:eastAsia="MS Gothic"/>
        </w:rPr>
      </w:pPr>
    </w:p>
    <w:p w14:paraId="6480ABDA" w14:textId="048D1352" w:rsidR="009A02E2" w:rsidRPr="009A02E2" w:rsidRDefault="009A02E2" w:rsidP="0038295D">
      <w:pPr>
        <w:rPr>
          <w:rFonts w:eastAsia="MS Gothic"/>
        </w:rPr>
      </w:pPr>
      <w:r w:rsidRPr="009A02E2">
        <w:rPr>
          <w:rFonts w:eastAsia="MS Gothic"/>
          <w:b/>
          <w:bCs/>
        </w:rPr>
        <w:t xml:space="preserve">Q1: </w:t>
      </w:r>
      <w:r w:rsidRPr="009A02E2">
        <w:rPr>
          <w:rFonts w:eastAsia="MS Gothic"/>
        </w:rPr>
        <w:t>Please provide your company views on the three options</w:t>
      </w:r>
    </w:p>
    <w:tbl>
      <w:tblPr>
        <w:tblStyle w:val="TableGrid"/>
        <w:tblW w:w="0" w:type="auto"/>
        <w:tblLook w:val="04A0" w:firstRow="1" w:lastRow="0" w:firstColumn="1" w:lastColumn="0" w:noHBand="0" w:noVBand="1"/>
      </w:tblPr>
      <w:tblGrid>
        <w:gridCol w:w="1413"/>
        <w:gridCol w:w="2738"/>
        <w:gridCol w:w="2739"/>
        <w:gridCol w:w="2739"/>
      </w:tblGrid>
      <w:tr w:rsidR="00FA7866" w:rsidRPr="009A02E2" w14:paraId="044F3680" w14:textId="77777777" w:rsidTr="00AF20F7">
        <w:tc>
          <w:tcPr>
            <w:tcW w:w="1413" w:type="dxa"/>
            <w:tcBorders>
              <w:tl2br w:val="single" w:sz="4" w:space="0" w:color="auto"/>
            </w:tcBorders>
            <w:shd w:val="pct12" w:color="auto" w:fill="auto"/>
          </w:tcPr>
          <w:p w14:paraId="25777844" w14:textId="77777777" w:rsidR="00FA7866" w:rsidRPr="009A02E2" w:rsidRDefault="00FA7866" w:rsidP="00AF20F7">
            <w:pPr>
              <w:jc w:val="right"/>
              <w:rPr>
                <w:b/>
                <w:bCs/>
                <w:sz w:val="20"/>
                <w:szCs w:val="20"/>
                <w:lang w:val="en-GB"/>
              </w:rPr>
            </w:pPr>
            <w:r w:rsidRPr="009A02E2">
              <w:rPr>
                <w:b/>
                <w:bCs/>
                <w:sz w:val="20"/>
                <w:szCs w:val="20"/>
                <w:lang w:val="en-GB"/>
              </w:rPr>
              <w:t>Proposal</w:t>
            </w:r>
          </w:p>
          <w:p w14:paraId="734D956D" w14:textId="77777777" w:rsidR="00FA7866" w:rsidRPr="009A02E2" w:rsidRDefault="00FA7866" w:rsidP="00AF20F7">
            <w:pPr>
              <w:spacing w:after="0"/>
              <w:rPr>
                <w:sz w:val="20"/>
                <w:szCs w:val="20"/>
                <w:lang w:val="en-GB"/>
              </w:rPr>
            </w:pPr>
            <w:r w:rsidRPr="009A02E2">
              <w:rPr>
                <w:b/>
                <w:bCs/>
                <w:sz w:val="20"/>
                <w:szCs w:val="20"/>
                <w:lang w:val="en-GB"/>
              </w:rPr>
              <w:t>Company</w:t>
            </w:r>
          </w:p>
        </w:tc>
        <w:tc>
          <w:tcPr>
            <w:tcW w:w="2738" w:type="dxa"/>
            <w:shd w:val="pct12" w:color="auto" w:fill="auto"/>
          </w:tcPr>
          <w:p w14:paraId="026A76CE" w14:textId="66915B7C" w:rsidR="00FA7866" w:rsidRPr="009A02E2" w:rsidRDefault="00FA7866" w:rsidP="00AF20F7">
            <w:pPr>
              <w:jc w:val="center"/>
              <w:rPr>
                <w:b/>
                <w:bCs/>
                <w:sz w:val="20"/>
                <w:szCs w:val="20"/>
                <w:lang w:val="en-GB"/>
              </w:rPr>
            </w:pPr>
            <w:r w:rsidRPr="009A02E2">
              <w:rPr>
                <w:b/>
                <w:bCs/>
                <w:sz w:val="20"/>
                <w:szCs w:val="20"/>
                <w:lang w:val="en-GB"/>
              </w:rPr>
              <w:t>Option 1) [1]</w:t>
            </w:r>
          </w:p>
        </w:tc>
        <w:tc>
          <w:tcPr>
            <w:tcW w:w="2739" w:type="dxa"/>
            <w:shd w:val="pct12" w:color="auto" w:fill="auto"/>
          </w:tcPr>
          <w:p w14:paraId="495C6838" w14:textId="36BC1927" w:rsidR="00FA7866" w:rsidRPr="009A02E2" w:rsidRDefault="00FA7866" w:rsidP="00AF20F7">
            <w:pPr>
              <w:jc w:val="center"/>
              <w:rPr>
                <w:b/>
                <w:bCs/>
                <w:sz w:val="20"/>
                <w:szCs w:val="20"/>
                <w:lang w:val="en-GB"/>
              </w:rPr>
            </w:pPr>
            <w:r w:rsidRPr="009A02E2">
              <w:rPr>
                <w:b/>
                <w:bCs/>
                <w:sz w:val="20"/>
                <w:szCs w:val="20"/>
                <w:lang w:val="en-GB"/>
              </w:rPr>
              <w:t>Option 2) [3], [7]</w:t>
            </w:r>
          </w:p>
        </w:tc>
        <w:tc>
          <w:tcPr>
            <w:tcW w:w="2739" w:type="dxa"/>
            <w:shd w:val="pct12" w:color="auto" w:fill="auto"/>
          </w:tcPr>
          <w:p w14:paraId="79170CB3" w14:textId="43446554" w:rsidR="00FA7866" w:rsidRPr="009A02E2" w:rsidRDefault="00FA7866" w:rsidP="00AF20F7">
            <w:pPr>
              <w:jc w:val="center"/>
              <w:rPr>
                <w:b/>
                <w:bCs/>
                <w:sz w:val="20"/>
                <w:szCs w:val="20"/>
                <w:lang w:val="en-GB"/>
              </w:rPr>
            </w:pPr>
            <w:r w:rsidRPr="009A02E2">
              <w:rPr>
                <w:b/>
                <w:bCs/>
                <w:sz w:val="20"/>
                <w:szCs w:val="20"/>
                <w:lang w:val="en-GB"/>
              </w:rPr>
              <w:t>Option 3) [6]</w:t>
            </w:r>
          </w:p>
        </w:tc>
      </w:tr>
      <w:tr w:rsidR="006C3E58" w:rsidRPr="009A02E2" w14:paraId="61C03054" w14:textId="77777777" w:rsidTr="00BF60EC">
        <w:tc>
          <w:tcPr>
            <w:tcW w:w="1413" w:type="dxa"/>
          </w:tcPr>
          <w:p w14:paraId="6DEA8F8F" w14:textId="7E537F46" w:rsidR="006C3E58" w:rsidRPr="006C3E58" w:rsidRDefault="006C3E58" w:rsidP="00AF20F7">
            <w:pPr>
              <w:rPr>
                <w:rFonts w:eastAsiaTheme="minorEastAsia"/>
                <w:sz w:val="20"/>
                <w:szCs w:val="20"/>
                <w:lang w:val="en-GB" w:eastAsia="zh-CN"/>
              </w:rPr>
            </w:pPr>
            <w:r>
              <w:rPr>
                <w:rFonts w:eastAsiaTheme="minorEastAsia" w:hint="eastAsia"/>
                <w:sz w:val="20"/>
                <w:szCs w:val="20"/>
                <w:lang w:val="en-GB" w:eastAsia="zh-CN"/>
              </w:rPr>
              <w:t>CATT</w:t>
            </w:r>
          </w:p>
        </w:tc>
        <w:tc>
          <w:tcPr>
            <w:tcW w:w="8216" w:type="dxa"/>
            <w:gridSpan w:val="3"/>
          </w:tcPr>
          <w:p w14:paraId="32F72C1D" w14:textId="3750F09B"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None. The current specification works well and nothing is needed. If more than </w:t>
            </w:r>
            <w:r w:rsidR="009D5401">
              <w:rPr>
                <w:rFonts w:asciiTheme="minorEastAsia" w:eastAsiaTheme="minorEastAsia" w:hAnsiTheme="minorEastAsia" w:hint="eastAsia"/>
                <w:sz w:val="18"/>
                <w:szCs w:val="18"/>
                <w:lang w:val="en-GB" w:eastAsia="zh-CN"/>
              </w:rPr>
              <w:t xml:space="preserve">two </w:t>
            </w:r>
            <w:r>
              <w:rPr>
                <w:rFonts w:asciiTheme="minorEastAsia" w:eastAsiaTheme="minorEastAsia" w:hAnsiTheme="minorEastAsia" w:hint="eastAsia"/>
                <w:sz w:val="18"/>
                <w:szCs w:val="18"/>
                <w:lang w:val="en-GB" w:eastAsia="zh-CN"/>
              </w:rPr>
              <w:t xml:space="preserve">DCIs per MO is configured, the HARQ-ACK bits can be transmitted in different codebooks. </w:t>
            </w:r>
          </w:p>
          <w:p w14:paraId="02FE38DD" w14:textId="77777777"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It should be noted more than one DCIs per MO is not a new issue and has been discussed in Rel-15. The relevant conclusion is </w:t>
            </w:r>
            <w:r w:rsidR="009D5401">
              <w:rPr>
                <w:rFonts w:asciiTheme="minorEastAsia" w:eastAsiaTheme="minorEastAsia" w:hAnsiTheme="minorEastAsia" w:hint="eastAsia"/>
                <w:sz w:val="18"/>
                <w:szCs w:val="18"/>
                <w:lang w:val="en-GB" w:eastAsia="zh-CN"/>
              </w:rPr>
              <w:t>quoted below:</w:t>
            </w:r>
          </w:p>
          <w:p w14:paraId="47BF81F4" w14:textId="77777777" w:rsidR="009D5401" w:rsidRPr="009D5401" w:rsidRDefault="009D5401" w:rsidP="009D5401">
            <w:pPr>
              <w:rPr>
                <w:lang w:eastAsia="x-none"/>
              </w:rPr>
            </w:pPr>
            <w:r w:rsidRPr="009D5401">
              <w:rPr>
                <w:b/>
                <w:bCs/>
                <w:u w:val="single"/>
                <w:lang w:eastAsia="x-none"/>
              </w:rPr>
              <w:t>Conclusion</w:t>
            </w:r>
            <w:r w:rsidRPr="009D5401">
              <w:rPr>
                <w:lang w:eastAsia="x-none"/>
              </w:rPr>
              <w:t>:</w:t>
            </w:r>
          </w:p>
          <w:p w14:paraId="18E93A25" w14:textId="77777777" w:rsidR="009D5401" w:rsidRPr="009D5401" w:rsidRDefault="009D5401" w:rsidP="009D5401">
            <w:pPr>
              <w:numPr>
                <w:ilvl w:val="0"/>
                <w:numId w:val="43"/>
              </w:numPr>
              <w:overflowPunct/>
              <w:autoSpaceDE/>
              <w:autoSpaceDN/>
              <w:adjustRightInd/>
              <w:spacing w:after="0"/>
              <w:jc w:val="both"/>
              <w:textAlignment w:val="auto"/>
              <w:rPr>
                <w:lang w:eastAsia="zh-CN"/>
              </w:rPr>
            </w:pPr>
            <w:r w:rsidRPr="009D5401">
              <w:t xml:space="preserve">In Rel-15, a UE is not expected to detect two (or more) DCI formats (same or different) in PDCCHs received with a same first symbol in a slot and scheduling PDSCH reception(s) or SPS PDSCH release on a same cell and indicating a same slot for corresponding HARQ-ACK transmission. </w:t>
            </w:r>
          </w:p>
          <w:p w14:paraId="46686260" w14:textId="77777777" w:rsidR="009D5401" w:rsidRPr="009D5401" w:rsidRDefault="009D5401" w:rsidP="009D5401">
            <w:pPr>
              <w:numPr>
                <w:ilvl w:val="1"/>
                <w:numId w:val="43"/>
              </w:numPr>
              <w:overflowPunct/>
              <w:autoSpaceDE/>
              <w:autoSpaceDN/>
              <w:adjustRightInd/>
              <w:spacing w:after="0"/>
              <w:jc w:val="both"/>
              <w:textAlignment w:val="auto"/>
            </w:pPr>
            <w:r w:rsidRPr="009D5401">
              <w:t>No CR is necessary</w:t>
            </w:r>
          </w:p>
          <w:p w14:paraId="10D1F567" w14:textId="2CCE72DC" w:rsidR="009D5401" w:rsidRPr="009D5401" w:rsidRDefault="009D5401" w:rsidP="00AF20F7">
            <w:pPr>
              <w:rPr>
                <w:rFonts w:eastAsiaTheme="minorEastAsia"/>
                <w:sz w:val="18"/>
                <w:szCs w:val="18"/>
                <w:lang w:val="en-GB" w:eastAsia="zh-CN"/>
              </w:rPr>
            </w:pPr>
            <w:r w:rsidRPr="009D5401">
              <w:rPr>
                <w:rFonts w:asciiTheme="minorEastAsia" w:eastAsiaTheme="minorEastAsia" w:hAnsiTheme="minorEastAsia" w:hint="eastAsia"/>
                <w:sz w:val="18"/>
                <w:szCs w:val="18"/>
                <w:lang w:val="en-GB" w:eastAsia="zh-CN"/>
              </w:rPr>
              <w:t>The same mechanism can be</w:t>
            </w:r>
            <w:r>
              <w:rPr>
                <w:rFonts w:asciiTheme="minorEastAsia" w:eastAsiaTheme="minorEastAsia" w:hAnsiTheme="minorEastAsia" w:hint="eastAsia"/>
                <w:sz w:val="18"/>
                <w:szCs w:val="18"/>
                <w:lang w:val="en-GB" w:eastAsia="zh-CN"/>
              </w:rPr>
              <w:t xml:space="preserve"> (actually it should be)</w:t>
            </w:r>
            <w:r w:rsidRPr="009D5401">
              <w:rPr>
                <w:rFonts w:asciiTheme="minorEastAsia" w:eastAsiaTheme="minorEastAsia" w:hAnsiTheme="minorEastAsia" w:hint="eastAsia"/>
                <w:sz w:val="18"/>
                <w:szCs w:val="18"/>
                <w:lang w:val="en-GB" w:eastAsia="zh-CN"/>
              </w:rPr>
              <w:t xml:space="preserve"> applied to the case wherein up to 4 DCIs are transmitted in a same MO.</w:t>
            </w:r>
          </w:p>
        </w:tc>
      </w:tr>
      <w:tr w:rsidR="00FA7866" w:rsidRPr="009A02E2" w14:paraId="738EBE7A" w14:textId="77777777" w:rsidTr="00AF20F7">
        <w:tc>
          <w:tcPr>
            <w:tcW w:w="1413" w:type="dxa"/>
          </w:tcPr>
          <w:p w14:paraId="250B0466" w14:textId="380153AB" w:rsidR="00FA7866" w:rsidRPr="00910057" w:rsidRDefault="00910057" w:rsidP="00AF20F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2738" w:type="dxa"/>
          </w:tcPr>
          <w:p w14:paraId="3867CEF3" w14:textId="77777777" w:rsidR="00910057" w:rsidRDefault="00910057" w:rsidP="00910057">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support Option 1).</w:t>
            </w:r>
          </w:p>
          <w:p w14:paraId="32B47687" w14:textId="017B1BD8" w:rsidR="00FA7866" w:rsidRPr="009A02E2" w:rsidRDefault="00910057" w:rsidP="00910057">
            <w:pPr>
              <w:rPr>
                <w:sz w:val="18"/>
                <w:szCs w:val="18"/>
                <w:lang w:val="en-GB"/>
              </w:rPr>
            </w:pPr>
            <w:r>
              <w:rPr>
                <w:rFonts w:eastAsiaTheme="minorEastAsia"/>
                <w:sz w:val="18"/>
                <w:szCs w:val="18"/>
                <w:lang w:val="en-GB" w:eastAsia="zh-CN"/>
              </w:rPr>
              <w:t xml:space="preserve">From our perspective, Option 1) is an implementation friendly solution as UE expects to process the HARQ-ACK bits by the order </w:t>
            </w:r>
            <w:r>
              <w:rPr>
                <w:rFonts w:eastAsiaTheme="minorEastAsia"/>
                <w:sz w:val="18"/>
                <w:szCs w:val="18"/>
                <w:lang w:val="en-GB" w:eastAsia="zh-CN"/>
              </w:rPr>
              <w:lastRenderedPageBreak/>
              <w:t>of the receiving time of the corresponding PDSCHs.</w:t>
            </w:r>
          </w:p>
        </w:tc>
        <w:tc>
          <w:tcPr>
            <w:tcW w:w="2739" w:type="dxa"/>
          </w:tcPr>
          <w:p w14:paraId="5033D8BB" w14:textId="44916E64" w:rsidR="00FA7866" w:rsidRPr="009A02E2" w:rsidRDefault="00910057" w:rsidP="00AF20F7">
            <w:pPr>
              <w:rPr>
                <w:sz w:val="18"/>
                <w:szCs w:val="18"/>
                <w:lang w:val="en-GB"/>
              </w:rPr>
            </w:pPr>
            <w:r>
              <w:rPr>
                <w:rFonts w:eastAsiaTheme="minorEastAsia"/>
                <w:sz w:val="18"/>
                <w:szCs w:val="18"/>
                <w:lang w:val="en-GB" w:eastAsia="zh-CN"/>
              </w:rPr>
              <w:lastRenderedPageBreak/>
              <w:t xml:space="preserve">The MO is determined via the starting time when UE needs to monitor the PDCCH candidates. If two CORESETs are within the same MO, then CCE index is not applicable to this case as the CCE </w:t>
            </w:r>
            <w:r>
              <w:rPr>
                <w:rFonts w:eastAsiaTheme="minorEastAsia"/>
                <w:sz w:val="18"/>
                <w:szCs w:val="18"/>
                <w:lang w:val="en-GB" w:eastAsia="zh-CN"/>
              </w:rPr>
              <w:lastRenderedPageBreak/>
              <w:t>index in the two CORESETs may be the same.</w:t>
            </w:r>
          </w:p>
        </w:tc>
        <w:tc>
          <w:tcPr>
            <w:tcW w:w="2739" w:type="dxa"/>
          </w:tcPr>
          <w:p w14:paraId="700E66E8" w14:textId="5A6C77F4" w:rsidR="00FA7866" w:rsidRPr="009A02E2" w:rsidRDefault="00910057" w:rsidP="00AF20F7">
            <w:pPr>
              <w:rPr>
                <w:sz w:val="18"/>
                <w:szCs w:val="18"/>
                <w:lang w:val="en-GB"/>
              </w:rPr>
            </w:pPr>
            <w:r>
              <w:rPr>
                <w:rFonts w:eastAsiaTheme="minorEastAsia" w:hint="eastAsia"/>
                <w:sz w:val="18"/>
                <w:szCs w:val="18"/>
                <w:lang w:val="en-GB" w:eastAsia="zh-CN"/>
              </w:rPr>
              <w:lastRenderedPageBreak/>
              <w:t>I</w:t>
            </w:r>
            <w:r>
              <w:rPr>
                <w:rFonts w:eastAsiaTheme="minorEastAsia"/>
                <w:sz w:val="18"/>
                <w:szCs w:val="18"/>
                <w:lang w:val="en-GB" w:eastAsia="zh-CN"/>
              </w:rPr>
              <w:t>f the maximum number of DCIs per MO is &gt;= 4, then C-DAI cannot be applied to order the HARQ-ACK.</w:t>
            </w:r>
          </w:p>
        </w:tc>
      </w:tr>
      <w:tr w:rsidR="006B7C16" w:rsidRPr="009A02E2" w14:paraId="481A29BA" w14:textId="77777777" w:rsidTr="008E2414">
        <w:tc>
          <w:tcPr>
            <w:tcW w:w="1413" w:type="dxa"/>
          </w:tcPr>
          <w:p w14:paraId="462E3340" w14:textId="121071FF" w:rsidR="006B7C16" w:rsidRPr="009A02E2" w:rsidRDefault="006B7C16" w:rsidP="00AF20F7">
            <w:pPr>
              <w:rPr>
                <w:lang w:val="en-GB"/>
              </w:rPr>
            </w:pPr>
            <w:r>
              <w:rPr>
                <w:lang w:val="en-GB"/>
              </w:rPr>
              <w:t>Qualcomm</w:t>
            </w:r>
          </w:p>
        </w:tc>
        <w:tc>
          <w:tcPr>
            <w:tcW w:w="8216" w:type="dxa"/>
            <w:gridSpan w:val="3"/>
          </w:tcPr>
          <w:p w14:paraId="308C7BB1" w14:textId="3817D52F" w:rsidR="006B7C16" w:rsidRDefault="006B7C16" w:rsidP="00AF20F7">
            <w:pPr>
              <w:rPr>
                <w:sz w:val="18"/>
                <w:szCs w:val="18"/>
                <w:lang w:val="en-GB"/>
              </w:rPr>
            </w:pPr>
            <w:r>
              <w:rPr>
                <w:sz w:val="18"/>
                <w:szCs w:val="18"/>
                <w:lang w:val="en-GB"/>
              </w:rPr>
              <w:t>Our view</w:t>
            </w:r>
            <w:r w:rsidR="006C0F36">
              <w:rPr>
                <w:sz w:val="18"/>
                <w:szCs w:val="18"/>
                <w:lang w:val="en-GB"/>
              </w:rPr>
              <w:t xml:space="preserve"> is</w:t>
            </w:r>
            <w:r>
              <w:rPr>
                <w:sz w:val="18"/>
                <w:szCs w:val="18"/>
                <w:lang w:val="en-GB"/>
              </w:rPr>
              <w:t xml:space="preserve"> none of </w:t>
            </w:r>
            <w:r w:rsidR="003D1DDE">
              <w:rPr>
                <w:sz w:val="18"/>
                <w:szCs w:val="18"/>
                <w:lang w:val="en-GB"/>
              </w:rPr>
              <w:t xml:space="preserve">option 1, 2 or 3 is needed which is aligned with CATT’s views. </w:t>
            </w:r>
          </w:p>
          <w:p w14:paraId="01B8E0BC" w14:textId="4671128F" w:rsidR="00395F04" w:rsidRDefault="003D1DDE" w:rsidP="00395F04">
            <w:pPr>
              <w:rPr>
                <w:sz w:val="18"/>
                <w:szCs w:val="18"/>
                <w:lang w:val="en-GB"/>
              </w:rPr>
            </w:pPr>
            <w:r>
              <w:rPr>
                <w:sz w:val="18"/>
                <w:szCs w:val="18"/>
                <w:lang w:val="en-GB"/>
              </w:rPr>
              <w:t xml:space="preserve">We also do not </w:t>
            </w:r>
            <w:r w:rsidR="006C0F36">
              <w:rPr>
                <w:sz w:val="18"/>
                <w:szCs w:val="18"/>
                <w:lang w:val="en-GB"/>
              </w:rPr>
              <w:t>see</w:t>
            </w:r>
            <w:r>
              <w:rPr>
                <w:sz w:val="18"/>
                <w:szCs w:val="18"/>
                <w:lang w:val="en-GB"/>
              </w:rPr>
              <w:t xml:space="preserve"> it necessary to have more than </w:t>
            </w:r>
            <w:r w:rsidR="000C6A58">
              <w:rPr>
                <w:sz w:val="18"/>
                <w:szCs w:val="18"/>
                <w:lang w:val="en-GB"/>
              </w:rPr>
              <w:t xml:space="preserve">one </w:t>
            </w:r>
            <w:r>
              <w:rPr>
                <w:sz w:val="18"/>
                <w:szCs w:val="18"/>
                <w:lang w:val="en-GB"/>
              </w:rPr>
              <w:t xml:space="preserve">DCIs per PMO </w:t>
            </w:r>
            <w:r w:rsidR="00B72EE4">
              <w:rPr>
                <w:sz w:val="18"/>
                <w:szCs w:val="18"/>
                <w:lang w:val="en-GB"/>
              </w:rPr>
              <w:t>because</w:t>
            </w:r>
            <w:r w:rsidR="008F0BAE">
              <w:rPr>
                <w:sz w:val="18"/>
                <w:szCs w:val="18"/>
                <w:lang w:val="en-GB"/>
              </w:rPr>
              <w:t xml:space="preserve"> one slot scheduling multiple slots can be supported based on Case 2 PDCCH monitoring. </w:t>
            </w:r>
          </w:p>
          <w:p w14:paraId="20A3D474" w14:textId="7773C922" w:rsidR="00395F04" w:rsidRPr="00395F04" w:rsidRDefault="00395F04" w:rsidP="00395F04">
            <w:r>
              <w:rPr>
                <w:sz w:val="18"/>
                <w:szCs w:val="18"/>
              </w:rPr>
              <w:t xml:space="preserve">Both option 1 to 3 and multiple DCIs per PMO are optimizations that </w:t>
            </w:r>
            <w:r w:rsidR="00223E44">
              <w:rPr>
                <w:sz w:val="18"/>
                <w:szCs w:val="18"/>
              </w:rPr>
              <w:t>result in</w:t>
            </w:r>
            <w:r>
              <w:rPr>
                <w:sz w:val="18"/>
                <w:szCs w:val="18"/>
              </w:rPr>
              <w:t xml:space="preserve"> unncessary</w:t>
            </w:r>
            <w:r w:rsidR="00223E44">
              <w:rPr>
                <w:sz w:val="18"/>
                <w:szCs w:val="18"/>
              </w:rPr>
              <w:t xml:space="preserve"> new UE implementation </w:t>
            </w:r>
            <w:r>
              <w:rPr>
                <w:sz w:val="18"/>
                <w:szCs w:val="18"/>
              </w:rPr>
              <w:t>for Rel-16.</w:t>
            </w:r>
          </w:p>
        </w:tc>
      </w:tr>
      <w:tr w:rsidR="00FA7866" w:rsidRPr="009A02E2" w14:paraId="1D9BE551" w14:textId="77777777" w:rsidTr="00AF20F7">
        <w:tc>
          <w:tcPr>
            <w:tcW w:w="1413" w:type="dxa"/>
          </w:tcPr>
          <w:p w14:paraId="2EBF9844" w14:textId="20E51FE3" w:rsidR="00FA7866" w:rsidRPr="009A02E2" w:rsidRDefault="001F247B" w:rsidP="00AF20F7">
            <w:pPr>
              <w:rPr>
                <w:lang w:val="en-GB"/>
              </w:rPr>
            </w:pPr>
            <w:r>
              <w:rPr>
                <w:lang w:val="en-GB"/>
              </w:rPr>
              <w:t>MTK</w:t>
            </w:r>
          </w:p>
        </w:tc>
        <w:tc>
          <w:tcPr>
            <w:tcW w:w="2738" w:type="dxa"/>
          </w:tcPr>
          <w:p w14:paraId="07413E6D" w14:textId="620982FC" w:rsidR="00FA7866" w:rsidRPr="009A02E2" w:rsidRDefault="00683EF1" w:rsidP="00AF20F7">
            <w:pPr>
              <w:rPr>
                <w:sz w:val="18"/>
                <w:szCs w:val="18"/>
                <w:lang w:val="en-GB"/>
              </w:rPr>
            </w:pPr>
            <w:r>
              <w:rPr>
                <w:sz w:val="18"/>
                <w:szCs w:val="18"/>
                <w:lang w:val="en-GB"/>
              </w:rPr>
              <w:t>We think Option 1 is viable.</w:t>
            </w:r>
          </w:p>
        </w:tc>
        <w:tc>
          <w:tcPr>
            <w:tcW w:w="2739" w:type="dxa"/>
          </w:tcPr>
          <w:p w14:paraId="6D048747" w14:textId="47098022" w:rsidR="00FA7866" w:rsidRPr="009A02E2" w:rsidRDefault="00683EF1" w:rsidP="00AF20F7">
            <w:pPr>
              <w:rPr>
                <w:sz w:val="18"/>
                <w:szCs w:val="18"/>
                <w:lang w:val="en-GB"/>
              </w:rPr>
            </w:pPr>
            <w:r>
              <w:rPr>
                <w:sz w:val="18"/>
                <w:szCs w:val="18"/>
                <w:lang w:val="en-GB"/>
              </w:rPr>
              <w:t>We think Option 2 is the most straight forward and easy way</w:t>
            </w:r>
            <w:r w:rsidR="00411644">
              <w:rPr>
                <w:sz w:val="18"/>
                <w:szCs w:val="18"/>
                <w:lang w:val="en-GB"/>
              </w:rPr>
              <w:t xml:space="preserve"> to order the codebook</w:t>
            </w:r>
            <w:r>
              <w:rPr>
                <w:sz w:val="18"/>
                <w:szCs w:val="18"/>
                <w:lang w:val="en-GB"/>
              </w:rPr>
              <w:t xml:space="preserve">. However, </w:t>
            </w:r>
            <w:r w:rsidR="00411644">
              <w:rPr>
                <w:sz w:val="18"/>
                <w:szCs w:val="18"/>
                <w:lang w:val="en-GB"/>
              </w:rPr>
              <w:t>we expect</w:t>
            </w:r>
            <w:r>
              <w:rPr>
                <w:sz w:val="18"/>
                <w:szCs w:val="18"/>
                <w:lang w:val="en-GB"/>
              </w:rPr>
              <w:t xml:space="preserve"> proponents of Option 2 [3][7] </w:t>
            </w:r>
            <w:r w:rsidR="00411644">
              <w:rPr>
                <w:sz w:val="18"/>
                <w:szCs w:val="18"/>
                <w:lang w:val="en-GB"/>
              </w:rPr>
              <w:t>can clarify how to handle the issue mentioned by ZTE (two CORSETs with the same CCE (say 0) mapping to the same PDCCH MO).</w:t>
            </w:r>
            <w:r>
              <w:rPr>
                <w:sz w:val="18"/>
                <w:szCs w:val="18"/>
                <w:lang w:val="en-GB"/>
              </w:rPr>
              <w:t xml:space="preserve"> </w:t>
            </w:r>
          </w:p>
        </w:tc>
        <w:tc>
          <w:tcPr>
            <w:tcW w:w="2739" w:type="dxa"/>
          </w:tcPr>
          <w:p w14:paraId="61C6AB06" w14:textId="7A6E02E2" w:rsidR="00FA7866" w:rsidRPr="009A02E2" w:rsidRDefault="00411644" w:rsidP="00411644">
            <w:pPr>
              <w:rPr>
                <w:sz w:val="18"/>
                <w:szCs w:val="18"/>
                <w:lang w:val="en-GB"/>
              </w:rPr>
            </w:pPr>
            <w:r>
              <w:rPr>
                <w:sz w:val="18"/>
                <w:szCs w:val="18"/>
                <w:lang w:val="en-GB"/>
              </w:rPr>
              <w:t>We also see the issue as ZTE pointed out. Proponent of Option 3 [6] can clarify how to handle the mentioned scenario (</w:t>
            </w:r>
            <w:r>
              <w:rPr>
                <w:rFonts w:eastAsiaTheme="minorEastAsia"/>
                <w:sz w:val="18"/>
                <w:szCs w:val="18"/>
                <w:lang w:val="en-GB" w:eastAsia="zh-CN"/>
              </w:rPr>
              <w:t>number of DCIs per MO is &gt;= 4</w:t>
            </w:r>
            <w:r>
              <w:rPr>
                <w:sz w:val="18"/>
                <w:szCs w:val="18"/>
                <w:lang w:val="en-GB"/>
              </w:rPr>
              <w:t>).</w:t>
            </w:r>
          </w:p>
        </w:tc>
      </w:tr>
      <w:tr w:rsidR="003767C1" w:rsidRPr="009A02E2" w14:paraId="5C1CD8FC" w14:textId="77777777" w:rsidTr="00B42308">
        <w:tc>
          <w:tcPr>
            <w:tcW w:w="1413" w:type="dxa"/>
          </w:tcPr>
          <w:p w14:paraId="00B909A1" w14:textId="41712CB4" w:rsidR="003767C1" w:rsidRPr="009A02E2" w:rsidRDefault="003767C1" w:rsidP="00AF20F7">
            <w:pPr>
              <w:rPr>
                <w:lang w:val="en-GB"/>
              </w:rPr>
            </w:pPr>
            <w:r>
              <w:rPr>
                <w:lang w:val="en-GB"/>
              </w:rPr>
              <w:t>vivo</w:t>
            </w:r>
          </w:p>
        </w:tc>
        <w:tc>
          <w:tcPr>
            <w:tcW w:w="8216" w:type="dxa"/>
            <w:gridSpan w:val="3"/>
          </w:tcPr>
          <w:p w14:paraId="11AB7DCF" w14:textId="1CD2B633" w:rsidR="003767C1" w:rsidRDefault="003767C1" w:rsidP="00AF20F7">
            <w:pPr>
              <w:rPr>
                <w:sz w:val="18"/>
                <w:szCs w:val="18"/>
                <w:lang w:val="en-GB"/>
              </w:rPr>
            </w:pPr>
            <w:r>
              <w:rPr>
                <w:sz w:val="18"/>
                <w:szCs w:val="18"/>
                <w:lang w:val="en-GB"/>
              </w:rPr>
              <w:t>None of the option is needed.</w:t>
            </w:r>
          </w:p>
          <w:p w14:paraId="0B371B3E" w14:textId="5028D7E7" w:rsidR="003767C1" w:rsidRPr="009A02E2" w:rsidRDefault="003767C1" w:rsidP="003767C1">
            <w:pPr>
              <w:rPr>
                <w:sz w:val="18"/>
                <w:szCs w:val="18"/>
                <w:lang w:val="en-GB"/>
              </w:rPr>
            </w:pPr>
            <w:r>
              <w:rPr>
                <w:sz w:val="18"/>
                <w:szCs w:val="18"/>
                <w:lang w:val="en-GB"/>
              </w:rPr>
              <w:t>The proposed option increases the UE complexity (i.e., counting the PDSCH starting time). Moreover each option may have its issue. For example, by option-2 the content of DCI (i.e., DAI) will depend on the mapping location of DCI (i.e., CCE index) which is determined after the generating the coded symbol of DCI. Such kind of change should be avoid.</w:t>
            </w:r>
          </w:p>
        </w:tc>
      </w:tr>
      <w:tr w:rsidR="007E75CA" w:rsidRPr="009A02E2" w14:paraId="607B8F09" w14:textId="77777777" w:rsidTr="00653661">
        <w:tc>
          <w:tcPr>
            <w:tcW w:w="1413" w:type="dxa"/>
          </w:tcPr>
          <w:p w14:paraId="59BD35FA" w14:textId="6FFBB575" w:rsidR="007E75CA" w:rsidRPr="009A02E2" w:rsidRDefault="007E75CA" w:rsidP="00AF20F7">
            <w:pPr>
              <w:rPr>
                <w:lang w:val="en-GB"/>
              </w:rPr>
            </w:pPr>
            <w:r>
              <w:rPr>
                <w:lang w:val="en-GB"/>
              </w:rPr>
              <w:t>Samsung</w:t>
            </w:r>
          </w:p>
        </w:tc>
        <w:tc>
          <w:tcPr>
            <w:tcW w:w="8216" w:type="dxa"/>
            <w:gridSpan w:val="3"/>
          </w:tcPr>
          <w:p w14:paraId="1AF27F71" w14:textId="77777777" w:rsidR="007E75CA" w:rsidRPr="008836F3" w:rsidRDefault="007E75CA" w:rsidP="007E75CA">
            <w:pPr>
              <w:rPr>
                <w:sz w:val="18"/>
                <w:szCs w:val="18"/>
                <w:lang w:val="en-GB"/>
              </w:rPr>
            </w:pPr>
            <w:r w:rsidRPr="008836F3">
              <w:rPr>
                <w:sz w:val="18"/>
                <w:szCs w:val="18"/>
                <w:lang w:val="en-GB"/>
              </w:rPr>
              <w:t xml:space="preserve">Option 1. Option 2 has the problem that the same CCE index can exist in different CORESETs (CORESET index needs to also be considered) while </w:t>
            </w:r>
            <w:r>
              <w:rPr>
                <w:sz w:val="18"/>
                <w:szCs w:val="18"/>
                <w:lang w:val="en-GB"/>
              </w:rPr>
              <w:t>O</w:t>
            </w:r>
            <w:r w:rsidRPr="008836F3">
              <w:rPr>
                <w:sz w:val="18"/>
                <w:szCs w:val="18"/>
                <w:lang w:val="en-GB"/>
              </w:rPr>
              <w:t>ption 3 offers a somewhat reduced protection for missed DCIs.</w:t>
            </w:r>
          </w:p>
          <w:p w14:paraId="640FC899" w14:textId="77777777" w:rsidR="007E75CA" w:rsidRPr="008836F3" w:rsidRDefault="007E75CA" w:rsidP="007E75CA">
            <w:pPr>
              <w:rPr>
                <w:sz w:val="18"/>
                <w:szCs w:val="18"/>
                <w:lang w:val="en-GB"/>
              </w:rPr>
            </w:pPr>
            <w:r w:rsidRPr="008836F3">
              <w:rPr>
                <w:sz w:val="18"/>
                <w:szCs w:val="18"/>
                <w:lang w:val="en-GB"/>
              </w:rPr>
              <w:t>There was also another proposal from Ericsson that has been missed (use RB index) that we are also OK with.</w:t>
            </w:r>
          </w:p>
          <w:p w14:paraId="4C8F7869" w14:textId="77777777" w:rsidR="007E75CA" w:rsidRPr="008836F3" w:rsidRDefault="007E75CA" w:rsidP="007E75CA">
            <w:pPr>
              <w:rPr>
                <w:sz w:val="18"/>
                <w:szCs w:val="18"/>
                <w:lang w:val="en-GB"/>
              </w:rPr>
            </w:pPr>
            <w:r w:rsidRPr="008836F3">
              <w:rPr>
                <w:sz w:val="18"/>
                <w:szCs w:val="18"/>
                <w:lang w:val="en-GB"/>
              </w:rPr>
              <w:t>Although we were OK (actually proposed) to use different slots for HARQ-ACK feedback in Rel-15, this should not be the case now because:</w:t>
            </w:r>
          </w:p>
          <w:p w14:paraId="1F287B37" w14:textId="77777777" w:rsidR="00E03BCE" w:rsidRPr="00E03BCE" w:rsidRDefault="007E75CA" w:rsidP="00E03BCE">
            <w:pPr>
              <w:pStyle w:val="ListParagraph"/>
              <w:numPr>
                <w:ilvl w:val="0"/>
                <w:numId w:val="44"/>
              </w:numPr>
              <w:spacing w:after="120"/>
              <w:rPr>
                <w:rFonts w:ascii="Times New Roman" w:hAnsi="Times New Roman"/>
                <w:sz w:val="18"/>
                <w:szCs w:val="18"/>
              </w:rPr>
            </w:pPr>
            <w:r w:rsidRPr="008836F3">
              <w:rPr>
                <w:rFonts w:ascii="Times New Roman" w:hAnsi="Times New Roman"/>
                <w:sz w:val="18"/>
                <w:szCs w:val="18"/>
                <w:lang w:val="en-US"/>
              </w:rPr>
              <w:t xml:space="preserve">The use-case for multi-DCI reception at a same MO did not exist in Rel-15 – the whole discussion occurred only </w:t>
            </w:r>
            <w:r w:rsidRPr="00E03BCE">
              <w:rPr>
                <w:rFonts w:ascii="Times New Roman" w:hAnsi="Times New Roman"/>
                <w:sz w:val="18"/>
                <w:szCs w:val="18"/>
                <w:lang w:val="en-US"/>
              </w:rPr>
              <w:t>due because of what was an unintended consequence of some FG decisions. This is not the case in Rel-16 and there is actually a very strong use case (schedule FR2 from FR1)</w:t>
            </w:r>
          </w:p>
          <w:p w14:paraId="2ED946BD" w14:textId="097B240F" w:rsidR="007E75CA" w:rsidRPr="00E03BCE" w:rsidRDefault="007E75CA" w:rsidP="007E75CA">
            <w:pPr>
              <w:pStyle w:val="ListParagraph"/>
              <w:numPr>
                <w:ilvl w:val="0"/>
                <w:numId w:val="44"/>
              </w:numPr>
              <w:rPr>
                <w:rFonts w:ascii="Times New Roman" w:hAnsi="Times New Roman"/>
                <w:sz w:val="18"/>
                <w:szCs w:val="18"/>
              </w:rPr>
            </w:pPr>
            <w:r w:rsidRPr="00E03BCE">
              <w:rPr>
                <w:rFonts w:ascii="Times New Roman" w:hAnsi="Times New Roman"/>
                <w:sz w:val="18"/>
                <w:szCs w:val="18"/>
                <w:lang w:val="de-DE"/>
              </w:rPr>
              <w:t>The number of DCIs in a sam</w:t>
            </w:r>
            <w:r w:rsidRPr="00E03BCE">
              <w:rPr>
                <w:rFonts w:ascii="Times New Roman" w:hAnsi="Times New Roman"/>
                <w:sz w:val="18"/>
                <w:szCs w:val="18"/>
                <w:lang w:val="en-US"/>
              </w:rPr>
              <w:t>e MO is considered to be up to 4 (it was up to 2 in the FG or Rel-15). It would be very difficult to rely on TDM for the HARQ-ACK codebooks in TDD systems and there will be an impact on DL data rates (unlikely that 16 HARQ processes will always suffice)</w:t>
            </w:r>
            <w:r w:rsidR="00E03BCE">
              <w:rPr>
                <w:rFonts w:ascii="Times New Roman" w:hAnsi="Times New Roman"/>
                <w:sz w:val="18"/>
                <w:szCs w:val="18"/>
                <w:lang w:val="en-US"/>
              </w:rPr>
              <w:t xml:space="preserve"> – the whole “schedule FR2 from FR1” feature which was the main reason for cross-cell scheduling with different SCS will be compromised.</w:t>
            </w:r>
          </w:p>
        </w:tc>
      </w:tr>
      <w:tr w:rsidR="00314E5D" w:rsidRPr="00E03BCE" w14:paraId="5700964A" w14:textId="77777777" w:rsidTr="00314E5D">
        <w:tc>
          <w:tcPr>
            <w:tcW w:w="1413" w:type="dxa"/>
          </w:tcPr>
          <w:p w14:paraId="4F545662" w14:textId="67A090A4" w:rsidR="00314E5D" w:rsidRPr="009A02E2" w:rsidRDefault="00314E5D" w:rsidP="00DF5AD5">
            <w:pPr>
              <w:rPr>
                <w:lang w:val="en-GB"/>
              </w:rPr>
            </w:pPr>
            <w:r>
              <w:rPr>
                <w:lang w:val="en-GB"/>
              </w:rPr>
              <w:t>LG</w:t>
            </w:r>
          </w:p>
        </w:tc>
        <w:tc>
          <w:tcPr>
            <w:tcW w:w="8216" w:type="dxa"/>
            <w:gridSpan w:val="3"/>
          </w:tcPr>
          <w:p w14:paraId="4ADBFF4B" w14:textId="4318DFCA" w:rsidR="00314E5D" w:rsidRDefault="00314E5D" w:rsidP="00DF5AD5">
            <w:pPr>
              <w:rPr>
                <w:rFonts w:eastAsia="Malgun Gothic"/>
                <w:sz w:val="18"/>
                <w:szCs w:val="18"/>
                <w:lang w:val="en-GB" w:eastAsia="ko-KR"/>
              </w:rPr>
            </w:pPr>
            <w:r>
              <w:rPr>
                <w:rFonts w:eastAsia="Malgun Gothic" w:hint="eastAsia"/>
                <w:sz w:val="18"/>
                <w:szCs w:val="18"/>
                <w:lang w:val="en-GB" w:eastAsia="ko-KR"/>
              </w:rPr>
              <w:t xml:space="preserve">Option 2 is </w:t>
            </w:r>
            <w:r>
              <w:rPr>
                <w:rFonts w:eastAsia="Malgun Gothic"/>
                <w:sz w:val="18"/>
                <w:szCs w:val="18"/>
                <w:lang w:val="en-GB" w:eastAsia="ko-KR"/>
              </w:rPr>
              <w:t>preferred</w:t>
            </w:r>
            <w:r w:rsidR="002B17ED">
              <w:rPr>
                <w:rFonts w:eastAsia="Malgun Gothic"/>
                <w:sz w:val="18"/>
                <w:szCs w:val="18"/>
                <w:lang w:val="en-GB" w:eastAsia="ko-KR"/>
              </w:rPr>
              <w:t xml:space="preserve">, and regarding the case with multiple CORESETs, </w:t>
            </w:r>
            <w:proofErr w:type="spellStart"/>
            <w:r w:rsidR="002B17ED">
              <w:rPr>
                <w:rFonts w:eastAsia="Malgun Gothic"/>
                <w:sz w:val="18"/>
                <w:szCs w:val="18"/>
                <w:lang w:val="en-GB" w:eastAsia="ko-KR"/>
              </w:rPr>
              <w:t>gNB</w:t>
            </w:r>
            <w:proofErr w:type="spellEnd"/>
            <w:r w:rsidR="002B17ED">
              <w:rPr>
                <w:rFonts w:eastAsia="Malgun Gothic"/>
                <w:sz w:val="18"/>
                <w:szCs w:val="18"/>
                <w:lang w:val="en-GB" w:eastAsia="ko-KR"/>
              </w:rPr>
              <w:t xml:space="preserve"> might be able to handle the collision by using different CCE index between different CORESETs.</w:t>
            </w:r>
          </w:p>
          <w:p w14:paraId="2C4E14E3" w14:textId="7909FB59" w:rsidR="002B17ED" w:rsidRPr="00314E5D" w:rsidRDefault="002B17ED" w:rsidP="00DF5AD5">
            <w:pPr>
              <w:rPr>
                <w:rFonts w:eastAsia="Malgun Gothic"/>
                <w:sz w:val="18"/>
                <w:szCs w:val="18"/>
                <w:lang w:val="en-GB" w:eastAsia="ko-KR"/>
              </w:rPr>
            </w:pPr>
            <w:r>
              <w:rPr>
                <w:rFonts w:eastAsia="Malgun Gothic"/>
                <w:sz w:val="18"/>
                <w:szCs w:val="18"/>
                <w:lang w:val="en-GB" w:eastAsia="ko-KR"/>
              </w:rPr>
              <w:t xml:space="preserve">But, Option </w:t>
            </w:r>
            <w:r w:rsidR="000E02BC">
              <w:rPr>
                <w:rFonts w:eastAsia="Malgun Gothic"/>
                <w:sz w:val="18"/>
                <w:szCs w:val="18"/>
                <w:lang w:val="en-GB" w:eastAsia="ko-KR"/>
              </w:rPr>
              <w:t>1</w:t>
            </w:r>
            <w:r>
              <w:rPr>
                <w:rFonts w:eastAsia="Malgun Gothic"/>
                <w:sz w:val="18"/>
                <w:szCs w:val="18"/>
                <w:lang w:val="en-GB" w:eastAsia="ko-KR"/>
              </w:rPr>
              <w:t xml:space="preserve"> is also acceptable if such </w:t>
            </w:r>
            <w:proofErr w:type="spellStart"/>
            <w:r>
              <w:rPr>
                <w:rFonts w:eastAsia="Malgun Gothic"/>
                <w:sz w:val="18"/>
                <w:szCs w:val="18"/>
                <w:lang w:val="en-GB" w:eastAsia="ko-KR"/>
              </w:rPr>
              <w:t>gNB’s</w:t>
            </w:r>
            <w:proofErr w:type="spellEnd"/>
            <w:r>
              <w:rPr>
                <w:rFonts w:eastAsia="Malgun Gothic"/>
                <w:sz w:val="18"/>
                <w:szCs w:val="18"/>
                <w:lang w:val="en-GB" w:eastAsia="ko-KR"/>
              </w:rPr>
              <w:t xml:space="preserve"> handling would be considered as some restriction.</w:t>
            </w:r>
          </w:p>
          <w:p w14:paraId="74DDCB9E" w14:textId="4B1B5094" w:rsidR="00314E5D" w:rsidRDefault="00EC56AD" w:rsidP="00DF5AD5">
            <w:pPr>
              <w:rPr>
                <w:rFonts w:eastAsia="Malgun Gothic"/>
                <w:sz w:val="18"/>
                <w:szCs w:val="18"/>
                <w:lang w:val="en-GB" w:eastAsia="ko-KR"/>
              </w:rPr>
            </w:pPr>
            <w:r>
              <w:rPr>
                <w:rFonts w:eastAsia="Malgun Gothic"/>
                <w:sz w:val="18"/>
                <w:szCs w:val="18"/>
                <w:lang w:val="en-GB" w:eastAsia="ko-KR"/>
              </w:rPr>
              <w:t>On this issue, b</w:t>
            </w:r>
            <w:r w:rsidR="002B17ED">
              <w:rPr>
                <w:rFonts w:eastAsia="Malgun Gothic" w:hint="eastAsia"/>
                <w:sz w:val="18"/>
                <w:szCs w:val="18"/>
                <w:lang w:val="en-GB" w:eastAsia="ko-KR"/>
              </w:rPr>
              <w:t xml:space="preserve">asically, we </w:t>
            </w:r>
            <w:r w:rsidR="002B17ED">
              <w:rPr>
                <w:rFonts w:eastAsia="Malgun Gothic"/>
                <w:sz w:val="18"/>
                <w:szCs w:val="18"/>
                <w:lang w:val="en-GB" w:eastAsia="ko-KR"/>
              </w:rPr>
              <w:t>share the same view</w:t>
            </w:r>
            <w:r w:rsidR="002B17ED">
              <w:rPr>
                <w:rFonts w:eastAsia="Malgun Gothic" w:hint="eastAsia"/>
                <w:sz w:val="18"/>
                <w:szCs w:val="18"/>
                <w:lang w:val="en-GB" w:eastAsia="ko-KR"/>
              </w:rPr>
              <w:t xml:space="preserve"> with Samsung that </w:t>
            </w:r>
            <w:r>
              <w:rPr>
                <w:rFonts w:eastAsia="Malgun Gothic"/>
                <w:sz w:val="18"/>
                <w:szCs w:val="18"/>
                <w:lang w:val="en-GB" w:eastAsia="ko-KR"/>
              </w:rPr>
              <w:t>the support of s</w:t>
            </w:r>
            <w:r w:rsidR="002B17ED">
              <w:rPr>
                <w:rFonts w:eastAsia="Malgun Gothic"/>
                <w:sz w:val="18"/>
                <w:szCs w:val="18"/>
                <w:lang w:val="en-GB" w:eastAsia="ko-KR"/>
              </w:rPr>
              <w:t xml:space="preserve">cheduling from </w:t>
            </w:r>
            <w:r>
              <w:rPr>
                <w:rFonts w:eastAsia="Malgun Gothic"/>
                <w:sz w:val="18"/>
                <w:szCs w:val="18"/>
                <w:lang w:val="en-GB" w:eastAsia="ko-KR"/>
              </w:rPr>
              <w:t xml:space="preserve">FR1 to FR2 was the main motivation of this WI for cross-CC scheduling between different SCSs. </w:t>
            </w:r>
          </w:p>
          <w:p w14:paraId="31520005" w14:textId="5450A7B7" w:rsidR="00EC56AD" w:rsidRPr="002B17ED" w:rsidRDefault="00EC56AD" w:rsidP="00DF5AD5">
            <w:pPr>
              <w:rPr>
                <w:rFonts w:eastAsia="Malgun Gothic"/>
                <w:sz w:val="18"/>
                <w:szCs w:val="18"/>
                <w:lang w:val="en-GB" w:eastAsia="ko-KR"/>
              </w:rPr>
            </w:pPr>
            <w:r>
              <w:rPr>
                <w:rFonts w:eastAsia="Malgun Gothic"/>
                <w:sz w:val="18"/>
                <w:szCs w:val="18"/>
                <w:lang w:val="en-GB" w:eastAsia="ko-KR"/>
              </w:rPr>
              <w:t xml:space="preserve">In this context, the feature of supporting up to 4 DCIs in a same MO should be considered as a facilitator to </w:t>
            </w:r>
            <w:r w:rsidR="00122AAF">
              <w:rPr>
                <w:rFonts w:eastAsia="Malgun Gothic"/>
                <w:sz w:val="18"/>
                <w:szCs w:val="18"/>
                <w:lang w:val="en-GB" w:eastAsia="ko-KR"/>
              </w:rPr>
              <w:t>maximally utilize this scheduling from FR1 to FR2, and the potential involved issue is also willing to be handled.</w:t>
            </w:r>
          </w:p>
          <w:p w14:paraId="5EB3B9BE" w14:textId="725FEAAC" w:rsidR="00122AAF" w:rsidRDefault="00122AAF" w:rsidP="00122AAF">
            <w:pPr>
              <w:rPr>
                <w:rFonts w:eastAsia="Malgun Gothic"/>
                <w:sz w:val="18"/>
                <w:szCs w:val="18"/>
                <w:lang w:val="en-GB" w:eastAsia="ko-KR"/>
              </w:rPr>
            </w:pPr>
            <w:r>
              <w:rPr>
                <w:rFonts w:eastAsia="Malgun Gothic"/>
                <w:sz w:val="18"/>
                <w:szCs w:val="18"/>
                <w:lang w:val="en-GB" w:eastAsia="ko-KR"/>
              </w:rPr>
              <w:t>According to our observations, at least, the DAI counting rule (</w:t>
            </w:r>
            <w:r w:rsidR="000E02BC">
              <w:rPr>
                <w:rFonts w:eastAsia="Malgun Gothic"/>
                <w:sz w:val="18"/>
                <w:szCs w:val="18"/>
                <w:lang w:val="en-GB" w:eastAsia="ko-KR"/>
              </w:rPr>
              <w:t xml:space="preserve">used </w:t>
            </w:r>
            <w:r>
              <w:rPr>
                <w:rFonts w:eastAsia="Malgun Gothic"/>
                <w:sz w:val="18"/>
                <w:szCs w:val="18"/>
                <w:lang w:val="en-GB" w:eastAsia="ko-KR"/>
              </w:rPr>
              <w:t xml:space="preserve">for Type-2 dynamic HARQ-ACK codebook) needs to be handled with consideration of up to 4 DCIs in a same MO, in order </w:t>
            </w:r>
            <w:r w:rsidRPr="00122AAF">
              <w:rPr>
                <w:rFonts w:eastAsia="Malgun Gothic"/>
                <w:sz w:val="18"/>
                <w:szCs w:val="18"/>
                <w:lang w:val="en-GB" w:eastAsia="ko-KR"/>
              </w:rPr>
              <w:t>to avoid potential misalignment</w:t>
            </w:r>
            <w:r w:rsidR="000E02BC">
              <w:rPr>
                <w:rFonts w:eastAsia="Malgun Gothic"/>
                <w:sz w:val="18"/>
                <w:szCs w:val="18"/>
                <w:lang w:val="en-GB" w:eastAsia="ko-KR"/>
              </w:rPr>
              <w:t>/ambiguity</w:t>
            </w:r>
            <w:r w:rsidRPr="00122AAF">
              <w:rPr>
                <w:rFonts w:eastAsia="Malgun Gothic"/>
                <w:sz w:val="18"/>
                <w:szCs w:val="18"/>
                <w:lang w:val="en-GB" w:eastAsia="ko-KR"/>
              </w:rPr>
              <w:t xml:space="preserve"> on the ordering of HARQ-ACK bits in the HARQ-ACK payload between UE and </w:t>
            </w:r>
            <w:proofErr w:type="spellStart"/>
            <w:r w:rsidRPr="00122AAF">
              <w:rPr>
                <w:rFonts w:eastAsia="Malgun Gothic"/>
                <w:sz w:val="18"/>
                <w:szCs w:val="18"/>
                <w:lang w:val="en-GB" w:eastAsia="ko-KR"/>
              </w:rPr>
              <w:t>gNB</w:t>
            </w:r>
            <w:proofErr w:type="spellEnd"/>
            <w:r w:rsidR="000E02BC">
              <w:rPr>
                <w:rFonts w:eastAsia="Malgun Gothic"/>
                <w:sz w:val="18"/>
                <w:szCs w:val="18"/>
                <w:lang w:val="en-GB" w:eastAsia="ko-KR"/>
              </w:rPr>
              <w:t xml:space="preserve"> (the example provided in </w:t>
            </w:r>
            <w:r w:rsidR="000E02BC" w:rsidRPr="00122AAF">
              <w:rPr>
                <w:rFonts w:eastAsia="Malgun Gothic"/>
                <w:sz w:val="18"/>
                <w:szCs w:val="18"/>
                <w:lang w:val="en-GB" w:eastAsia="ko-KR"/>
              </w:rPr>
              <w:t>R1-2004037</w:t>
            </w:r>
            <w:r w:rsidR="000E02BC">
              <w:rPr>
                <w:rFonts w:eastAsia="Malgun Gothic"/>
                <w:sz w:val="18"/>
                <w:szCs w:val="18"/>
                <w:lang w:val="en-GB" w:eastAsia="ko-KR"/>
              </w:rPr>
              <w:t xml:space="preserve"> is captured below for the understanding)</w:t>
            </w:r>
            <w:r w:rsidRPr="00122AAF">
              <w:rPr>
                <w:rFonts w:eastAsia="Malgun Gothic"/>
                <w:sz w:val="18"/>
                <w:szCs w:val="18"/>
                <w:lang w:val="en-GB" w:eastAsia="ko-KR"/>
              </w:rPr>
              <w:t xml:space="preserve">. </w:t>
            </w:r>
          </w:p>
          <w:p w14:paraId="64BAC816" w14:textId="77777777" w:rsidR="000E02BC" w:rsidRDefault="00122AAF" w:rsidP="00122AAF">
            <w:pPr>
              <w:rPr>
                <w:rFonts w:eastAsia="Malgun Gothic"/>
                <w:sz w:val="18"/>
                <w:szCs w:val="18"/>
                <w:lang w:val="en-GB" w:eastAsia="ko-KR"/>
              </w:rPr>
            </w:pPr>
            <w:r w:rsidRPr="00122AAF">
              <w:rPr>
                <w:rFonts w:eastAsia="Malgun Gothic"/>
                <w:sz w:val="18"/>
                <w:szCs w:val="18"/>
                <w:lang w:val="en-GB" w:eastAsia="ko-KR"/>
              </w:rPr>
              <w:t xml:space="preserve">For example, considering the case that </w:t>
            </w:r>
            <w:proofErr w:type="spellStart"/>
            <w:r w:rsidRPr="00122AAF">
              <w:rPr>
                <w:rFonts w:eastAsia="Malgun Gothic"/>
                <w:sz w:val="18"/>
                <w:szCs w:val="18"/>
                <w:lang w:val="en-GB" w:eastAsia="ko-KR"/>
              </w:rPr>
              <w:t>gNB</w:t>
            </w:r>
            <w:proofErr w:type="spellEnd"/>
            <w:r w:rsidRPr="00122AAF">
              <w:rPr>
                <w:rFonts w:eastAsia="Malgun Gothic"/>
                <w:sz w:val="18"/>
                <w:szCs w:val="18"/>
                <w:lang w:val="en-GB" w:eastAsia="ko-KR"/>
              </w:rPr>
              <w:t xml:space="preserve"> actually schedules total 5 DCIs where the first DCI with DAI = 1 is transmitted in MO#1 and other later 4 DCIs are transmitted in MO#2 but UE misses the first DCI, it would be ambiguous for the UE on which one between the first DCI with DAI = 1 and the last DCI with DAI = 1 is missed by the UE. </w:t>
            </w:r>
          </w:p>
          <w:p w14:paraId="7619CDFF" w14:textId="7C165341" w:rsidR="00314E5D" w:rsidRPr="00314E5D" w:rsidRDefault="000E02BC" w:rsidP="000E02BC">
            <w:pPr>
              <w:rPr>
                <w:rFonts w:eastAsia="MS Gothic"/>
                <w:sz w:val="18"/>
                <w:szCs w:val="18"/>
                <w:lang w:val="en-GB"/>
              </w:rPr>
            </w:pPr>
            <w:r>
              <w:rPr>
                <w:rFonts w:eastAsia="Malgun Gothic"/>
                <w:sz w:val="18"/>
                <w:szCs w:val="18"/>
                <w:lang w:val="en-GB" w:eastAsia="ko-KR"/>
              </w:rPr>
              <w:t>Therefore</w:t>
            </w:r>
            <w:r w:rsidR="00122AAF" w:rsidRPr="00122AAF">
              <w:rPr>
                <w:rFonts w:eastAsia="Malgun Gothic"/>
                <w:sz w:val="18"/>
                <w:szCs w:val="18"/>
                <w:lang w:val="en-GB" w:eastAsia="ko-KR"/>
              </w:rPr>
              <w:t xml:space="preserve">, in order to address </w:t>
            </w:r>
            <w:r>
              <w:rPr>
                <w:rFonts w:eastAsia="Malgun Gothic"/>
                <w:sz w:val="18"/>
                <w:szCs w:val="18"/>
                <w:lang w:val="en-GB" w:eastAsia="ko-KR"/>
              </w:rPr>
              <w:t>the above</w:t>
            </w:r>
            <w:r w:rsidR="00122AAF" w:rsidRPr="00122AAF">
              <w:rPr>
                <w:rFonts w:eastAsia="Malgun Gothic"/>
                <w:sz w:val="18"/>
                <w:szCs w:val="18"/>
                <w:lang w:val="en-GB" w:eastAsia="ko-KR"/>
              </w:rPr>
              <w:t xml:space="preserve"> potential ambiguity, the values of the DAI </w:t>
            </w:r>
            <w:r>
              <w:rPr>
                <w:rFonts w:eastAsia="Malgun Gothic"/>
                <w:sz w:val="18"/>
                <w:szCs w:val="18"/>
                <w:lang w:val="en-GB" w:eastAsia="ko-KR"/>
              </w:rPr>
              <w:t xml:space="preserve">should be determined by </w:t>
            </w:r>
            <w:r w:rsidR="00122AAF" w:rsidRPr="00122AAF">
              <w:rPr>
                <w:rFonts w:eastAsia="Malgun Gothic"/>
                <w:sz w:val="18"/>
                <w:szCs w:val="18"/>
                <w:lang w:val="en-GB" w:eastAsia="ko-KR"/>
              </w:rPr>
              <w:t>CCE index</w:t>
            </w:r>
            <w:r>
              <w:rPr>
                <w:rFonts w:eastAsia="Malgun Gothic"/>
                <w:sz w:val="18"/>
                <w:szCs w:val="18"/>
                <w:lang w:val="en-GB" w:eastAsia="ko-KR"/>
              </w:rPr>
              <w:t xml:space="preserve"> (by Option 2) or PDSCH starting (by Option 1)</w:t>
            </w:r>
            <w:r w:rsidR="00122AAF" w:rsidRPr="00122AAF">
              <w:rPr>
                <w:rFonts w:eastAsia="Malgun Gothic"/>
                <w:sz w:val="18"/>
                <w:szCs w:val="18"/>
                <w:lang w:val="en-GB" w:eastAsia="ko-KR"/>
              </w:rPr>
              <w:t>.</w:t>
            </w:r>
          </w:p>
        </w:tc>
      </w:tr>
      <w:tr w:rsidR="00333D57" w:rsidRPr="00E03BCE" w14:paraId="183AD602" w14:textId="77777777" w:rsidTr="00314E5D">
        <w:tc>
          <w:tcPr>
            <w:tcW w:w="1413" w:type="dxa"/>
          </w:tcPr>
          <w:p w14:paraId="3370F735" w14:textId="5443CB9B" w:rsidR="00333D57" w:rsidRPr="00333D57" w:rsidRDefault="00333D57" w:rsidP="00DF5AD5">
            <w:pPr>
              <w:rPr>
                <w:lang w:val="en-GB"/>
              </w:rPr>
            </w:pPr>
            <w:r>
              <w:rPr>
                <w:lang w:val="en-GB"/>
              </w:rPr>
              <w:lastRenderedPageBreak/>
              <w:t>Intel</w:t>
            </w:r>
          </w:p>
        </w:tc>
        <w:tc>
          <w:tcPr>
            <w:tcW w:w="8216" w:type="dxa"/>
            <w:gridSpan w:val="3"/>
          </w:tcPr>
          <w:p w14:paraId="0FC874F0" w14:textId="0B5CF6BF" w:rsidR="00333D57" w:rsidRDefault="00333D57" w:rsidP="00DF5AD5">
            <w:pPr>
              <w:rPr>
                <w:rFonts w:eastAsia="Malgun Gothic" w:hint="eastAsia"/>
                <w:sz w:val="18"/>
                <w:szCs w:val="18"/>
                <w:lang w:eastAsia="ko-KR"/>
              </w:rPr>
            </w:pPr>
            <w:r>
              <w:rPr>
                <w:rFonts w:eastAsia="Malgun Gothic"/>
                <w:sz w:val="18"/>
                <w:szCs w:val="18"/>
                <w:lang w:eastAsia="ko-KR"/>
              </w:rPr>
              <w:t xml:space="preserve">We are OK with Option 1. Option 2 has the problem on CCE numbering if there are multiple CORESETs in a MO. </w:t>
            </w:r>
            <w:bookmarkStart w:id="1" w:name="_GoBack"/>
            <w:bookmarkEnd w:id="1"/>
          </w:p>
        </w:tc>
      </w:tr>
    </w:tbl>
    <w:p w14:paraId="06CA99B5" w14:textId="77777777" w:rsidR="00FA7866" w:rsidRPr="00314E5D" w:rsidRDefault="00FA7866" w:rsidP="0038295D">
      <w:pPr>
        <w:rPr>
          <w:rFonts w:eastAsia="MS Gothic"/>
        </w:rPr>
      </w:pPr>
    </w:p>
    <w:p w14:paraId="3A609EA3" w14:textId="288989BC" w:rsidR="0038295D" w:rsidRPr="009A02E2" w:rsidRDefault="00CF052D" w:rsidP="0038295D">
      <w:pPr>
        <w:pStyle w:val="Heading1"/>
        <w:rPr>
          <w:rStyle w:val="Heading1Char"/>
        </w:rPr>
      </w:pPr>
      <w:r w:rsidRPr="009A02E2">
        <w:rPr>
          <w:rStyle w:val="Heading1Char"/>
        </w:rPr>
        <w:t>3</w:t>
      </w:r>
      <w:r w:rsidR="0038295D" w:rsidRPr="009A02E2">
        <w:rPr>
          <w:rStyle w:val="Heading1Char"/>
        </w:rPr>
        <w:tab/>
        <w:t>Conclusion on the scope of the RAN1#101</w:t>
      </w:r>
    </w:p>
    <w:p w14:paraId="3F75BC86" w14:textId="54C6152F" w:rsidR="00CF052D" w:rsidRPr="009A02E2" w:rsidRDefault="00CF052D" w:rsidP="00CF052D">
      <w:r w:rsidRPr="009A02E2">
        <w:rPr>
          <w:highlight w:val="yellow"/>
        </w:rPr>
        <w:t>To be written</w:t>
      </w:r>
    </w:p>
    <w:p w14:paraId="0DE7B547" w14:textId="77777777" w:rsidR="0038295D" w:rsidRPr="009A02E2" w:rsidRDefault="0038295D" w:rsidP="0038295D">
      <w:pPr>
        <w:pStyle w:val="Heading1"/>
        <w:rPr>
          <w:rStyle w:val="Heading1Char"/>
        </w:rPr>
      </w:pPr>
      <w:r w:rsidRPr="009A02E2">
        <w:rPr>
          <w:rStyle w:val="Heading1Char"/>
        </w:rPr>
        <w:t>References</w:t>
      </w:r>
    </w:p>
    <w:p w14:paraId="48738CA8" w14:textId="45BF99CD" w:rsidR="00461CBB" w:rsidRPr="009A02E2" w:rsidRDefault="00461CBB" w:rsidP="00461CBB">
      <w:pPr>
        <w:pStyle w:val="ListParagraph"/>
        <w:numPr>
          <w:ilvl w:val="0"/>
          <w:numId w:val="36"/>
        </w:numPr>
        <w:rPr>
          <w:rFonts w:ascii="Arial" w:hAnsi="Arial" w:cs="Arial"/>
          <w:sz w:val="20"/>
          <w:szCs w:val="20"/>
          <w:lang w:val="en-GB"/>
        </w:rPr>
      </w:pPr>
      <w:bookmarkStart w:id="2" w:name="_Hlk37782728"/>
      <w:r w:rsidRPr="009A02E2">
        <w:rPr>
          <w:rFonts w:ascii="Arial" w:hAnsi="Arial" w:cs="Arial"/>
          <w:sz w:val="20"/>
          <w:szCs w:val="20"/>
          <w:lang w:val="en-GB"/>
        </w:rPr>
        <w:t>R1-2003328, Remaining Issues on Cross-carrier Scheduling with Mixed Numerologies, ZTE</w:t>
      </w:r>
    </w:p>
    <w:p w14:paraId="13E7E26C" w14:textId="655FA04E"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R1-2003414, Remaining issues on cross-carrier scheduling with mix numerologies, vivo</w:t>
      </w:r>
    </w:p>
    <w:p w14:paraId="41E61776" w14:textId="47519980"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 xml:space="preserve">R1-2003508, </w:t>
      </w:r>
      <w:proofErr w:type="spellStart"/>
      <w:r w:rsidRPr="009A02E2">
        <w:rPr>
          <w:rFonts w:ascii="Arial" w:hAnsi="Arial" w:cs="Arial"/>
          <w:sz w:val="20"/>
          <w:szCs w:val="20"/>
          <w:lang w:val="en-GB"/>
        </w:rPr>
        <w:t>Remaing</w:t>
      </w:r>
      <w:proofErr w:type="spellEnd"/>
      <w:r w:rsidRPr="009A02E2">
        <w:rPr>
          <w:rFonts w:ascii="Arial" w:hAnsi="Arial" w:cs="Arial"/>
          <w:sz w:val="20"/>
          <w:szCs w:val="20"/>
          <w:lang w:val="en-GB"/>
        </w:rPr>
        <w:t xml:space="preserve"> issues on cross-carrier scheduling with different numerology, Huawei, </w:t>
      </w:r>
      <w:proofErr w:type="spellStart"/>
      <w:r w:rsidRPr="009A02E2">
        <w:rPr>
          <w:rFonts w:ascii="Arial" w:hAnsi="Arial" w:cs="Arial"/>
          <w:sz w:val="20"/>
          <w:szCs w:val="20"/>
          <w:lang w:val="en-GB"/>
        </w:rPr>
        <w:t>HiSilicon</w:t>
      </w:r>
      <w:proofErr w:type="spellEnd"/>
    </w:p>
    <w:p w14:paraId="331ED59F" w14:textId="5BBA7684"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R1-2003602, Discussion on HARQ-ACK feedback for SPS PDSCH release with cross-carrier scheduling, CATT</w:t>
      </w:r>
    </w:p>
    <w:p w14:paraId="40F600BD" w14:textId="6BAD4592"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R1-2003675, Remaining issues on cross-carrier scheduling with different numerology, MediaTek Inc.</w:t>
      </w:r>
    </w:p>
    <w:p w14:paraId="3887338B" w14:textId="40A9AEF1"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R1-2003751, Remaining issues on cross-carrier scheduling with different numerology, Intel Corporation</w:t>
      </w:r>
    </w:p>
    <w:p w14:paraId="35D13004" w14:textId="43CB54A4"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R1-2004037, Remaining issue on cross-carrier scheduling with different numerology, LG Electronics</w:t>
      </w:r>
    </w:p>
    <w:p w14:paraId="39898EAE" w14:textId="541A6FBA" w:rsidR="00461CBB" w:rsidRPr="009A02E2" w:rsidRDefault="00461CBB"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R1-2004366, Remaining issues for cross-carrier scheduling with different numerologies, Ericsson</w:t>
      </w:r>
    </w:p>
    <w:p w14:paraId="153D0B23" w14:textId="5E0F4D26" w:rsidR="00CF052D" w:rsidRPr="009A02E2" w:rsidRDefault="00CF052D" w:rsidP="00461CBB">
      <w:pPr>
        <w:pStyle w:val="ListParagraph"/>
        <w:numPr>
          <w:ilvl w:val="0"/>
          <w:numId w:val="36"/>
        </w:numPr>
        <w:rPr>
          <w:rFonts w:ascii="Arial" w:hAnsi="Arial" w:cs="Arial"/>
          <w:sz w:val="20"/>
          <w:szCs w:val="20"/>
          <w:lang w:val="en-GB"/>
        </w:rPr>
      </w:pPr>
      <w:r w:rsidRPr="009A02E2">
        <w:rPr>
          <w:rFonts w:ascii="Arial" w:hAnsi="Arial" w:cs="Arial"/>
          <w:sz w:val="20"/>
          <w:szCs w:val="20"/>
          <w:lang w:val="en-GB"/>
        </w:rPr>
        <w:t>R1-2004639, FL summary on cross-carrier scheduling with different numerology, Moderator (Nokia)</w:t>
      </w:r>
    </w:p>
    <w:bookmarkEnd w:id="2"/>
    <w:p w14:paraId="4921C2D5" w14:textId="5D34E6E1" w:rsidR="0038295D" w:rsidRPr="009A02E2" w:rsidRDefault="0038295D" w:rsidP="00CF052D">
      <w:pPr>
        <w:rPr>
          <w:rFonts w:ascii="Arial" w:hAnsi="Arial" w:cs="Arial"/>
        </w:rPr>
      </w:pPr>
    </w:p>
    <w:sectPr w:rsidR="0038295D" w:rsidRPr="009A02E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79FC6" w14:textId="77777777" w:rsidR="00161E98" w:rsidRDefault="00161E98">
      <w:r>
        <w:separator/>
      </w:r>
    </w:p>
  </w:endnote>
  <w:endnote w:type="continuationSeparator" w:id="0">
    <w:p w14:paraId="0B9AA9A9" w14:textId="77777777" w:rsidR="00161E98" w:rsidRDefault="0016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02BC">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02BC">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FA7DD" w14:textId="77777777" w:rsidR="00161E98" w:rsidRDefault="00161E98">
      <w:r>
        <w:separator/>
      </w:r>
    </w:p>
  </w:footnote>
  <w:footnote w:type="continuationSeparator" w:id="0">
    <w:p w14:paraId="72D1D058" w14:textId="77777777" w:rsidR="00161E98" w:rsidRDefault="0016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AB2F5C"/>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A87D3F"/>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9"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0CA6365"/>
    <w:multiLevelType w:val="hybridMultilevel"/>
    <w:tmpl w:val="1226C1DA"/>
    <w:lvl w:ilvl="0" w:tplc="11DEC7F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264A1"/>
    <w:multiLevelType w:val="hybridMultilevel"/>
    <w:tmpl w:val="93E4317A"/>
    <w:lvl w:ilvl="0" w:tplc="040B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4"/>
  </w:num>
  <w:num w:numId="3">
    <w:abstractNumId w:val="16"/>
  </w:num>
  <w:num w:numId="4">
    <w:abstractNumId w:val="17"/>
  </w:num>
  <w:num w:numId="5">
    <w:abstractNumId w:val="10"/>
  </w:num>
  <w:num w:numId="6">
    <w:abstractNumId w:val="22"/>
  </w:num>
  <w:num w:numId="7">
    <w:abstractNumId w:val="30"/>
  </w:num>
  <w:num w:numId="8">
    <w:abstractNumId w:val="11"/>
  </w:num>
  <w:num w:numId="9">
    <w:abstractNumId w:val="9"/>
  </w:num>
  <w:num w:numId="10">
    <w:abstractNumId w:val="2"/>
  </w:num>
  <w:num w:numId="11">
    <w:abstractNumId w:val="1"/>
  </w:num>
  <w:num w:numId="12">
    <w:abstractNumId w:val="0"/>
  </w:num>
  <w:num w:numId="13">
    <w:abstractNumId w:val="26"/>
  </w:num>
  <w:num w:numId="14">
    <w:abstractNumId w:val="27"/>
  </w:num>
  <w:num w:numId="15">
    <w:abstractNumId w:val="19"/>
  </w:num>
  <w:num w:numId="16">
    <w:abstractNumId w:val="31"/>
  </w:num>
  <w:num w:numId="17">
    <w:abstractNumId w:val="7"/>
  </w:num>
  <w:num w:numId="18">
    <w:abstractNumId w:val="8"/>
  </w:num>
  <w:num w:numId="19">
    <w:abstractNumId w:val="5"/>
  </w:num>
  <w:num w:numId="20">
    <w:abstractNumId w:val="41"/>
  </w:num>
  <w:num w:numId="21">
    <w:abstractNumId w:val="12"/>
  </w:num>
  <w:num w:numId="22">
    <w:abstractNumId w:val="36"/>
  </w:num>
  <w:num w:numId="23">
    <w:abstractNumId w:val="23"/>
  </w:num>
  <w:num w:numId="24">
    <w:abstractNumId w:val="14"/>
  </w:num>
  <w:num w:numId="25">
    <w:abstractNumId w:val="34"/>
  </w:num>
  <w:num w:numId="26">
    <w:abstractNumId w:val="37"/>
  </w:num>
  <w:num w:numId="27">
    <w:abstractNumId w:val="43"/>
  </w:num>
  <w:num w:numId="28">
    <w:abstractNumId w:val="33"/>
  </w:num>
  <w:num w:numId="29">
    <w:abstractNumId w:val="28"/>
  </w:num>
  <w:num w:numId="30">
    <w:abstractNumId w:val="6"/>
  </w:num>
  <w:num w:numId="31">
    <w:abstractNumId w:val="13"/>
  </w:num>
  <w:num w:numId="32">
    <w:abstractNumId w:val="25"/>
  </w:num>
  <w:num w:numId="33">
    <w:abstractNumId w:val="39"/>
  </w:num>
  <w:num w:numId="34">
    <w:abstractNumId w:val="35"/>
  </w:num>
  <w:num w:numId="35">
    <w:abstractNumId w:val="38"/>
  </w:num>
  <w:num w:numId="36">
    <w:abstractNumId w:val="15"/>
  </w:num>
  <w:num w:numId="37">
    <w:abstractNumId w:val="42"/>
  </w:num>
  <w:num w:numId="38">
    <w:abstractNumId w:val="40"/>
  </w:num>
  <w:num w:numId="39">
    <w:abstractNumId w:val="18"/>
  </w:num>
  <w:num w:numId="40">
    <w:abstractNumId w:val="21"/>
  </w:num>
  <w:num w:numId="41">
    <w:abstractNumId w:val="44"/>
  </w:num>
  <w:num w:numId="42">
    <w:abstractNumId w:val="32"/>
  </w:num>
  <w:num w:numId="43">
    <w:abstractNumId w:val="29"/>
  </w:num>
  <w:num w:numId="44">
    <w:abstractNumId w:val="20"/>
  </w:num>
  <w:num w:numId="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6A58"/>
    <w:rsid w:val="000D0B5F"/>
    <w:rsid w:val="000D0D07"/>
    <w:rsid w:val="000D1E31"/>
    <w:rsid w:val="000D447B"/>
    <w:rsid w:val="000D4797"/>
    <w:rsid w:val="000E02BC"/>
    <w:rsid w:val="000E0527"/>
    <w:rsid w:val="000E1E92"/>
    <w:rsid w:val="000F06D6"/>
    <w:rsid w:val="000F0EB1"/>
    <w:rsid w:val="000F1106"/>
    <w:rsid w:val="000F3BE9"/>
    <w:rsid w:val="000F3F6C"/>
    <w:rsid w:val="000F6DF3"/>
    <w:rsid w:val="001005FF"/>
    <w:rsid w:val="001041AC"/>
    <w:rsid w:val="00105FDD"/>
    <w:rsid w:val="001062FB"/>
    <w:rsid w:val="001063E6"/>
    <w:rsid w:val="00113CF4"/>
    <w:rsid w:val="001153EA"/>
    <w:rsid w:val="00115643"/>
    <w:rsid w:val="00116765"/>
    <w:rsid w:val="00117F9B"/>
    <w:rsid w:val="00121408"/>
    <w:rsid w:val="001219F5"/>
    <w:rsid w:val="00121A20"/>
    <w:rsid w:val="00122AAF"/>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1E98"/>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0C33"/>
    <w:rsid w:val="001D51BA"/>
    <w:rsid w:val="001D53E7"/>
    <w:rsid w:val="001D6342"/>
    <w:rsid w:val="001D6D53"/>
    <w:rsid w:val="001E58E2"/>
    <w:rsid w:val="001E7789"/>
    <w:rsid w:val="001E7AED"/>
    <w:rsid w:val="001F247B"/>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E44"/>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17ED"/>
    <w:rsid w:val="002B24D6"/>
    <w:rsid w:val="002B354D"/>
    <w:rsid w:val="002B72FA"/>
    <w:rsid w:val="002C0087"/>
    <w:rsid w:val="002C13D1"/>
    <w:rsid w:val="002C41E6"/>
    <w:rsid w:val="002C466F"/>
    <w:rsid w:val="002D071A"/>
    <w:rsid w:val="002D34B2"/>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4E5D"/>
    <w:rsid w:val="00315363"/>
    <w:rsid w:val="003203ED"/>
    <w:rsid w:val="00322C9F"/>
    <w:rsid w:val="00324D23"/>
    <w:rsid w:val="00330E97"/>
    <w:rsid w:val="00331751"/>
    <w:rsid w:val="00333D57"/>
    <w:rsid w:val="00334579"/>
    <w:rsid w:val="00335042"/>
    <w:rsid w:val="00335858"/>
    <w:rsid w:val="00336BDA"/>
    <w:rsid w:val="00342BD7"/>
    <w:rsid w:val="00346DB5"/>
    <w:rsid w:val="003477B1"/>
    <w:rsid w:val="00353B5A"/>
    <w:rsid w:val="003549C9"/>
    <w:rsid w:val="00356539"/>
    <w:rsid w:val="00356C57"/>
    <w:rsid w:val="00357380"/>
    <w:rsid w:val="003602D9"/>
    <w:rsid w:val="003604CE"/>
    <w:rsid w:val="00370E47"/>
    <w:rsid w:val="003742AC"/>
    <w:rsid w:val="003767C1"/>
    <w:rsid w:val="00377CE1"/>
    <w:rsid w:val="0038295D"/>
    <w:rsid w:val="00385BF0"/>
    <w:rsid w:val="003863A4"/>
    <w:rsid w:val="00390989"/>
    <w:rsid w:val="003939FF"/>
    <w:rsid w:val="00395F0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1DDE"/>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1644"/>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8684D"/>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4D06"/>
    <w:rsid w:val="00572505"/>
    <w:rsid w:val="0057629F"/>
    <w:rsid w:val="00582809"/>
    <w:rsid w:val="00585747"/>
    <w:rsid w:val="0058798C"/>
    <w:rsid w:val="005900FA"/>
    <w:rsid w:val="005906E8"/>
    <w:rsid w:val="005920B9"/>
    <w:rsid w:val="005935A4"/>
    <w:rsid w:val="005948C2"/>
    <w:rsid w:val="00595DCA"/>
    <w:rsid w:val="0059779B"/>
    <w:rsid w:val="005A209A"/>
    <w:rsid w:val="005A662D"/>
    <w:rsid w:val="005B1409"/>
    <w:rsid w:val="005B3014"/>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170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3EF1"/>
    <w:rsid w:val="00684674"/>
    <w:rsid w:val="00695FC2"/>
    <w:rsid w:val="00696949"/>
    <w:rsid w:val="00697052"/>
    <w:rsid w:val="006A46FB"/>
    <w:rsid w:val="006A5E28"/>
    <w:rsid w:val="006A697B"/>
    <w:rsid w:val="006A7AFF"/>
    <w:rsid w:val="006B1204"/>
    <w:rsid w:val="006B1816"/>
    <w:rsid w:val="006B2099"/>
    <w:rsid w:val="006B50CF"/>
    <w:rsid w:val="006B7C16"/>
    <w:rsid w:val="006C03B8"/>
    <w:rsid w:val="006C0F36"/>
    <w:rsid w:val="006C3E5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B5627"/>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E75CA"/>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9F"/>
    <w:rsid w:val="008A44B8"/>
    <w:rsid w:val="008A51A8"/>
    <w:rsid w:val="008A54C7"/>
    <w:rsid w:val="008A6AA5"/>
    <w:rsid w:val="008A77D8"/>
    <w:rsid w:val="008B0483"/>
    <w:rsid w:val="008B120C"/>
    <w:rsid w:val="008B2163"/>
    <w:rsid w:val="008B51A0"/>
    <w:rsid w:val="008B592A"/>
    <w:rsid w:val="008B635D"/>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0BAE"/>
    <w:rsid w:val="008F1C4E"/>
    <w:rsid w:val="008F1EAB"/>
    <w:rsid w:val="008F33DC"/>
    <w:rsid w:val="008F477F"/>
    <w:rsid w:val="008F555F"/>
    <w:rsid w:val="009003EA"/>
    <w:rsid w:val="00902350"/>
    <w:rsid w:val="0090336B"/>
    <w:rsid w:val="009053AA"/>
    <w:rsid w:val="00906939"/>
    <w:rsid w:val="009074C8"/>
    <w:rsid w:val="00910057"/>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2E2"/>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5401"/>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37DEE"/>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506"/>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4D77"/>
    <w:rsid w:val="00B664C7"/>
    <w:rsid w:val="00B67801"/>
    <w:rsid w:val="00B70B5D"/>
    <w:rsid w:val="00B72EE4"/>
    <w:rsid w:val="00B739F6"/>
    <w:rsid w:val="00B75766"/>
    <w:rsid w:val="00B81A6C"/>
    <w:rsid w:val="00B85DE5"/>
    <w:rsid w:val="00B90F73"/>
    <w:rsid w:val="00B921C0"/>
    <w:rsid w:val="00B93B59"/>
    <w:rsid w:val="00B9406A"/>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052D"/>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3BCE"/>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9722A"/>
    <w:rsid w:val="00EA57B1"/>
    <w:rsid w:val="00EA7A41"/>
    <w:rsid w:val="00EB077B"/>
    <w:rsid w:val="00EB4EA2"/>
    <w:rsid w:val="00EC24D5"/>
    <w:rsid w:val="00EC27C6"/>
    <w:rsid w:val="00EC4207"/>
    <w:rsid w:val="00EC5653"/>
    <w:rsid w:val="00EC56AD"/>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6985"/>
    <w:rsid w:val="00F974C2"/>
    <w:rsid w:val="00F97838"/>
    <w:rsid w:val="00FA2BB3"/>
    <w:rsid w:val="00FA7866"/>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6BCDD1A9-4ADA-4229-B494-1782315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6608">
      <w:bodyDiv w:val="1"/>
      <w:marLeft w:val="0"/>
      <w:marRight w:val="0"/>
      <w:marTop w:val="0"/>
      <w:marBottom w:val="0"/>
      <w:divBdr>
        <w:top w:val="none" w:sz="0" w:space="0" w:color="auto"/>
        <w:left w:val="none" w:sz="0" w:space="0" w:color="auto"/>
        <w:bottom w:val="none" w:sz="0" w:space="0" w:color="auto"/>
        <w:right w:val="none" w:sz="0" w:space="0" w:color="auto"/>
      </w:divBdr>
    </w:div>
    <w:div w:id="4563340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6095683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69316-5634-421F-A235-F2B27138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3</Pages>
  <Words>1265</Words>
  <Characters>6114</Characters>
  <Application>Microsoft Office Word</Application>
  <DocSecurity>0</DocSecurity>
  <Lines>179</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7254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Li, Yingyang</cp:lastModifiedBy>
  <cp:revision>2</cp:revision>
  <cp:lastPrinted>2008-01-31T07:09:00Z</cp:lastPrinted>
  <dcterms:created xsi:type="dcterms:W3CDTF">2020-05-27T08:52:00Z</dcterms:created>
  <dcterms:modified xsi:type="dcterms:W3CDTF">2020-05-27T08:52:00Z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