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2372D8" w14:textId="0E474BED" w:rsidR="00810D90" w:rsidRPr="0056520D" w:rsidRDefault="00810D90" w:rsidP="00810D90">
      <w:pPr>
        <w:pStyle w:val="Header"/>
        <w:rPr>
          <w:lang w:val="de-DE"/>
        </w:rPr>
      </w:pPr>
      <w:bookmarkStart w:id="0" w:name="_GoBack"/>
      <w:bookmarkEnd w:id="0"/>
      <w:r w:rsidRPr="0056520D">
        <w:rPr>
          <w:lang w:val="de-DE"/>
        </w:rPr>
        <w:t>3GPP TSG-RAN WG1</w:t>
      </w:r>
      <w:r>
        <w:rPr>
          <w:lang w:val="de-DE"/>
        </w:rPr>
        <w:t xml:space="preserve"> #</w:t>
      </w:r>
      <w:r w:rsidR="00C20AB6">
        <w:rPr>
          <w:lang w:val="de-DE"/>
        </w:rPr>
        <w:t>101</w:t>
      </w:r>
      <w:r w:rsidR="00EE6370">
        <w:rPr>
          <w:lang w:val="de-DE"/>
        </w:rPr>
        <w:t>-e</w:t>
      </w:r>
      <w:r w:rsidRPr="0056520D">
        <w:rPr>
          <w:lang w:val="de-DE"/>
        </w:rPr>
        <w:tab/>
      </w:r>
      <w:r>
        <w:rPr>
          <w:lang w:val="de-DE"/>
        </w:rPr>
        <w:tab/>
        <w:t>R1-</w:t>
      </w:r>
      <w:r w:rsidR="00EE6370">
        <w:rPr>
          <w:lang w:val="de-DE"/>
        </w:rPr>
        <w:t>20</w:t>
      </w:r>
      <w:r w:rsidR="00EE3191">
        <w:rPr>
          <w:lang w:val="de-DE"/>
        </w:rPr>
        <w:t>04362</w:t>
      </w:r>
    </w:p>
    <w:p w14:paraId="234286F7" w14:textId="4182C5AD" w:rsidR="00EE6370" w:rsidRDefault="00EE6370" w:rsidP="00EE6370">
      <w:pPr>
        <w:pStyle w:val="Header"/>
        <w:rPr>
          <w:lang w:val="de-DE"/>
        </w:rPr>
      </w:pPr>
      <w:r w:rsidRPr="00651E5A">
        <w:rPr>
          <w:lang w:val="de-DE"/>
        </w:rPr>
        <w:t xml:space="preserve">e-Meeting, </w:t>
      </w:r>
      <w:r w:rsidR="00C20AB6">
        <w:rPr>
          <w:lang w:val="de-DE"/>
        </w:rPr>
        <w:t>May 25-June 5</w:t>
      </w:r>
      <w:r w:rsidRPr="00651E5A">
        <w:rPr>
          <w:lang w:val="de-DE"/>
        </w:rPr>
        <w:t>, 2020</w:t>
      </w:r>
    </w:p>
    <w:p w14:paraId="6B08EE15" w14:textId="77777777" w:rsidR="00B6502F" w:rsidRPr="000833FA" w:rsidRDefault="00B6502F" w:rsidP="00B6502F">
      <w:pPr>
        <w:pStyle w:val="Header"/>
      </w:pPr>
    </w:p>
    <w:p w14:paraId="50A280DB" w14:textId="77777777" w:rsidR="00B6502F" w:rsidRPr="0003368D" w:rsidRDefault="00B6502F" w:rsidP="00B6502F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05363AB0" w14:textId="46B568ED" w:rsidR="00B6502F" w:rsidRPr="00E220C0" w:rsidRDefault="00B6502F" w:rsidP="00B6502F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2B157A" w:rsidRPr="002B157A">
        <w:t>Remaining issues for single Tx UL enhancements</w:t>
      </w:r>
    </w:p>
    <w:p w14:paraId="0C761F59" w14:textId="62EE1EF6" w:rsidR="00B6502F" w:rsidRPr="00E220C0" w:rsidRDefault="00B6502F" w:rsidP="00B6502F">
      <w:pPr>
        <w:pStyle w:val="Header"/>
        <w:tabs>
          <w:tab w:val="left" w:pos="1800"/>
        </w:tabs>
      </w:pPr>
      <w:r w:rsidRPr="00E220C0">
        <w:t>Agenda Item:</w:t>
      </w:r>
      <w:bookmarkStart w:id="2" w:name="Source"/>
      <w:bookmarkEnd w:id="2"/>
      <w:r w:rsidRPr="00E220C0">
        <w:tab/>
      </w:r>
      <w:r>
        <w:t>7.2.1</w:t>
      </w:r>
      <w:r w:rsidR="00EE6370">
        <w:t>0</w:t>
      </w:r>
      <w:r>
        <w:t>.2</w:t>
      </w:r>
    </w:p>
    <w:p w14:paraId="2A9D4FA8" w14:textId="77777777" w:rsidR="00B6502F" w:rsidRPr="0003368D" w:rsidRDefault="00B6502F" w:rsidP="00B6502F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14:paraId="7005ADF4" w14:textId="77777777" w:rsidR="00B6502F" w:rsidRPr="002100D2" w:rsidRDefault="00B6502F" w:rsidP="00B6502F">
      <w:pPr>
        <w:pBdr>
          <w:bottom w:val="single" w:sz="4" w:space="1" w:color="auto"/>
        </w:pBdr>
        <w:tabs>
          <w:tab w:val="left" w:pos="2552"/>
        </w:tabs>
      </w:pPr>
    </w:p>
    <w:p w14:paraId="24EF6640" w14:textId="77777777" w:rsidR="00B6502F" w:rsidRDefault="00B6502F" w:rsidP="00B6502F">
      <w:pPr>
        <w:pStyle w:val="Heading1"/>
        <w:spacing w:before="180"/>
        <w:ind w:left="562" w:hanging="562"/>
      </w:pPr>
      <w:r>
        <w:t>Introduction</w:t>
      </w:r>
    </w:p>
    <w:p w14:paraId="7E2346EA" w14:textId="764D4EFA" w:rsidR="00677AD4" w:rsidRDefault="005C4A3A" w:rsidP="00B6502F">
      <w:pPr>
        <w:pStyle w:val="BodyText"/>
        <w:rPr>
          <w:lang w:val="en-AU"/>
        </w:rPr>
      </w:pPr>
      <w:bookmarkStart w:id="4" w:name="_Ref178064866"/>
      <w:r>
        <w:rPr>
          <w:lang w:val="en-AU"/>
        </w:rPr>
        <w:t xml:space="preserve">In this document we discuss remaining </w:t>
      </w:r>
      <w:r w:rsidR="00EE6370">
        <w:rPr>
          <w:lang w:val="en-AU"/>
        </w:rPr>
        <w:t>issues related specification of</w:t>
      </w:r>
      <w:r>
        <w:rPr>
          <w:lang w:val="en-AU"/>
        </w:rPr>
        <w:t xml:space="preserve"> single-</w:t>
      </w:r>
      <w:proofErr w:type="spellStart"/>
      <w:r>
        <w:rPr>
          <w:lang w:val="en-AU"/>
        </w:rPr>
        <w:t>tx</w:t>
      </w:r>
      <w:proofErr w:type="spellEnd"/>
      <w:r>
        <w:rPr>
          <w:lang w:val="en-AU"/>
        </w:rPr>
        <w:t xml:space="preserve"> operation for EN-DC</w:t>
      </w:r>
      <w:r w:rsidR="00EE6370">
        <w:rPr>
          <w:lang w:val="en-AU"/>
        </w:rPr>
        <w:t xml:space="preserve"> and propose some corrections to TS 38.213.</w:t>
      </w:r>
    </w:p>
    <w:bookmarkEnd w:id="4"/>
    <w:p w14:paraId="736D7E18" w14:textId="76FEC04E" w:rsidR="00E12A82" w:rsidRPr="00E12A82" w:rsidRDefault="00B6502F" w:rsidP="00765A99">
      <w:pPr>
        <w:pStyle w:val="Heading1"/>
      </w:pPr>
      <w:r>
        <w:t>Discussion</w:t>
      </w:r>
      <w:r w:rsidR="00EE3191">
        <w:t xml:space="preserve"> and Proposal</w:t>
      </w:r>
    </w:p>
    <w:p w14:paraId="4DCE0248" w14:textId="25FBFCFE" w:rsidR="00F03758" w:rsidRDefault="00432BC1" w:rsidP="002B7FD4">
      <w:pPr>
        <w:jc w:val="both"/>
      </w:pPr>
      <w:r>
        <w:t>In RAN1#</w:t>
      </w:r>
      <w:r w:rsidR="00D7368E">
        <w:t xml:space="preserve">100bis-e </w:t>
      </w:r>
      <w:r w:rsidR="00F03758">
        <w:t xml:space="preserve">following was </w:t>
      </w:r>
      <w:r w:rsidR="00D7368E">
        <w:t xml:space="preserve">agreed </w:t>
      </w:r>
    </w:p>
    <w:p w14:paraId="4BBDF70B" w14:textId="37AE4048" w:rsidR="00F03758" w:rsidRDefault="00F03758" w:rsidP="002B7FD4">
      <w:pPr>
        <w:jc w:val="both"/>
      </w:pPr>
    </w:p>
    <w:p w14:paraId="52FDBB7F" w14:textId="6EA29773" w:rsidR="00F03758" w:rsidRPr="002C4A5F" w:rsidRDefault="00F03758" w:rsidP="00F03758">
      <w:pPr>
        <w:pStyle w:val="BodyText"/>
        <w:rPr>
          <w:rFonts w:eastAsia="MS PGothic"/>
          <w:color w:val="4472C4" w:themeColor="accent1"/>
          <w:szCs w:val="20"/>
          <w:lang w:eastAsia="zh-CN"/>
        </w:rPr>
      </w:pPr>
      <w:r w:rsidRPr="002C4A5F">
        <w:rPr>
          <w:rFonts w:eastAsia="MS PGothic"/>
          <w:color w:val="4472C4" w:themeColor="accent1"/>
          <w:szCs w:val="20"/>
          <w:lang w:eastAsia="zh-CN"/>
        </w:rPr>
        <w:t xml:space="preserve">Excerpt from </w:t>
      </w:r>
      <w:r>
        <w:rPr>
          <w:rFonts w:eastAsia="MS PGothic"/>
          <w:color w:val="4472C4" w:themeColor="accent1"/>
          <w:szCs w:val="20"/>
          <w:lang w:eastAsia="zh-CN"/>
        </w:rPr>
        <w:t>RAN1 LS to RAN2 [1]</w:t>
      </w:r>
    </w:p>
    <w:p w14:paraId="2E1096DF" w14:textId="65582590" w:rsidR="00F03758" w:rsidRDefault="00F03758" w:rsidP="002B7FD4">
      <w:pPr>
        <w:jc w:val="both"/>
      </w:pPr>
      <w:r>
        <w:rPr>
          <w:noProof/>
        </w:rPr>
        <w:drawing>
          <wp:inline distT="0" distB="0" distL="0" distR="0" wp14:anchorId="01A5F915" wp14:editId="70402784">
            <wp:extent cx="5760720" cy="344170"/>
            <wp:effectExtent l="0" t="0" r="0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4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33EE3B" w14:textId="77777777" w:rsidR="00F03758" w:rsidRDefault="00F03758" w:rsidP="002B7FD4">
      <w:pPr>
        <w:jc w:val="both"/>
      </w:pPr>
    </w:p>
    <w:p w14:paraId="40CE7888" w14:textId="15A7D962" w:rsidR="00D7368E" w:rsidRDefault="00D7368E" w:rsidP="002B7FD4">
      <w:pPr>
        <w:jc w:val="both"/>
      </w:pPr>
      <w:r>
        <w:t>Given th</w:t>
      </w:r>
      <w:r w:rsidR="00F03758">
        <w:t>e above agreement</w:t>
      </w:r>
      <w:r>
        <w:t xml:space="preserve">, UE behavior associated with </w:t>
      </w:r>
      <w:r w:rsidRPr="00D7368E">
        <w:rPr>
          <w:i/>
          <w:iCs/>
        </w:rPr>
        <w:t>tdm-PatternConfig-r16</w:t>
      </w:r>
      <w:r w:rsidRPr="00D7368E">
        <w:t xml:space="preserve"> </w:t>
      </w:r>
      <w:r>
        <w:t>(which can only be configured for Rel16 or later) is not applicable for “Type 2 UEs” (i.e., UEs not supporting dynamic power sharing</w:t>
      </w:r>
      <w:r w:rsidR="00C20AB6">
        <w:t>).</w:t>
      </w:r>
    </w:p>
    <w:p w14:paraId="3F3FB6CF" w14:textId="4A90B35F" w:rsidR="00D7368E" w:rsidRDefault="00D7368E" w:rsidP="002B7FD4">
      <w:pPr>
        <w:jc w:val="both"/>
      </w:pPr>
    </w:p>
    <w:p w14:paraId="2C3E26A5" w14:textId="76F5BFE6" w:rsidR="00D7368E" w:rsidRDefault="00D7368E" w:rsidP="002B7FD4">
      <w:pPr>
        <w:jc w:val="both"/>
        <w:rPr>
          <w:b/>
          <w:bCs/>
          <w:u w:val="single"/>
          <w:lang w:val="en-AU"/>
        </w:rPr>
      </w:pPr>
      <w:r>
        <w:rPr>
          <w:b/>
          <w:bCs/>
          <w:u w:val="single"/>
          <w:lang w:val="en-AU"/>
        </w:rPr>
        <w:t>Observation 1</w:t>
      </w:r>
    </w:p>
    <w:p w14:paraId="4CCFE266" w14:textId="45D4028F" w:rsidR="00D7368E" w:rsidRDefault="00D7368E" w:rsidP="00D7368E">
      <w:pPr>
        <w:pStyle w:val="ListParagraph"/>
        <w:numPr>
          <w:ilvl w:val="0"/>
          <w:numId w:val="20"/>
        </w:numPr>
        <w:jc w:val="both"/>
      </w:pPr>
      <w:r>
        <w:t xml:space="preserve">UE behavior associated with </w:t>
      </w:r>
      <w:r w:rsidRPr="00D7368E">
        <w:rPr>
          <w:i/>
          <w:iCs/>
        </w:rPr>
        <w:t>tdm-PatternConfig-r16</w:t>
      </w:r>
      <w:r w:rsidRPr="00D7368E">
        <w:t xml:space="preserve"> </w:t>
      </w:r>
      <w:r>
        <w:t xml:space="preserve">is not applicable for </w:t>
      </w:r>
      <w:r w:rsidR="0021755E">
        <w:t xml:space="preserve">UEs not supporting dynamic power sharing (i.e., </w:t>
      </w:r>
      <w:r>
        <w:t>“Type 2 UEs</w:t>
      </w:r>
      <w:r w:rsidR="00F03758">
        <w:t>”</w:t>
      </w:r>
      <w:r w:rsidR="0021755E">
        <w:t>)</w:t>
      </w:r>
      <w:r>
        <w:t xml:space="preserve"> </w:t>
      </w:r>
      <w:r w:rsidR="00F03758">
        <w:t xml:space="preserve">due to </w:t>
      </w:r>
      <w:r>
        <w:t>RAN1#100bis-e agreement</w:t>
      </w:r>
      <w:r w:rsidR="00F03758">
        <w:t>s</w:t>
      </w:r>
      <w:r>
        <w:t>.</w:t>
      </w:r>
    </w:p>
    <w:p w14:paraId="10A04D0E" w14:textId="77777777" w:rsidR="00D7368E" w:rsidRDefault="00D7368E" w:rsidP="00D7368E">
      <w:pPr>
        <w:pStyle w:val="ListParagraph"/>
        <w:jc w:val="both"/>
      </w:pPr>
    </w:p>
    <w:p w14:paraId="782DEED9" w14:textId="64E35E73" w:rsidR="00F03758" w:rsidRDefault="00F03758" w:rsidP="00F03758">
      <w:pPr>
        <w:jc w:val="both"/>
      </w:pPr>
      <w:r>
        <w:t>From RAN1 spec perspective, at least the part shown in TP1 below is not clear considering the above agreement and should be clarified as shown in the TP.</w:t>
      </w:r>
    </w:p>
    <w:p w14:paraId="16E2B5B9" w14:textId="77777777" w:rsidR="00F03758" w:rsidRDefault="00F03758" w:rsidP="00D7368E">
      <w:pPr>
        <w:pStyle w:val="BodyText"/>
        <w:rPr>
          <w:b/>
          <w:bCs/>
          <w:u w:val="single"/>
          <w:lang w:val="en-AU"/>
        </w:rPr>
      </w:pPr>
    </w:p>
    <w:p w14:paraId="3E6CE46D" w14:textId="739E31A0" w:rsidR="00D7368E" w:rsidRPr="00767D38" w:rsidRDefault="00D7368E" w:rsidP="00D7368E">
      <w:pPr>
        <w:pStyle w:val="BodyText"/>
      </w:pPr>
      <w:r>
        <w:rPr>
          <w:b/>
          <w:bCs/>
          <w:u w:val="single"/>
          <w:lang w:val="en-AU"/>
        </w:rPr>
        <w:t>Proposal 1:</w:t>
      </w:r>
      <w:r w:rsidRPr="0029642C">
        <w:rPr>
          <w:b/>
          <w:bCs/>
          <w:lang w:val="en-AU"/>
        </w:rPr>
        <w:t xml:space="preserve"> </w:t>
      </w:r>
      <w:r>
        <w:rPr>
          <w:lang w:val="en-AU"/>
        </w:rPr>
        <w:t xml:space="preserve">Agree to </w:t>
      </w:r>
      <w:r w:rsidR="00F03758">
        <w:rPr>
          <w:lang w:val="en-AU"/>
        </w:rPr>
        <w:t>TP1 below</w:t>
      </w:r>
    </w:p>
    <w:p w14:paraId="761B013B" w14:textId="523E3D85" w:rsidR="00D7368E" w:rsidRPr="008771E9" w:rsidRDefault="00D7368E" w:rsidP="00D7368E">
      <w:pPr>
        <w:spacing w:before="120" w:line="280" w:lineRule="atLeast"/>
        <w:jc w:val="both"/>
        <w:rPr>
          <w:rFonts w:ascii="SimSun" w:eastAsia="SimSun" w:hAnsi="SimSun"/>
        </w:rPr>
      </w:pPr>
      <w:r w:rsidRPr="008771E9">
        <w:rPr>
          <w:rFonts w:ascii="v4.2.0" w:eastAsia="SimSun" w:hAnsi="v4.2.0"/>
          <w:szCs w:val="20"/>
        </w:rPr>
        <w:t>---------------------------- start TP</w:t>
      </w:r>
      <w:r w:rsidR="00F03758">
        <w:rPr>
          <w:rFonts w:ascii="v4.2.0" w:eastAsia="SimSun" w:hAnsi="v4.2.0"/>
          <w:szCs w:val="20"/>
        </w:rPr>
        <w:t>1</w:t>
      </w:r>
      <w:r w:rsidRPr="008771E9">
        <w:rPr>
          <w:rFonts w:ascii="v4.2.0" w:eastAsia="SimSun" w:hAnsi="v4.2.0"/>
          <w:szCs w:val="20"/>
        </w:rPr>
        <w:t xml:space="preserve"> to sub clause 7.6.1 of 38.213v16.</w:t>
      </w:r>
      <w:r w:rsidR="00EE3191">
        <w:rPr>
          <w:rFonts w:ascii="v4.2.0" w:eastAsia="SimSun" w:hAnsi="v4.2.0"/>
          <w:szCs w:val="20"/>
        </w:rPr>
        <w:t>1</w:t>
      </w:r>
      <w:r w:rsidRPr="008771E9">
        <w:rPr>
          <w:rFonts w:ascii="v4.2.0" w:eastAsia="SimSun" w:hAnsi="v4.2.0"/>
          <w:szCs w:val="20"/>
        </w:rPr>
        <w:t>.0 --------------------------------------</w:t>
      </w:r>
    </w:p>
    <w:p w14:paraId="0C3D9F70" w14:textId="331A3161" w:rsidR="00843AB9" w:rsidRDefault="00843AB9" w:rsidP="00843AB9">
      <w:pPr>
        <w:jc w:val="both"/>
      </w:pPr>
    </w:p>
    <w:p w14:paraId="7BD6AD06" w14:textId="0AE99E93" w:rsidR="00F03758" w:rsidRDefault="00F03758" w:rsidP="00F03758">
      <w:pPr>
        <w:rPr>
          <w:rFonts w:ascii="Arial" w:hAnsi="Arial" w:cs="Arial"/>
          <w:sz w:val="28"/>
          <w:szCs w:val="36"/>
        </w:rPr>
      </w:pPr>
      <w:r w:rsidRPr="00F03758">
        <w:rPr>
          <w:rFonts w:ascii="Arial" w:hAnsi="Arial" w:cs="Arial"/>
          <w:sz w:val="28"/>
          <w:szCs w:val="36"/>
        </w:rPr>
        <w:t>7.6.1</w:t>
      </w:r>
      <w:r>
        <w:rPr>
          <w:rFonts w:ascii="Arial" w:hAnsi="Arial" w:cs="Arial"/>
          <w:sz w:val="28"/>
          <w:szCs w:val="36"/>
        </w:rPr>
        <w:tab/>
      </w:r>
      <w:r>
        <w:rPr>
          <w:rFonts w:ascii="Arial" w:hAnsi="Arial" w:cs="Arial"/>
          <w:sz w:val="28"/>
          <w:szCs w:val="36"/>
        </w:rPr>
        <w:tab/>
      </w:r>
      <w:r w:rsidRPr="00F03758">
        <w:rPr>
          <w:rFonts w:ascii="Arial" w:hAnsi="Arial" w:cs="Arial"/>
          <w:sz w:val="28"/>
          <w:szCs w:val="36"/>
        </w:rPr>
        <w:t>EN-DC</w:t>
      </w:r>
    </w:p>
    <w:p w14:paraId="3F752BD1" w14:textId="77777777" w:rsidR="00DE2BC9" w:rsidRPr="00F03758" w:rsidRDefault="00DE2BC9" w:rsidP="00F03758">
      <w:pPr>
        <w:rPr>
          <w:rFonts w:ascii="Arial" w:hAnsi="Arial" w:cs="Arial"/>
          <w:sz w:val="28"/>
          <w:szCs w:val="36"/>
        </w:rPr>
      </w:pPr>
    </w:p>
    <w:p w14:paraId="753D230D" w14:textId="343FB403" w:rsidR="00DE2BC9" w:rsidRDefault="00DE2BC9" w:rsidP="00DE2BC9">
      <w:pPr>
        <w:rPr>
          <w:lang w:eastAsia="ja-JP"/>
        </w:rPr>
      </w:pPr>
      <w:r w:rsidRPr="00B916EC">
        <w:t xml:space="preserve">If a UE is configured with </w:t>
      </w:r>
      <w:proofErr w:type="gramStart"/>
      <w:r w:rsidRPr="00B916EC">
        <w:t>a</w:t>
      </w:r>
      <w:proofErr w:type="gramEnd"/>
      <w:r w:rsidRPr="00B916EC">
        <w:t xml:space="preserve"> MCG using </w:t>
      </w:r>
      <w:r>
        <w:t>E-UTRA</w:t>
      </w:r>
      <w:r w:rsidRPr="00B916EC">
        <w:t xml:space="preserve"> radio access and with a SCG using </w:t>
      </w:r>
      <w:r w:rsidRPr="00B916EC">
        <w:rPr>
          <w:lang w:eastAsia="ja-JP"/>
        </w:rPr>
        <w:t xml:space="preserve">NR radio access, </w:t>
      </w:r>
      <w:r>
        <w:rPr>
          <w:lang w:eastAsia="ja-JP"/>
        </w:rPr>
        <w:t xml:space="preserve">the UE is configured a maximum power </w:t>
      </w:r>
      <w:r>
        <w:rPr>
          <w:noProof/>
          <w:position w:val="-10"/>
        </w:rPr>
        <w:drawing>
          <wp:inline distT="0" distB="0" distL="0" distR="0" wp14:anchorId="349A74A4" wp14:editId="5A66C927">
            <wp:extent cx="274320" cy="182880"/>
            <wp:effectExtent l="0" t="0" r="0" b="762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ja-JP"/>
        </w:rPr>
        <w:t xml:space="preserve"> for transmissions on the MCG by </w:t>
      </w:r>
      <w:r>
        <w:rPr>
          <w:i/>
          <w:lang w:eastAsia="ja-JP"/>
        </w:rPr>
        <w:t>p-</w:t>
      </w:r>
      <w:proofErr w:type="spellStart"/>
      <w:r>
        <w:rPr>
          <w:i/>
          <w:lang w:eastAsia="ja-JP"/>
        </w:rPr>
        <w:t>MaxEUTRA</w:t>
      </w:r>
      <w:proofErr w:type="spellEnd"/>
      <w:r>
        <w:rPr>
          <w:lang w:eastAsia="ja-JP"/>
        </w:rPr>
        <w:t xml:space="preserve"> and a maximum power </w:t>
      </w:r>
      <w:r>
        <w:rPr>
          <w:noProof/>
          <w:position w:val="-10"/>
        </w:rPr>
        <w:drawing>
          <wp:inline distT="0" distB="0" distL="0" distR="0" wp14:anchorId="24799132" wp14:editId="6AFB86C1">
            <wp:extent cx="274320" cy="182880"/>
            <wp:effectExtent l="0" t="0" r="0" b="762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lang w:eastAsia="ja-JP"/>
        </w:rPr>
        <w:t xml:space="preserve">for transmissions in FR1 on the SCG by </w:t>
      </w:r>
      <w:r>
        <w:rPr>
          <w:i/>
          <w:lang w:eastAsia="ja-JP"/>
        </w:rPr>
        <w:t>p-NR-FR1</w:t>
      </w:r>
      <w:r>
        <w:rPr>
          <w:lang w:eastAsia="ja-JP"/>
        </w:rPr>
        <w:t xml:space="preserve">. </w:t>
      </w:r>
    </w:p>
    <w:p w14:paraId="4576A880" w14:textId="0B350F6F" w:rsidR="00DE2BC9" w:rsidRDefault="00DE2BC9" w:rsidP="00DE2BC9">
      <w:pPr>
        <w:rPr>
          <w:lang w:eastAsia="ja-JP"/>
        </w:rPr>
      </w:pPr>
      <w:r>
        <w:rPr>
          <w:lang w:eastAsia="zh-CN"/>
        </w:rPr>
        <w:t>T</w:t>
      </w:r>
      <w:r>
        <w:t>he UE determin</w:t>
      </w:r>
      <w:r w:rsidRPr="001C7D27">
        <w:t xml:space="preserve">es </w:t>
      </w:r>
      <w:r>
        <w:t>a transmission power for the MCG as described in [13, TS 36.213]</w:t>
      </w:r>
      <w:r w:rsidRPr="001C7D27">
        <w:t xml:space="preserve"> </w:t>
      </w:r>
      <w:r>
        <w:t xml:space="preserve">using </w:t>
      </w:r>
      <w:r>
        <w:rPr>
          <w:noProof/>
          <w:position w:val="-10"/>
        </w:rPr>
        <w:drawing>
          <wp:inline distT="0" distB="0" distL="0" distR="0" wp14:anchorId="66C3E7EE" wp14:editId="091BD132">
            <wp:extent cx="274320" cy="182880"/>
            <wp:effectExtent l="0" t="0" r="0" b="762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as the maximum transmission power. The UE determines</w:t>
      </w:r>
      <w:r w:rsidRPr="001C7D27">
        <w:t xml:space="preserve"> </w:t>
      </w:r>
      <w:r>
        <w:t xml:space="preserve">transmission power for the SCG </w:t>
      </w:r>
      <w:r>
        <w:rPr>
          <w:lang w:eastAsia="ja-JP"/>
        </w:rPr>
        <w:t>in FR1</w:t>
      </w:r>
      <w:r>
        <w:t xml:space="preserve"> as described</w:t>
      </w:r>
      <w:r w:rsidRPr="001C7D27">
        <w:t xml:space="preserve"> </w:t>
      </w:r>
      <w:r>
        <w:t>Clause</w:t>
      </w:r>
      <w:r w:rsidRPr="001C7D27">
        <w:t>s</w:t>
      </w:r>
      <w:r>
        <w:t xml:space="preserve"> 7.1</w:t>
      </w:r>
      <w:r w:rsidRPr="001C7D27">
        <w:t xml:space="preserve"> throu</w:t>
      </w:r>
      <w:r>
        <w:t xml:space="preserve">gh 7.5 using </w:t>
      </w:r>
      <w:r>
        <w:rPr>
          <w:noProof/>
          <w:position w:val="-10"/>
        </w:rPr>
        <w:drawing>
          <wp:inline distT="0" distB="0" distL="0" distR="0" wp14:anchorId="04A57B38" wp14:editId="6DE11A74">
            <wp:extent cx="274320" cy="182880"/>
            <wp:effectExtent l="0" t="0" r="0" b="762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as the maximum transmission </w:t>
      </w:r>
      <w:r w:rsidRPr="00186758">
        <w:t>power.</w:t>
      </w:r>
      <w:r>
        <w:t xml:space="preserve"> The UE determines</w:t>
      </w:r>
      <w:r w:rsidRPr="001C7D27">
        <w:t xml:space="preserve"> </w:t>
      </w:r>
      <w:r>
        <w:t xml:space="preserve">transmission power for the SCG in </w:t>
      </w:r>
      <w:r>
        <w:rPr>
          <w:lang w:eastAsia="ja-JP"/>
        </w:rPr>
        <w:t>FR</w:t>
      </w:r>
      <w:r>
        <w:t>2 as described</w:t>
      </w:r>
      <w:r w:rsidRPr="001C7D27">
        <w:t xml:space="preserve"> </w:t>
      </w:r>
      <w:r>
        <w:t>Clause</w:t>
      </w:r>
      <w:r w:rsidRPr="001C7D27">
        <w:t>s</w:t>
      </w:r>
      <w:r>
        <w:t xml:space="preserve"> 7.1</w:t>
      </w:r>
      <w:r w:rsidRPr="001C7D27">
        <w:t xml:space="preserve"> throu</w:t>
      </w:r>
      <w:r>
        <w:t>gh 7.5.</w:t>
      </w:r>
    </w:p>
    <w:p w14:paraId="742B1D39" w14:textId="77777777" w:rsidR="00DE2BC9" w:rsidRDefault="00DE2BC9" w:rsidP="00DE2BC9">
      <w:pPr>
        <w:rPr>
          <w:lang w:eastAsia="ja-JP"/>
        </w:rPr>
      </w:pPr>
      <w:r>
        <w:rPr>
          <w:lang w:eastAsia="ja-JP"/>
        </w:rPr>
        <w:t xml:space="preserve">A UE </w:t>
      </w:r>
      <w:r>
        <w:rPr>
          <w:lang w:eastAsia="x-none"/>
        </w:rPr>
        <w:t xml:space="preserve">does not expect to be configured </w:t>
      </w:r>
      <w:r w:rsidRPr="00B916EC">
        <w:t>for operation with shortened TTI and</w:t>
      </w:r>
      <w:r>
        <w:t>/or</w:t>
      </w:r>
      <w:r w:rsidRPr="00B916EC">
        <w:t xml:space="preserve"> processing </w:t>
      </w:r>
      <w:r>
        <w:t xml:space="preserve">time [13, TS 36.213] </w:t>
      </w:r>
      <w:r>
        <w:rPr>
          <w:lang w:eastAsia="x-none"/>
        </w:rPr>
        <w:t>on a cell that is included in an EN-DC configuration.</w:t>
      </w:r>
    </w:p>
    <w:p w14:paraId="350D1509" w14:textId="18DE690A" w:rsidR="00DE2BC9" w:rsidRDefault="00DE2BC9" w:rsidP="00DE2BC9">
      <w:pPr>
        <w:rPr>
          <w:lang w:eastAsia="ja-JP"/>
        </w:rPr>
      </w:pPr>
      <w:r>
        <w:rPr>
          <w:lang w:eastAsia="ja-JP"/>
        </w:rPr>
        <w:t xml:space="preserve">If a UE is configured with </w:t>
      </w:r>
      <w:r>
        <w:rPr>
          <w:noProof/>
          <w:position w:val="-10"/>
        </w:rPr>
        <w:drawing>
          <wp:inline distT="0" distB="0" distL="0" distR="0" wp14:anchorId="5B74BA15" wp14:editId="00961634">
            <wp:extent cx="1012825" cy="182880"/>
            <wp:effectExtent l="0" t="0" r="0" b="762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82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where </w:t>
      </w:r>
      <w:r>
        <w:rPr>
          <w:noProof/>
          <w:position w:val="-10"/>
        </w:rPr>
        <w:drawing>
          <wp:inline distT="0" distB="0" distL="0" distR="0" wp14:anchorId="28138DF3" wp14:editId="1A15169D">
            <wp:extent cx="274320" cy="182880"/>
            <wp:effectExtent l="0" t="0" r="0" b="762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is the linear value</w:t>
      </w:r>
      <w:r>
        <w:rPr>
          <w:lang w:eastAsia="ja-JP"/>
        </w:rPr>
        <w:t xml:space="preserve"> of </w:t>
      </w:r>
      <w:r>
        <w:rPr>
          <w:noProof/>
          <w:position w:val="-10"/>
        </w:rPr>
        <w:drawing>
          <wp:inline distT="0" distB="0" distL="0" distR="0" wp14:anchorId="11396059" wp14:editId="4A6C0684">
            <wp:extent cx="274320" cy="182880"/>
            <wp:effectExtent l="0" t="0" r="0" b="762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noProof/>
          <w:position w:val="-10"/>
        </w:rPr>
        <w:drawing>
          <wp:inline distT="0" distB="0" distL="0" distR="0" wp14:anchorId="6131EB3B" wp14:editId="63CC823B">
            <wp:extent cx="182880" cy="182880"/>
            <wp:effectExtent l="0" t="0" r="7620" b="762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is the linear value</w:t>
      </w:r>
      <w:r>
        <w:rPr>
          <w:lang w:eastAsia="ja-JP"/>
        </w:rPr>
        <w:t xml:space="preserve"> of </w:t>
      </w:r>
      <w:r>
        <w:rPr>
          <w:noProof/>
          <w:position w:val="-10"/>
        </w:rPr>
        <w:drawing>
          <wp:inline distT="0" distB="0" distL="0" distR="0" wp14:anchorId="531A196A" wp14:editId="635A266C">
            <wp:extent cx="182880" cy="182880"/>
            <wp:effectExtent l="0" t="0" r="7620" b="762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and</w:t>
      </w:r>
      <w:r>
        <w:rPr>
          <w:rFonts w:hint="eastAsia"/>
          <w:lang w:eastAsia="zh-CN"/>
        </w:rPr>
        <w:t xml:space="preserve"> </w:t>
      </w:r>
      <w:r>
        <w:rPr>
          <w:noProof/>
          <w:position w:val="-10"/>
        </w:rPr>
        <w:drawing>
          <wp:inline distT="0" distB="0" distL="0" distR="0" wp14:anchorId="2B4DCF53" wp14:editId="46D3A6D9">
            <wp:extent cx="358775" cy="182880"/>
            <wp:effectExtent l="0" t="0" r="3175" b="762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77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  <w:lang w:eastAsia="zh-CN"/>
        </w:rPr>
        <w:t xml:space="preserve">is the linear value of </w:t>
      </w:r>
      <w:r w:rsidRPr="002C7AFF">
        <w:rPr>
          <w:lang w:eastAsia="zh-CN"/>
        </w:rPr>
        <w:t>a</w:t>
      </w:r>
      <w:r>
        <w:rPr>
          <w:rFonts w:hint="eastAsia"/>
          <w:lang w:eastAsia="zh-CN"/>
        </w:rPr>
        <w:t xml:space="preserve"> </w:t>
      </w:r>
      <w:r>
        <w:t>c</w:t>
      </w:r>
      <w:r w:rsidRPr="00E458C1">
        <w:t xml:space="preserve">onfigured </w:t>
      </w:r>
      <w:r>
        <w:rPr>
          <w:rFonts w:hint="eastAsia"/>
          <w:lang w:eastAsia="zh-CN"/>
        </w:rPr>
        <w:t xml:space="preserve">maximum </w:t>
      </w:r>
      <w:r w:rsidRPr="002C7AFF">
        <w:rPr>
          <w:lang w:eastAsia="zh-CN"/>
        </w:rPr>
        <w:t>transmission</w:t>
      </w:r>
      <w:r w:rsidRPr="00E458C1">
        <w:t xml:space="preserve"> power </w:t>
      </w:r>
      <w:r w:rsidRPr="002C7AFF">
        <w:t xml:space="preserve">for EN-DC operation </w:t>
      </w:r>
      <w:r w:rsidRPr="00B916EC">
        <w:t xml:space="preserve">as </w:t>
      </w:r>
      <w:r w:rsidRPr="002C7AFF">
        <w:rPr>
          <w:iCs/>
        </w:rPr>
        <w:t xml:space="preserve">defined in </w:t>
      </w:r>
      <w:r>
        <w:t xml:space="preserve">[8-3, TS 38.101-3] for FR1, </w:t>
      </w:r>
      <w:r>
        <w:rPr>
          <w:lang w:eastAsia="ja-JP"/>
        </w:rPr>
        <w:t>the UE determines a transmission power for the SCG as follows.</w:t>
      </w:r>
    </w:p>
    <w:p w14:paraId="51ECC187" w14:textId="77777777" w:rsidR="00DE2BC9" w:rsidRPr="00B916EC" w:rsidRDefault="00DE2BC9" w:rsidP="00DE2BC9">
      <w:pPr>
        <w:pStyle w:val="B1"/>
        <w:rPr>
          <w:lang w:val="en-US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If the UE </w:t>
      </w:r>
      <w:r>
        <w:rPr>
          <w:lang w:val="en-US" w:eastAsia="ja-JP"/>
        </w:rPr>
        <w:t xml:space="preserve">is </w:t>
      </w:r>
      <w:r>
        <w:rPr>
          <w:rFonts w:hint="eastAsia"/>
          <w:lang w:eastAsia="zh-CN"/>
        </w:rPr>
        <w:t>configured</w:t>
      </w:r>
      <w:r w:rsidRPr="00B916EC">
        <w:t xml:space="preserve"> </w:t>
      </w:r>
      <w:r>
        <w:rPr>
          <w:rFonts w:hint="eastAsia"/>
          <w:lang w:eastAsia="zh-CN"/>
        </w:rPr>
        <w:t xml:space="preserve">with </w:t>
      </w:r>
      <w:r w:rsidRPr="00EB5B01">
        <w:t>reference TDD configuration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for E-UTRA (by </w:t>
      </w:r>
      <w:r w:rsidRPr="001930CB">
        <w:rPr>
          <w:i/>
          <w:iCs/>
          <w:lang w:eastAsia="zh-CN"/>
        </w:rPr>
        <w:t>tdm-PatternConfig-r15</w:t>
      </w:r>
      <w:r w:rsidRPr="00BE2EE9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or by </w:t>
      </w:r>
      <w:r w:rsidRPr="001930CB">
        <w:rPr>
          <w:i/>
          <w:iCs/>
          <w:lang w:eastAsia="zh-CN"/>
        </w:rPr>
        <w:t>tdm-PatternConfig</w:t>
      </w:r>
      <w:r w:rsidRPr="00180B8E">
        <w:rPr>
          <w:i/>
          <w:iCs/>
          <w:lang w:eastAsia="zh-CN"/>
        </w:rPr>
        <w:t>-r16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in </w:t>
      </w:r>
      <w:r>
        <w:rPr>
          <w:rFonts w:hint="eastAsia"/>
          <w:lang w:eastAsia="zh-CN"/>
        </w:rPr>
        <w:t>[13,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36.213]</w:t>
      </w:r>
      <w:r>
        <w:rPr>
          <w:lang w:val="en-US" w:eastAsia="zh-CN"/>
        </w:rPr>
        <w:t>)</w:t>
      </w:r>
    </w:p>
    <w:p w14:paraId="02C927EC" w14:textId="77777777" w:rsidR="00DE2BC9" w:rsidRDefault="00DE2BC9" w:rsidP="00DE2BC9">
      <w:pPr>
        <w:pStyle w:val="B2"/>
      </w:pPr>
      <w:r>
        <w:rPr>
          <w:lang w:val="en-US"/>
        </w:rPr>
        <w:t>-</w:t>
      </w:r>
      <w:r>
        <w:rPr>
          <w:lang w:val="en-US"/>
        </w:rPr>
        <w:tab/>
        <w:t xml:space="preserve">If the UE does </w:t>
      </w:r>
      <w:r>
        <w:rPr>
          <w:lang w:eastAsia="ja-JP"/>
        </w:rPr>
        <w:t>not indicate a capability for dynamic power sharing</w:t>
      </w:r>
      <w:r>
        <w:rPr>
          <w:lang w:val="en-US" w:eastAsia="ja-JP"/>
        </w:rPr>
        <w:t xml:space="preserve"> between E-UTRA and NR for EN-DC, </w:t>
      </w:r>
      <w:proofErr w:type="spellStart"/>
      <w:r>
        <w:rPr>
          <w:lang w:val="en-US"/>
        </w:rPr>
        <w:t>t</w:t>
      </w:r>
      <w:r w:rsidRPr="00B916EC">
        <w:t>he</w:t>
      </w:r>
      <w:proofErr w:type="spellEnd"/>
      <w:r w:rsidRPr="00B916EC">
        <w:t xml:space="preserve"> UE </w:t>
      </w:r>
      <w:r>
        <w:rPr>
          <w:lang w:val="en-US" w:eastAsia="zh-CN"/>
        </w:rPr>
        <w:t>does</w:t>
      </w:r>
      <w:r>
        <w:rPr>
          <w:rFonts w:hint="eastAsia"/>
          <w:lang w:eastAsia="zh-CN"/>
        </w:rPr>
        <w:t xml:space="preserve"> not transmit</w:t>
      </w:r>
      <w:r w:rsidRPr="00B916EC">
        <w:t xml:space="preserve"> in a slot </w:t>
      </w:r>
      <w:r>
        <w:t>on the SCG</w:t>
      </w:r>
      <w:r w:rsidRPr="003F6F6B">
        <w:rPr>
          <w:lang w:val="en-US"/>
        </w:rPr>
        <w:t xml:space="preserve"> </w:t>
      </w:r>
      <w:r>
        <w:rPr>
          <w:lang w:val="en-US"/>
        </w:rPr>
        <w:t>in FR1</w:t>
      </w:r>
      <w:r>
        <w:t xml:space="preserve"> </w:t>
      </w:r>
      <w:r>
        <w:rPr>
          <w:lang w:val="en-US"/>
        </w:rPr>
        <w:t>when</w:t>
      </w:r>
      <w:r w:rsidRPr="00B916EC">
        <w:t xml:space="preserve"> a corresponding subframe on the MCG </w:t>
      </w:r>
      <w:r>
        <w:rPr>
          <w:rFonts w:hint="eastAsia"/>
          <w:lang w:eastAsia="zh-CN"/>
        </w:rPr>
        <w:t>is an</w:t>
      </w:r>
      <w:r w:rsidRPr="00EB5B01">
        <w:t xml:space="preserve"> UL </w:t>
      </w:r>
      <w:r>
        <w:rPr>
          <w:rFonts w:hint="eastAsia"/>
          <w:lang w:eastAsia="zh-CN"/>
        </w:rPr>
        <w:t xml:space="preserve">subframe </w:t>
      </w:r>
      <w:r w:rsidRPr="00EB5B01">
        <w:t>in the reference TDD configuration</w:t>
      </w:r>
      <w:r w:rsidRPr="00B916EC">
        <w:t>.</w:t>
      </w:r>
    </w:p>
    <w:p w14:paraId="7A0D2DF8" w14:textId="77777777" w:rsidR="00DE2BC9" w:rsidRPr="00A312BF" w:rsidRDefault="00DE2BC9" w:rsidP="00DE2BC9">
      <w:pPr>
        <w:pStyle w:val="B2"/>
      </w:pPr>
      <w:r w:rsidRPr="00F325E8">
        <w:rPr>
          <w:lang w:val="en-US"/>
        </w:rPr>
        <w:lastRenderedPageBreak/>
        <w:t>-</w:t>
      </w:r>
      <w:r w:rsidRPr="00F325E8">
        <w:rPr>
          <w:lang w:val="en-US"/>
        </w:rPr>
        <w:tab/>
        <w:t xml:space="preserve">If </w:t>
      </w:r>
      <w:r w:rsidRPr="00F325E8">
        <w:t xml:space="preserve">the UE indicates a capability for dynamic power sharing between E-UTRA and NR for EN-DC, and does not indicate a capability </w:t>
      </w:r>
      <w:proofErr w:type="spellStart"/>
      <w:r w:rsidRPr="00F325E8">
        <w:rPr>
          <w:i/>
          <w:iCs/>
        </w:rPr>
        <w:t>tdm</w:t>
      </w:r>
      <w:proofErr w:type="spellEnd"/>
      <w:r w:rsidRPr="00F325E8">
        <w:rPr>
          <w:i/>
          <w:iCs/>
        </w:rPr>
        <w:t>-Pattern-</w:t>
      </w:r>
      <w:proofErr w:type="spellStart"/>
      <w:r w:rsidRPr="00F325E8">
        <w:rPr>
          <w:i/>
          <w:iCs/>
        </w:rPr>
        <w:t>dualTx</w:t>
      </w:r>
      <w:proofErr w:type="spellEnd"/>
      <w:r w:rsidRPr="00F325E8">
        <w:t xml:space="preserve"> in [16, TS 38.306], and is configured with </w:t>
      </w:r>
      <w:r w:rsidRPr="00F325E8">
        <w:rPr>
          <w:i/>
          <w:iCs/>
        </w:rPr>
        <w:t>tdm-PatternConfig-r16</w:t>
      </w:r>
      <w:r w:rsidRPr="00F325E8">
        <w:t>, the UE does not transmit on the SCG in FR1 when the UE has overlapped transmission on a subframe on the MCG.</w:t>
      </w:r>
    </w:p>
    <w:p w14:paraId="66A98DDC" w14:textId="77777777" w:rsidR="00DE2BC9" w:rsidRPr="00B916EC" w:rsidRDefault="00DE2BC9" w:rsidP="00DE2BC9">
      <w:pPr>
        <w:pStyle w:val="B1"/>
        <w:rPr>
          <w:lang w:val="en-US"/>
        </w:rPr>
      </w:pPr>
      <w:r>
        <w:rPr>
          <w:lang w:eastAsia="ja-JP"/>
        </w:rPr>
        <w:t>-</w:t>
      </w:r>
      <w:r>
        <w:rPr>
          <w:lang w:eastAsia="ja-JP"/>
        </w:rPr>
        <w:tab/>
        <w:t>If the UE indicate</w:t>
      </w:r>
      <w:r>
        <w:rPr>
          <w:lang w:val="en-US" w:eastAsia="ja-JP"/>
        </w:rPr>
        <w:t>s</w:t>
      </w:r>
      <w:r>
        <w:rPr>
          <w:lang w:eastAsia="ja-JP"/>
        </w:rPr>
        <w:t xml:space="preserve"> a capability for dynamic power sharing</w:t>
      </w:r>
      <w:r>
        <w:rPr>
          <w:lang w:val="en-US" w:eastAsia="ja-JP"/>
        </w:rPr>
        <w:t xml:space="preserve"> between E-UTRA and NR for EN-DC and</w:t>
      </w:r>
    </w:p>
    <w:p w14:paraId="11B43121" w14:textId="1D03E4B2" w:rsidR="00DE2BC9" w:rsidRDefault="00DE2BC9" w:rsidP="00DE2BC9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UE transmission(s) in subframe </w:t>
      </w:r>
      <w:r>
        <w:rPr>
          <w:noProof/>
          <w:position w:val="-10"/>
        </w:rPr>
        <w:drawing>
          <wp:inline distT="0" distB="0" distL="0" distR="0" wp14:anchorId="6317787E" wp14:editId="49535580">
            <wp:extent cx="98425" cy="182880"/>
            <wp:effectExtent l="0" t="0" r="0" b="762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of the MCG overlap in time with UE transmission(s) in slot </w:t>
      </w:r>
      <w:r>
        <w:rPr>
          <w:noProof/>
          <w:position w:val="-10"/>
        </w:rPr>
        <w:drawing>
          <wp:inline distT="0" distB="0" distL="0" distR="0" wp14:anchorId="167675B5" wp14:editId="16426B56">
            <wp:extent cx="98425" cy="182880"/>
            <wp:effectExtent l="0" t="0" r="0" b="762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of the SCG</w:t>
      </w:r>
      <w:r w:rsidRPr="003F6F6B">
        <w:rPr>
          <w:lang w:val="en-US"/>
        </w:rPr>
        <w:t xml:space="preserve"> </w:t>
      </w:r>
      <w:r>
        <w:rPr>
          <w:lang w:val="en-US"/>
        </w:rPr>
        <w:t>in FR1, and</w:t>
      </w:r>
    </w:p>
    <w:p w14:paraId="48CD6A4C" w14:textId="028756AB" w:rsidR="00DE2BC9" w:rsidRDefault="00DE2BC9" w:rsidP="00DE2BC9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r>
        <w:rPr>
          <w:noProof/>
          <w:position w:val="-10"/>
        </w:rPr>
        <w:drawing>
          <wp:inline distT="0" distB="0" distL="0" distR="0" wp14:anchorId="598E64DD" wp14:editId="6485F7FB">
            <wp:extent cx="1470025" cy="182880"/>
            <wp:effectExtent l="0" t="0" r="0" b="762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02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in any portion of </w:t>
      </w:r>
      <w:r>
        <w:rPr>
          <w:lang w:val="en-US" w:eastAsia="zh-CN"/>
        </w:rPr>
        <w:t xml:space="preserve">slot </w:t>
      </w:r>
      <w:r>
        <w:rPr>
          <w:noProof/>
          <w:position w:val="-10"/>
        </w:rPr>
        <w:drawing>
          <wp:inline distT="0" distB="0" distL="0" distR="0" wp14:anchorId="46C05065" wp14:editId="4AC63DD2">
            <wp:extent cx="98425" cy="182880"/>
            <wp:effectExtent l="0" t="0" r="0" b="762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of the SCG</w:t>
      </w:r>
      <w:r>
        <w:rPr>
          <w:rFonts w:hint="eastAsia"/>
          <w:lang w:eastAsia="zh-CN"/>
        </w:rPr>
        <w:t xml:space="preserve">, </w:t>
      </w:r>
    </w:p>
    <w:p w14:paraId="0B73BF01" w14:textId="0345A46E" w:rsidR="00DE2BC9" w:rsidRPr="008B493E" w:rsidRDefault="00DE2BC9" w:rsidP="00DE2BC9">
      <w:pPr>
        <w:pStyle w:val="B2"/>
        <w:rPr>
          <w:lang w:val="en-US"/>
        </w:rPr>
      </w:pPr>
      <w:r>
        <w:tab/>
      </w:r>
      <w:r w:rsidRPr="00B916EC">
        <w:t xml:space="preserve">the UE </w:t>
      </w:r>
      <w:r>
        <w:rPr>
          <w:lang w:eastAsia="zh-CN"/>
        </w:rPr>
        <w:t>reduces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transmission power</w:t>
      </w:r>
      <w:r w:rsidDel="001A0D35">
        <w:t xml:space="preserve"> </w:t>
      </w:r>
      <w:r>
        <w:rPr>
          <w:lang w:val="en-US" w:eastAsia="zh-CN"/>
        </w:rPr>
        <w:t xml:space="preserve">in any </w:t>
      </w:r>
      <w:r>
        <w:rPr>
          <w:lang w:val="en-US"/>
        </w:rPr>
        <w:t xml:space="preserve">portion of </w:t>
      </w:r>
      <w:r>
        <w:rPr>
          <w:lang w:val="en-US" w:eastAsia="zh-CN"/>
        </w:rPr>
        <w:t xml:space="preserve">slot </w:t>
      </w:r>
      <w:r>
        <w:rPr>
          <w:noProof/>
          <w:position w:val="-10"/>
        </w:rPr>
        <w:drawing>
          <wp:inline distT="0" distB="0" distL="0" distR="0" wp14:anchorId="5AD911ED" wp14:editId="2FEBC732">
            <wp:extent cx="98425" cy="182880"/>
            <wp:effectExtent l="0" t="0" r="0" b="762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>
        <w:rPr>
          <w:rFonts w:hint="eastAsia"/>
          <w:lang w:eastAsia="zh-CN"/>
        </w:rPr>
        <w:t>o</w:t>
      </w:r>
      <w:r>
        <w:rPr>
          <w:lang w:val="en-US" w:eastAsia="zh-CN"/>
        </w:rPr>
        <w:t>f</w:t>
      </w:r>
      <w:r>
        <w:rPr>
          <w:rFonts w:hint="eastAsia"/>
          <w:lang w:eastAsia="zh-CN"/>
        </w:rPr>
        <w:t xml:space="preserve"> the SCG so that </w:t>
      </w:r>
      <w:r>
        <w:rPr>
          <w:noProof/>
          <w:position w:val="-10"/>
        </w:rPr>
        <w:drawing>
          <wp:inline distT="0" distB="0" distL="0" distR="0" wp14:anchorId="549185C4" wp14:editId="1D25A39D">
            <wp:extent cx="1371600" cy="182880"/>
            <wp:effectExtent l="0" t="0" r="0" b="762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0D35">
        <w:rPr>
          <w:lang w:val="en-US"/>
        </w:rPr>
        <w:t xml:space="preserve"> </w:t>
      </w:r>
      <w:r>
        <w:rPr>
          <w:lang w:val="en-US"/>
        </w:rPr>
        <w:t xml:space="preserve">in any portion of </w:t>
      </w:r>
      <w:r>
        <w:rPr>
          <w:lang w:val="en-US" w:eastAsia="zh-CN"/>
        </w:rPr>
        <w:t xml:space="preserve">slot </w:t>
      </w:r>
      <w:r>
        <w:rPr>
          <w:noProof/>
          <w:position w:val="-10"/>
        </w:rPr>
        <w:drawing>
          <wp:inline distT="0" distB="0" distL="0" distR="0" wp14:anchorId="6DC593C8" wp14:editId="10E6B3D1">
            <wp:extent cx="98425" cy="182880"/>
            <wp:effectExtent l="0" t="0" r="0" b="762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>,</w:t>
      </w:r>
      <w:r>
        <w:rPr>
          <w:rFonts w:hint="eastAsia"/>
          <w:lang w:eastAsia="zh-CN"/>
        </w:rPr>
        <w:t xml:space="preserve"> where </w:t>
      </w:r>
      <w:r>
        <w:rPr>
          <w:noProof/>
          <w:position w:val="-10"/>
        </w:rPr>
        <w:drawing>
          <wp:inline distT="0" distB="0" distL="0" distR="0" wp14:anchorId="4FC348DB" wp14:editId="6820B222">
            <wp:extent cx="358775" cy="182880"/>
            <wp:effectExtent l="0" t="0" r="3175" b="762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77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</w:t>
      </w:r>
      <w:r>
        <w:t>and</w:t>
      </w:r>
      <w:r w:rsidRPr="00B916EC">
        <w:t xml:space="preserve"> </w:t>
      </w:r>
      <w:r>
        <w:rPr>
          <w:noProof/>
          <w:position w:val="-10"/>
        </w:rPr>
        <w:drawing>
          <wp:inline distT="0" distB="0" distL="0" distR="0" wp14:anchorId="11CED44D" wp14:editId="22AF2A84">
            <wp:extent cx="457200" cy="182880"/>
            <wp:effectExtent l="0" t="0" r="0" b="762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</w:t>
      </w:r>
      <w:r>
        <w:rPr>
          <w:lang w:val="en-US"/>
        </w:rPr>
        <w:t xml:space="preserve">are </w:t>
      </w:r>
      <w:r w:rsidRPr="00B916EC">
        <w:t xml:space="preserve">the linear values of the </w:t>
      </w:r>
      <w:r>
        <w:rPr>
          <w:lang w:val="en-US"/>
        </w:rPr>
        <w:t xml:space="preserve">total </w:t>
      </w:r>
      <w:r>
        <w:t>UE transmi</w:t>
      </w:r>
      <w:r>
        <w:rPr>
          <w:lang w:val="en-US"/>
        </w:rPr>
        <w:t>ssion</w:t>
      </w:r>
      <w:r w:rsidRPr="00B916EC">
        <w:t xml:space="preserve"> power</w:t>
      </w:r>
      <w:r>
        <w:rPr>
          <w:rFonts w:hint="eastAsia"/>
          <w:lang w:eastAsia="zh-CN"/>
        </w:rPr>
        <w:t>s</w:t>
      </w:r>
      <w:r>
        <w:t xml:space="preserve"> </w:t>
      </w:r>
      <w:r>
        <w:rPr>
          <w:lang w:val="en-US"/>
        </w:rPr>
        <w:t>in</w:t>
      </w:r>
      <w:r>
        <w:rPr>
          <w:rFonts w:hint="eastAsia"/>
          <w:lang w:eastAsia="zh-CN"/>
        </w:rPr>
        <w:t xml:space="preserve"> subframe </w:t>
      </w:r>
      <w:r>
        <w:rPr>
          <w:noProof/>
          <w:position w:val="-10"/>
        </w:rPr>
        <w:drawing>
          <wp:inline distT="0" distB="0" distL="0" distR="0" wp14:anchorId="46B3402D" wp14:editId="43520291">
            <wp:extent cx="98425" cy="182880"/>
            <wp:effectExtent l="0" t="0" r="0" b="762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of the MCG </w:t>
      </w:r>
      <w:r>
        <w:t xml:space="preserve">and </w:t>
      </w:r>
      <w:r>
        <w:rPr>
          <w:lang w:val="en-US"/>
        </w:rPr>
        <w:t>in</w:t>
      </w:r>
      <w:r>
        <w:rPr>
          <w:rFonts w:hint="eastAsia"/>
          <w:lang w:eastAsia="zh-CN"/>
        </w:rPr>
        <w:t xml:space="preserve"> slot </w:t>
      </w:r>
      <w:r>
        <w:rPr>
          <w:noProof/>
          <w:position w:val="-10"/>
        </w:rPr>
        <w:drawing>
          <wp:inline distT="0" distB="0" distL="0" distR="0" wp14:anchorId="65B1CCA5" wp14:editId="26DEC177">
            <wp:extent cx="98425" cy="182880"/>
            <wp:effectExtent l="0" t="0" r="0" b="762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of the SCG</w:t>
      </w:r>
      <w:r w:rsidRPr="003F6F6B">
        <w:rPr>
          <w:lang w:val="en-US"/>
        </w:rPr>
        <w:t xml:space="preserve"> </w:t>
      </w:r>
      <w:r>
        <w:rPr>
          <w:lang w:val="en-US"/>
        </w:rPr>
        <w:t>in FR1</w:t>
      </w:r>
      <w:r w:rsidRPr="00B916EC">
        <w:t>, respectively.</w:t>
      </w:r>
      <w:r>
        <w:rPr>
          <w:lang w:val="en-US"/>
        </w:rPr>
        <w:t xml:space="preserve"> </w:t>
      </w:r>
      <w:r w:rsidRPr="00163936">
        <w:rPr>
          <w:lang w:val="en-US"/>
        </w:rPr>
        <w:t xml:space="preserve">The UE is not required to transmit </w:t>
      </w:r>
      <w:r w:rsidRPr="00163936">
        <w:rPr>
          <w:lang w:val="en-US" w:eastAsia="zh-CN"/>
        </w:rPr>
        <w:t xml:space="preserve">in any </w:t>
      </w:r>
      <w:r w:rsidRPr="00163936">
        <w:rPr>
          <w:lang w:val="en-US"/>
        </w:rPr>
        <w:t xml:space="preserve">portion of </w:t>
      </w:r>
      <w:r w:rsidRPr="00163936">
        <w:rPr>
          <w:lang w:val="en-US" w:eastAsia="zh-CN"/>
        </w:rPr>
        <w:t xml:space="preserve">slot </w:t>
      </w:r>
      <w:r>
        <w:rPr>
          <w:noProof/>
          <w:position w:val="-10"/>
        </w:rPr>
        <w:drawing>
          <wp:inline distT="0" distB="0" distL="0" distR="0" wp14:anchorId="7104CF06" wp14:editId="06AA4A71">
            <wp:extent cx="98425" cy="182880"/>
            <wp:effectExtent l="0" t="0" r="0" b="762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3936">
        <w:rPr>
          <w:lang w:val="en-US"/>
        </w:rPr>
        <w:t xml:space="preserve"> of the SCG if </w:t>
      </w:r>
      <w:r>
        <w:rPr>
          <w:noProof/>
          <w:position w:val="-10"/>
        </w:rPr>
        <w:drawing>
          <wp:inline distT="0" distB="0" distL="0" distR="0" wp14:anchorId="60870766" wp14:editId="31476328">
            <wp:extent cx="457200" cy="182880"/>
            <wp:effectExtent l="0" t="0" r="0" b="762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3936">
        <w:rPr>
          <w:lang w:val="en-US"/>
        </w:rPr>
        <w:t xml:space="preserve"> would need to be reduced by more than the value provided by </w:t>
      </w:r>
      <w:r w:rsidRPr="00163936">
        <w:rPr>
          <w:i/>
          <w:lang w:val="en-US"/>
        </w:rPr>
        <w:t>X</w:t>
      </w:r>
      <w:r w:rsidRPr="00163936">
        <w:rPr>
          <w:i/>
          <w:vertAlign w:val="subscript"/>
          <w:lang w:val="en-US"/>
        </w:rPr>
        <w:t>SCALE</w:t>
      </w:r>
      <w:r w:rsidRPr="00163936">
        <w:rPr>
          <w:lang w:val="en-US"/>
        </w:rPr>
        <w:t xml:space="preserve"> in order for </w:t>
      </w:r>
      <w:r>
        <w:rPr>
          <w:noProof/>
          <w:position w:val="-10"/>
        </w:rPr>
        <w:drawing>
          <wp:inline distT="0" distB="0" distL="0" distR="0" wp14:anchorId="3733B563" wp14:editId="386B44B4">
            <wp:extent cx="1371600" cy="182880"/>
            <wp:effectExtent l="0" t="0" r="0" b="762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3936">
        <w:rPr>
          <w:lang w:val="en-US"/>
        </w:rPr>
        <w:t xml:space="preserve"> in any portion of slot </w:t>
      </w:r>
      <w:r>
        <w:rPr>
          <w:noProof/>
          <w:position w:val="-10"/>
        </w:rPr>
        <w:drawing>
          <wp:inline distT="0" distB="0" distL="0" distR="0" wp14:anchorId="55C26EEE" wp14:editId="1F07363D">
            <wp:extent cx="98425" cy="182880"/>
            <wp:effectExtent l="0" t="0" r="0" b="762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3936">
        <w:rPr>
          <w:rFonts w:hint="eastAsia"/>
          <w:lang w:eastAsia="zh-CN"/>
        </w:rPr>
        <w:t xml:space="preserve"> o</w:t>
      </w:r>
      <w:r w:rsidRPr="00163936">
        <w:rPr>
          <w:lang w:val="en-US" w:eastAsia="zh-CN"/>
        </w:rPr>
        <w:t>f</w:t>
      </w:r>
      <w:r w:rsidRPr="00163936">
        <w:rPr>
          <w:rFonts w:hint="eastAsia"/>
          <w:lang w:eastAsia="zh-CN"/>
        </w:rPr>
        <w:t xml:space="preserve"> the SCG</w:t>
      </w:r>
      <w:r w:rsidRPr="00163936">
        <w:rPr>
          <w:lang w:val="en-US"/>
        </w:rPr>
        <w:t xml:space="preserve">. The UE is required to transmit </w:t>
      </w:r>
      <w:r w:rsidRPr="00163936">
        <w:rPr>
          <w:lang w:val="en-US" w:eastAsia="zh-CN"/>
        </w:rPr>
        <w:t xml:space="preserve">in slot </w:t>
      </w:r>
      <w:r>
        <w:rPr>
          <w:noProof/>
          <w:position w:val="-10"/>
        </w:rPr>
        <w:drawing>
          <wp:inline distT="0" distB="0" distL="0" distR="0" wp14:anchorId="1F2683BE" wp14:editId="2AF0CD42">
            <wp:extent cx="98425" cy="182880"/>
            <wp:effectExtent l="0" t="0" r="0" b="762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3936">
        <w:rPr>
          <w:lang w:val="en-US"/>
        </w:rPr>
        <w:t xml:space="preserve"> of the SCG if </w:t>
      </w:r>
      <w:r>
        <w:rPr>
          <w:noProof/>
          <w:position w:val="-10"/>
        </w:rPr>
        <w:drawing>
          <wp:inline distT="0" distB="0" distL="0" distR="0" wp14:anchorId="2398DD5A" wp14:editId="122577AE">
            <wp:extent cx="358775" cy="182880"/>
            <wp:effectExtent l="0" t="0" r="3175" b="762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77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3936">
        <w:rPr>
          <w:lang w:val="en-US"/>
        </w:rPr>
        <w:t xml:space="preserve"> would not need to be reduced by more than the value provided by </w:t>
      </w:r>
      <w:r w:rsidRPr="00163936">
        <w:rPr>
          <w:i/>
          <w:lang w:val="en-US"/>
        </w:rPr>
        <w:t>X</w:t>
      </w:r>
      <w:r w:rsidRPr="00163936">
        <w:rPr>
          <w:i/>
          <w:vertAlign w:val="subscript"/>
          <w:lang w:val="en-US"/>
        </w:rPr>
        <w:t>SCALE</w:t>
      </w:r>
      <w:r w:rsidRPr="00163936">
        <w:rPr>
          <w:lang w:val="en-US"/>
        </w:rPr>
        <w:t xml:space="preserve"> in order for </w:t>
      </w:r>
      <w:r>
        <w:rPr>
          <w:noProof/>
          <w:position w:val="-10"/>
        </w:rPr>
        <w:drawing>
          <wp:inline distT="0" distB="0" distL="0" distR="0" wp14:anchorId="3A708A8E" wp14:editId="39EAFE05">
            <wp:extent cx="1273175" cy="182880"/>
            <wp:effectExtent l="0" t="0" r="3175" b="762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17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3936">
        <w:rPr>
          <w:lang w:val="en-US"/>
        </w:rPr>
        <w:t xml:space="preserve"> in all portions of slot </w:t>
      </w:r>
      <w:r>
        <w:rPr>
          <w:noProof/>
          <w:position w:val="-10"/>
        </w:rPr>
        <w:drawing>
          <wp:inline distT="0" distB="0" distL="0" distR="0" wp14:anchorId="0A8040A8" wp14:editId="6B4628AB">
            <wp:extent cx="98425" cy="182880"/>
            <wp:effectExtent l="0" t="0" r="0" b="762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3936">
        <w:rPr>
          <w:lang w:val="en-US"/>
        </w:rPr>
        <w:t>.</w:t>
      </w:r>
    </w:p>
    <w:p w14:paraId="72733139" w14:textId="77777777" w:rsidR="00DE2BC9" w:rsidRDefault="00DE2BC9" w:rsidP="00DE2BC9">
      <w:pPr>
        <w:pStyle w:val="B1"/>
      </w:pPr>
      <w:r>
        <w:t>-</w:t>
      </w:r>
      <w:r>
        <w:tab/>
        <w:t xml:space="preserve">If the UE </w:t>
      </w:r>
      <w:r w:rsidRPr="00F809A6">
        <w:rPr>
          <w:lang w:val="en-US"/>
        </w:rPr>
        <w:t xml:space="preserve">does </w:t>
      </w:r>
      <w:r>
        <w:rPr>
          <w:lang w:eastAsia="ja-JP"/>
        </w:rPr>
        <w:t>not indicate a capability for dynamic power sharing</w:t>
      </w:r>
      <w:r w:rsidRPr="00F809A6">
        <w:rPr>
          <w:lang w:val="en-US" w:eastAsia="ja-JP"/>
        </w:rPr>
        <w:t xml:space="preserve"> between E</w:t>
      </w:r>
      <w:r>
        <w:rPr>
          <w:lang w:val="en-US" w:eastAsia="ja-JP"/>
        </w:rPr>
        <w:t>-</w:t>
      </w:r>
      <w:r w:rsidRPr="00F809A6">
        <w:rPr>
          <w:lang w:val="en-US" w:eastAsia="ja-JP"/>
        </w:rPr>
        <w:t>UTRA and NR</w:t>
      </w:r>
      <w:r>
        <w:rPr>
          <w:lang w:val="en-US" w:eastAsia="ja-JP"/>
        </w:rPr>
        <w:t xml:space="preserve"> for EN-DC, the UE expects to be configured </w:t>
      </w:r>
      <w:r>
        <w:rPr>
          <w:rFonts w:hint="eastAsia"/>
          <w:lang w:eastAsia="zh-CN"/>
        </w:rPr>
        <w:t xml:space="preserve">with </w:t>
      </w:r>
      <w:r w:rsidRPr="00EB5B01">
        <w:t>reference TDD configuration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for E-UTRA (by </w:t>
      </w:r>
      <w:r w:rsidRPr="001930CB">
        <w:rPr>
          <w:i/>
          <w:iCs/>
          <w:lang w:eastAsia="zh-CN"/>
        </w:rPr>
        <w:t>tdm-PatternConfig-r15</w:t>
      </w:r>
      <w:r w:rsidRPr="00BE2EE9">
        <w:rPr>
          <w:rFonts w:hint="eastAsia"/>
          <w:lang w:val="en-US" w:eastAsia="zh-CN"/>
        </w:rPr>
        <w:t xml:space="preserve"> </w:t>
      </w:r>
      <w:r w:rsidRPr="00DE2BC9">
        <w:rPr>
          <w:strike/>
          <w:color w:val="FF0000"/>
          <w:lang w:val="en-US" w:eastAsia="zh-CN"/>
        </w:rPr>
        <w:t xml:space="preserve">or by </w:t>
      </w:r>
      <w:r w:rsidRPr="00DE2BC9">
        <w:rPr>
          <w:i/>
          <w:iCs/>
          <w:strike/>
          <w:color w:val="FF0000"/>
          <w:lang w:eastAsia="zh-CN"/>
        </w:rPr>
        <w:t>tdm-PatternConfig-r16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in </w:t>
      </w:r>
      <w:r>
        <w:rPr>
          <w:rFonts w:hint="eastAsia"/>
          <w:lang w:eastAsia="zh-CN"/>
        </w:rPr>
        <w:t>[13,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36.213]</w:t>
      </w:r>
      <w:r>
        <w:rPr>
          <w:lang w:val="en-US" w:eastAsia="zh-CN"/>
        </w:rPr>
        <w:t>).</w:t>
      </w:r>
      <w:r>
        <w:t xml:space="preserve"> </w:t>
      </w:r>
    </w:p>
    <w:p w14:paraId="6A7ED205" w14:textId="3E9CA518" w:rsidR="00F03758" w:rsidRPr="008771E9" w:rsidRDefault="00F03758" w:rsidP="00F03758">
      <w:pPr>
        <w:spacing w:before="120" w:line="280" w:lineRule="atLeast"/>
        <w:jc w:val="both"/>
        <w:rPr>
          <w:rFonts w:ascii="SimSun" w:eastAsia="SimSun" w:hAnsi="SimSun"/>
        </w:rPr>
      </w:pPr>
      <w:r w:rsidRPr="008771E9">
        <w:rPr>
          <w:rFonts w:ascii="v4.2.0" w:eastAsia="SimSun" w:hAnsi="v4.2.0"/>
          <w:szCs w:val="20"/>
        </w:rPr>
        <w:t xml:space="preserve">---------------------------- </w:t>
      </w:r>
      <w:r>
        <w:rPr>
          <w:rFonts w:ascii="v4.2.0" w:eastAsia="SimSun" w:hAnsi="v4.2.0"/>
          <w:szCs w:val="20"/>
        </w:rPr>
        <w:t>end</w:t>
      </w:r>
      <w:r w:rsidRPr="008771E9">
        <w:rPr>
          <w:rFonts w:ascii="v4.2.0" w:eastAsia="SimSun" w:hAnsi="v4.2.0"/>
          <w:szCs w:val="20"/>
        </w:rPr>
        <w:t xml:space="preserve"> TP</w:t>
      </w:r>
      <w:r>
        <w:rPr>
          <w:rFonts w:ascii="v4.2.0" w:eastAsia="SimSun" w:hAnsi="v4.2.0"/>
          <w:szCs w:val="20"/>
        </w:rPr>
        <w:t>1</w:t>
      </w:r>
      <w:r w:rsidRPr="008771E9">
        <w:rPr>
          <w:rFonts w:ascii="v4.2.0" w:eastAsia="SimSun" w:hAnsi="v4.2.0"/>
          <w:szCs w:val="20"/>
        </w:rPr>
        <w:t xml:space="preserve"> to sub clause 7.6.1 of 38.213v16.</w:t>
      </w:r>
      <w:r w:rsidR="00DE2BC9">
        <w:rPr>
          <w:rFonts w:ascii="v4.2.0" w:eastAsia="SimSun" w:hAnsi="v4.2.0"/>
          <w:szCs w:val="20"/>
        </w:rPr>
        <w:t>1</w:t>
      </w:r>
      <w:r w:rsidRPr="008771E9">
        <w:rPr>
          <w:rFonts w:ascii="v4.2.0" w:eastAsia="SimSun" w:hAnsi="v4.2.0"/>
          <w:szCs w:val="20"/>
        </w:rPr>
        <w:t>.0 --------------------------------------</w:t>
      </w:r>
    </w:p>
    <w:p w14:paraId="63510F38" w14:textId="77777777" w:rsidR="007A5B53" w:rsidRPr="00845331" w:rsidRDefault="007A5B53" w:rsidP="00B6502F">
      <w:pPr>
        <w:pStyle w:val="ListParagraph"/>
        <w:ind w:left="0"/>
      </w:pPr>
    </w:p>
    <w:p w14:paraId="68F07DE2" w14:textId="73A9E080" w:rsidR="00E25415" w:rsidRDefault="00E25415" w:rsidP="00B6502F">
      <w:pPr>
        <w:pStyle w:val="Heading1"/>
      </w:pPr>
      <w:r>
        <w:t>References</w:t>
      </w:r>
    </w:p>
    <w:p w14:paraId="5716718E" w14:textId="2099BFF7" w:rsidR="00E25415" w:rsidRDefault="000660F0" w:rsidP="00E25415">
      <w:pPr>
        <w:pStyle w:val="BodyText"/>
      </w:pPr>
      <w:r>
        <w:t>[1] R1-200</w:t>
      </w:r>
      <w:r w:rsidR="00F03758">
        <w:t>3072</w:t>
      </w:r>
      <w:r>
        <w:t xml:space="preserve"> – “</w:t>
      </w:r>
      <w:r w:rsidR="00F03758" w:rsidRPr="00F03758">
        <w:t>LS on Rel-16 RAN1 UE features lists for NR</w:t>
      </w:r>
      <w:r>
        <w:t xml:space="preserve">”, </w:t>
      </w:r>
      <w:r w:rsidR="00F03758">
        <w:t>RAN1</w:t>
      </w:r>
      <w:r>
        <w:t>, 3GPP RAN1#100</w:t>
      </w:r>
      <w:r w:rsidR="00F03758">
        <w:t>bis</w:t>
      </w:r>
      <w:r>
        <w:t xml:space="preserve">-eMeeting, </w:t>
      </w:r>
      <w:r w:rsidR="00F03758">
        <w:t>April</w:t>
      </w:r>
      <w:r>
        <w:t xml:space="preserve"> 2020.</w:t>
      </w:r>
    </w:p>
    <w:p w14:paraId="5A76FBA5" w14:textId="77777777" w:rsidR="00F428AF" w:rsidRPr="00E33671" w:rsidRDefault="00F428AF" w:rsidP="00E33671">
      <w:pPr>
        <w:pStyle w:val="B1"/>
        <w:ind w:left="284"/>
        <w:rPr>
          <w:rFonts w:ascii="Arial" w:hAnsi="Arial" w:cs="Arial"/>
          <w:sz w:val="28"/>
          <w:szCs w:val="28"/>
        </w:rPr>
      </w:pPr>
    </w:p>
    <w:sectPr w:rsidR="00F428AF" w:rsidRPr="00E33671">
      <w:headerReference w:type="defaul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A1A44F" w14:textId="77777777" w:rsidR="00DE1DED" w:rsidRDefault="00DE1DED">
      <w:r>
        <w:separator/>
      </w:r>
    </w:p>
  </w:endnote>
  <w:endnote w:type="continuationSeparator" w:id="0">
    <w:p w14:paraId="1D9EAF27" w14:textId="77777777" w:rsidR="00DE1DED" w:rsidRDefault="00DE1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A7AD67" w14:textId="77777777" w:rsidR="00DE1DED" w:rsidRDefault="00DE1DED">
      <w:r>
        <w:separator/>
      </w:r>
    </w:p>
  </w:footnote>
  <w:footnote w:type="continuationSeparator" w:id="0">
    <w:p w14:paraId="4816F2AE" w14:textId="77777777" w:rsidR="00DE1DED" w:rsidRDefault="00DE1D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AE1BAD" w14:textId="77777777" w:rsidR="00E832CA" w:rsidRDefault="00DE1DED" w:rsidP="00C44D46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235F1D"/>
    <w:multiLevelType w:val="hybridMultilevel"/>
    <w:tmpl w:val="6B0C39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BC5591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664585"/>
    <w:multiLevelType w:val="hybridMultilevel"/>
    <w:tmpl w:val="6A5A5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B735D6"/>
    <w:multiLevelType w:val="hybridMultilevel"/>
    <w:tmpl w:val="AEC8BF24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5A3AF9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A6213E"/>
    <w:multiLevelType w:val="hybridMultilevel"/>
    <w:tmpl w:val="B3BE0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6" w15:restartNumberingAfterBreak="0">
    <w:nsid w:val="4A8A5BBF"/>
    <w:multiLevelType w:val="hybridMultilevel"/>
    <w:tmpl w:val="F3E89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271DE6"/>
    <w:multiLevelType w:val="hybridMultilevel"/>
    <w:tmpl w:val="C8F29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31C28"/>
    <w:multiLevelType w:val="hybridMultilevel"/>
    <w:tmpl w:val="6D3AB01E"/>
    <w:lvl w:ilvl="0" w:tplc="2360831C">
      <w:start w:val="5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5AD26723"/>
    <w:multiLevelType w:val="hybridMultilevel"/>
    <w:tmpl w:val="88F47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F8702F"/>
    <w:multiLevelType w:val="hybridMultilevel"/>
    <w:tmpl w:val="6AA23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2C0A57"/>
    <w:multiLevelType w:val="hybridMultilevel"/>
    <w:tmpl w:val="BB6E0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C95E0C"/>
    <w:multiLevelType w:val="hybridMultilevel"/>
    <w:tmpl w:val="5FA6E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887C68"/>
    <w:multiLevelType w:val="hybridMultilevel"/>
    <w:tmpl w:val="9754F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0D1EB9"/>
    <w:multiLevelType w:val="hybridMultilevel"/>
    <w:tmpl w:val="70C6C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734E5C"/>
    <w:multiLevelType w:val="hybridMultilevel"/>
    <w:tmpl w:val="D94E3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7" w15:restartNumberingAfterBreak="0">
    <w:nsid w:val="7DB43F61"/>
    <w:multiLevelType w:val="hybridMultilevel"/>
    <w:tmpl w:val="747AE70C"/>
    <w:lvl w:ilvl="0" w:tplc="75082CA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9"/>
  </w:num>
  <w:num w:numId="4">
    <w:abstractNumId w:val="1"/>
  </w:num>
  <w:num w:numId="5">
    <w:abstractNumId w:val="7"/>
  </w:num>
  <w:num w:numId="6">
    <w:abstractNumId w:val="17"/>
  </w:num>
  <w:num w:numId="7">
    <w:abstractNumId w:val="6"/>
  </w:num>
  <w:num w:numId="8">
    <w:abstractNumId w:val="10"/>
  </w:num>
  <w:num w:numId="9">
    <w:abstractNumId w:val="3"/>
  </w:num>
  <w:num w:numId="10">
    <w:abstractNumId w:val="10"/>
  </w:num>
  <w:num w:numId="11">
    <w:abstractNumId w:val="3"/>
  </w:num>
  <w:num w:numId="12">
    <w:abstractNumId w:val="12"/>
  </w:num>
  <w:num w:numId="13">
    <w:abstractNumId w:val="8"/>
  </w:num>
  <w:num w:numId="14">
    <w:abstractNumId w:val="13"/>
  </w:num>
  <w:num w:numId="15">
    <w:abstractNumId w:val="5"/>
  </w:num>
  <w:num w:numId="16">
    <w:abstractNumId w:val="0"/>
  </w:num>
  <w:num w:numId="17">
    <w:abstractNumId w:val="4"/>
  </w:num>
  <w:num w:numId="18">
    <w:abstractNumId w:val="15"/>
  </w:num>
  <w:num w:numId="19">
    <w:abstractNumId w:val="11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02F"/>
    <w:rsid w:val="00010EF8"/>
    <w:rsid w:val="00023B00"/>
    <w:rsid w:val="00044278"/>
    <w:rsid w:val="000660F0"/>
    <w:rsid w:val="000B6FD8"/>
    <w:rsid w:val="00145CB8"/>
    <w:rsid w:val="00194614"/>
    <w:rsid w:val="001E3896"/>
    <w:rsid w:val="0021173B"/>
    <w:rsid w:val="0021755E"/>
    <w:rsid w:val="0029642C"/>
    <w:rsid w:val="002B157A"/>
    <w:rsid w:val="002B7FD4"/>
    <w:rsid w:val="00311AC4"/>
    <w:rsid w:val="00330057"/>
    <w:rsid w:val="0035520B"/>
    <w:rsid w:val="003902F5"/>
    <w:rsid w:val="003950B0"/>
    <w:rsid w:val="003A64A0"/>
    <w:rsid w:val="003B1F7A"/>
    <w:rsid w:val="003D2674"/>
    <w:rsid w:val="00420356"/>
    <w:rsid w:val="00432BC1"/>
    <w:rsid w:val="004617AF"/>
    <w:rsid w:val="004E43ED"/>
    <w:rsid w:val="00535BE6"/>
    <w:rsid w:val="00566EA8"/>
    <w:rsid w:val="00577C84"/>
    <w:rsid w:val="005C4A3A"/>
    <w:rsid w:val="0061739E"/>
    <w:rsid w:val="00627C67"/>
    <w:rsid w:val="00677879"/>
    <w:rsid w:val="00677AD4"/>
    <w:rsid w:val="006A49B1"/>
    <w:rsid w:val="00765A99"/>
    <w:rsid w:val="00767D38"/>
    <w:rsid w:val="007A5B53"/>
    <w:rsid w:val="007A73E4"/>
    <w:rsid w:val="007F4043"/>
    <w:rsid w:val="00810D90"/>
    <w:rsid w:val="00843AB9"/>
    <w:rsid w:val="00860D75"/>
    <w:rsid w:val="008711A3"/>
    <w:rsid w:val="00897189"/>
    <w:rsid w:val="008E20BB"/>
    <w:rsid w:val="00933499"/>
    <w:rsid w:val="00933622"/>
    <w:rsid w:val="00972582"/>
    <w:rsid w:val="00977FEB"/>
    <w:rsid w:val="00A3179E"/>
    <w:rsid w:val="00A53538"/>
    <w:rsid w:val="00AA24B9"/>
    <w:rsid w:val="00B164EC"/>
    <w:rsid w:val="00B6502F"/>
    <w:rsid w:val="00B72B90"/>
    <w:rsid w:val="00B92A34"/>
    <w:rsid w:val="00BA5191"/>
    <w:rsid w:val="00BC7D63"/>
    <w:rsid w:val="00BE1E09"/>
    <w:rsid w:val="00BE42AC"/>
    <w:rsid w:val="00C15158"/>
    <w:rsid w:val="00C20AB6"/>
    <w:rsid w:val="00C23CB2"/>
    <w:rsid w:val="00C33EB0"/>
    <w:rsid w:val="00D367FA"/>
    <w:rsid w:val="00D50E69"/>
    <w:rsid w:val="00D7368E"/>
    <w:rsid w:val="00DB60D7"/>
    <w:rsid w:val="00DE1DED"/>
    <w:rsid w:val="00DE2BC9"/>
    <w:rsid w:val="00E05B97"/>
    <w:rsid w:val="00E12A82"/>
    <w:rsid w:val="00E21A2D"/>
    <w:rsid w:val="00E25415"/>
    <w:rsid w:val="00E33671"/>
    <w:rsid w:val="00E57CD9"/>
    <w:rsid w:val="00E8369E"/>
    <w:rsid w:val="00E86E81"/>
    <w:rsid w:val="00EC1152"/>
    <w:rsid w:val="00EE3191"/>
    <w:rsid w:val="00EE6370"/>
    <w:rsid w:val="00F03758"/>
    <w:rsid w:val="00F338C1"/>
    <w:rsid w:val="00F428AF"/>
    <w:rsid w:val="00F61595"/>
    <w:rsid w:val="00F9399B"/>
    <w:rsid w:val="00FF1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CB32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6502F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B6502F"/>
    <w:pPr>
      <w:keepNext/>
      <w:numPr>
        <w:numId w:val="1"/>
      </w:numPr>
      <w:tabs>
        <w:tab w:val="clear" w:pos="3544"/>
        <w:tab w:val="left" w:pos="1134"/>
      </w:tabs>
      <w:spacing w:before="240" w:after="60"/>
      <w:ind w:left="567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B6502F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B6502F"/>
    <w:pPr>
      <w:keepNext/>
      <w:numPr>
        <w:ilvl w:val="2"/>
        <w:numId w:val="1"/>
      </w:numPr>
      <w:spacing w:before="240" w:after="60"/>
      <w:ind w:left="0" w:firstLine="0"/>
      <w:outlineLvl w:val="2"/>
    </w:pPr>
    <w:rPr>
      <w:rFonts w:ascii="Arial" w:eastAsia="MS Mincho" w:hAnsi="Arial" w:cs="Arial"/>
      <w:b/>
      <w:bCs/>
      <w:i/>
      <w:szCs w:val="26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B6502F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B6502F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B6502F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B6502F"/>
    <w:rPr>
      <w:rFonts w:ascii="Arial" w:eastAsia="MS Mincho" w:hAnsi="Arial" w:cs="Arial"/>
      <w:b/>
      <w:bCs/>
      <w:i/>
      <w:sz w:val="20"/>
      <w:szCs w:val="26"/>
      <w:u w:val="singl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6502F"/>
    <w:rPr>
      <w:rFonts w:ascii="Times New Roman" w:eastAsia="MS Mincho" w:hAnsi="Times New Roman" w:cs="Times New Roman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B6502F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B6502F"/>
    <w:rPr>
      <w:rFonts w:ascii="Times New Roman" w:eastAsia="MS Mincho" w:hAnsi="Times New Roman" w:cs="Times New Roman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B6502F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6502F"/>
    <w:rPr>
      <w:rFonts w:ascii="Arial" w:eastAsia="MS Mincho" w:hAnsi="Arial" w:cs="Times New Roman"/>
      <w:b/>
      <w:sz w:val="20"/>
      <w:szCs w:val="24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6502F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6502F"/>
    <w:rPr>
      <w:rFonts w:ascii="Times New Roman" w:eastAsia="Times New Roman" w:hAnsi="Times New Roman"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50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02F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617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17A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17A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17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17A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7258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2582"/>
    <w:rPr>
      <w:rFonts w:ascii="Times New Roman" w:eastAsia="Times New Roman" w:hAnsi="Times New Roman" w:cs="Times New Roman"/>
      <w:sz w:val="20"/>
      <w:szCs w:val="24"/>
    </w:rPr>
  </w:style>
  <w:style w:type="paragraph" w:customStyle="1" w:styleId="TAL">
    <w:name w:val="TAL"/>
    <w:basedOn w:val="Normal"/>
    <w:link w:val="TALCar"/>
    <w:qFormat/>
    <w:rsid w:val="00F338C1"/>
    <w:pPr>
      <w:keepNext/>
      <w:keepLines/>
    </w:pPr>
    <w:rPr>
      <w:rFonts w:ascii="Arial" w:eastAsia="Malgun Gothic" w:hAnsi="Arial"/>
      <w:sz w:val="18"/>
      <w:szCs w:val="20"/>
      <w:lang w:val="en-GB"/>
    </w:rPr>
  </w:style>
  <w:style w:type="character" w:customStyle="1" w:styleId="TALCar">
    <w:name w:val="TAL Car"/>
    <w:link w:val="TAL"/>
    <w:qFormat/>
    <w:rsid w:val="00F338C1"/>
    <w:rPr>
      <w:rFonts w:ascii="Arial" w:eastAsia="Malgun Gothic" w:hAnsi="Arial" w:cs="Times New Roman"/>
      <w:sz w:val="18"/>
      <w:szCs w:val="20"/>
      <w:lang w:val="en-GB"/>
    </w:rPr>
  </w:style>
  <w:style w:type="character" w:styleId="Hyperlink">
    <w:name w:val="Hyperlink"/>
    <w:uiPriority w:val="99"/>
    <w:qFormat/>
    <w:rsid w:val="00C15158"/>
    <w:rPr>
      <w:color w:val="0000FF"/>
      <w:u w:val="single"/>
    </w:rPr>
  </w:style>
  <w:style w:type="paragraph" w:customStyle="1" w:styleId="B1">
    <w:name w:val="B1"/>
    <w:basedOn w:val="Normal"/>
    <w:link w:val="B1Zchn"/>
    <w:qFormat/>
    <w:rsid w:val="00E33671"/>
    <w:pPr>
      <w:spacing w:after="180"/>
      <w:ind w:left="568" w:hanging="284"/>
    </w:pPr>
    <w:rPr>
      <w:szCs w:val="20"/>
      <w:lang w:val="x-none"/>
    </w:rPr>
  </w:style>
  <w:style w:type="paragraph" w:customStyle="1" w:styleId="B2">
    <w:name w:val="B2"/>
    <w:basedOn w:val="Normal"/>
    <w:link w:val="B2Char"/>
    <w:qFormat/>
    <w:rsid w:val="00E33671"/>
    <w:pPr>
      <w:spacing w:after="180"/>
      <w:ind w:left="851" w:hanging="284"/>
    </w:pPr>
    <w:rPr>
      <w:szCs w:val="20"/>
      <w:lang w:val="x-none"/>
    </w:rPr>
  </w:style>
  <w:style w:type="character" w:customStyle="1" w:styleId="B1Zchn">
    <w:name w:val="B1 Zchn"/>
    <w:link w:val="B1"/>
    <w:qFormat/>
    <w:rsid w:val="00E33671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E33671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textintend1">
    <w:name w:val="text intend 1"/>
    <w:basedOn w:val="Normal"/>
    <w:rsid w:val="00E33671"/>
    <w:pPr>
      <w:numPr>
        <w:numId w:val="1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40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header" Target="header1.xml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2020-05-16T02:44:00Z</dcterms:created>
  <dcterms:modified xsi:type="dcterms:W3CDTF">2020-05-16T02:44:00Z</dcterms:modified>
</cp:coreProperties>
</file>