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759A01" w14:textId="77777777" w:rsidR="006E1F2B" w:rsidRDefault="00324459">
      <w:pPr>
        <w:ind w:left="1988" w:hanging="1988"/>
        <w:jc w:val="both"/>
      </w:pPr>
      <w:r>
        <w:rPr>
          <w:rFonts w:ascii="Arial" w:hAnsi="Arial" w:cs="Arial"/>
          <w:b/>
          <w:lang w:val="en-US"/>
        </w:rPr>
        <w:t>3GPP TSG RAN WG1 Meeting #101-e</w:t>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t>R1-2004199</w:t>
      </w:r>
    </w:p>
    <w:p w14:paraId="38A1D941" w14:textId="77777777" w:rsidR="006E1F2B" w:rsidRDefault="00324459">
      <w:pPr>
        <w:ind w:left="1988" w:hanging="1988"/>
        <w:jc w:val="both"/>
      </w:pPr>
      <w:r>
        <w:rPr>
          <w:rFonts w:ascii="Arial" w:hAnsi="Arial" w:cs="Arial"/>
          <w:b/>
          <w:lang w:val="en-US"/>
        </w:rPr>
        <w:t>e-meeting, 25th May – 5th June 2020</w:t>
      </w:r>
    </w:p>
    <w:p w14:paraId="341851A1" w14:textId="77777777" w:rsidR="006E1F2B" w:rsidRDefault="006E1F2B">
      <w:pPr>
        <w:ind w:left="1988" w:hanging="1988"/>
        <w:jc w:val="both"/>
        <w:rPr>
          <w:rFonts w:ascii="Arial" w:hAnsi="Arial" w:cs="Arial"/>
          <w:b/>
          <w:sz w:val="22"/>
          <w:lang w:val="en-US"/>
        </w:rPr>
      </w:pPr>
    </w:p>
    <w:p w14:paraId="24005E1D" w14:textId="77777777" w:rsidR="006E1F2B" w:rsidRDefault="00324459">
      <w:pPr>
        <w:ind w:left="1988" w:hanging="1988"/>
        <w:jc w:val="both"/>
      </w:pPr>
      <w:r>
        <w:rPr>
          <w:rFonts w:ascii="Arial" w:hAnsi="Arial" w:cs="Arial"/>
          <w:b/>
          <w:lang w:val="en-US"/>
        </w:rPr>
        <w:t>Source:</w:t>
      </w:r>
      <w:r>
        <w:rPr>
          <w:rFonts w:ascii="Arial" w:hAnsi="Arial" w:cs="Arial"/>
          <w:b/>
          <w:lang w:val="en-US"/>
        </w:rPr>
        <w:tab/>
        <w:t>CEWiT</w:t>
      </w:r>
    </w:p>
    <w:p w14:paraId="3D274318" w14:textId="77777777" w:rsidR="006E1F2B" w:rsidRDefault="00324459">
      <w:pPr>
        <w:ind w:left="1988" w:hanging="1988"/>
        <w:jc w:val="both"/>
      </w:pPr>
      <w:r>
        <w:rPr>
          <w:rFonts w:ascii="Arial" w:hAnsi="Arial" w:cs="Arial"/>
          <w:b/>
          <w:lang w:val="en-US"/>
        </w:rPr>
        <w:t>Title:</w:t>
      </w:r>
      <w:r>
        <w:rPr>
          <w:rFonts w:ascii="Arial" w:hAnsi="Arial" w:cs="Arial"/>
          <w:b/>
          <w:lang w:val="en-US"/>
        </w:rPr>
        <w:tab/>
        <w:t>View on scenarios and evaluation parameters for Rel 17 positioning enhancement</w:t>
      </w:r>
    </w:p>
    <w:p w14:paraId="2645D147" w14:textId="77777777" w:rsidR="006E1F2B" w:rsidRDefault="00324459">
      <w:pPr>
        <w:ind w:left="1988" w:hanging="1988"/>
        <w:jc w:val="both"/>
      </w:pPr>
      <w:r>
        <w:rPr>
          <w:rFonts w:ascii="Arial" w:hAnsi="Arial" w:cs="Arial"/>
          <w:b/>
          <w:lang w:val="en-US"/>
        </w:rPr>
        <w:t>Agenda item:</w:t>
      </w:r>
      <w:r>
        <w:rPr>
          <w:rFonts w:ascii="Arial" w:hAnsi="Arial" w:cs="Arial"/>
          <w:b/>
          <w:lang w:val="en-US"/>
        </w:rPr>
        <w:tab/>
        <w:t>8.2.1</w:t>
      </w:r>
    </w:p>
    <w:p w14:paraId="5F7A574D" w14:textId="77777777" w:rsidR="006E1F2B" w:rsidRDefault="00324459">
      <w:pPr>
        <w:ind w:left="1988" w:hanging="1988"/>
        <w:jc w:val="both"/>
      </w:pPr>
      <w:r>
        <w:rPr>
          <w:rFonts w:ascii="Arial" w:hAnsi="Arial" w:cs="Arial"/>
          <w:b/>
          <w:lang w:val="en-US"/>
        </w:rPr>
        <w:t>Document for:</w:t>
      </w:r>
      <w:bookmarkStart w:id="0" w:name="DocumentFor"/>
      <w:bookmarkEnd w:id="0"/>
      <w:r>
        <w:rPr>
          <w:rFonts w:ascii="Arial" w:hAnsi="Arial" w:cs="Arial"/>
          <w:b/>
          <w:lang w:val="en-US"/>
        </w:rPr>
        <w:tab/>
        <w:t>Discussion and Decision</w:t>
      </w:r>
    </w:p>
    <w:p w14:paraId="7373FBE3" w14:textId="77777777" w:rsidR="006E1F2B" w:rsidRDefault="00324459">
      <w:pPr>
        <w:pStyle w:val="Heading1"/>
        <w:numPr>
          <w:ilvl w:val="0"/>
          <w:numId w:val="2"/>
        </w:numPr>
        <w:jc w:val="both"/>
      </w:pPr>
      <w:r>
        <w:t xml:space="preserve">  Introduction</w:t>
      </w:r>
    </w:p>
    <w:p w14:paraId="43932847" w14:textId="77777777" w:rsidR="006E1F2B" w:rsidRDefault="00324459">
      <w:pPr>
        <w:spacing w:after="60"/>
        <w:jc w:val="both"/>
      </w:pPr>
      <w:r>
        <w:rPr>
          <w:lang w:val="en-US"/>
        </w:rPr>
        <w:t xml:space="preserve">Rel 16 NR positioning support is standardized for both regulatory and commercial use cases. To address the higher accuracy location requirements resulting from new applications and industry verticals, Rel 17 positioning enhancement study is initiated to evaluate and specify enhancements. It is expected that the solutions should meet the </w:t>
      </w:r>
      <w:r>
        <w:t xml:space="preserve">sub-meter level position accuracy (&lt; 1 m) and for IIoT use cases it should meet position accuracy &lt; 0.2 m. Further, it is expected that the positioning latency requirement is reduced to &lt; 100 </w:t>
      </w:r>
      <w:proofErr w:type="spellStart"/>
      <w:r>
        <w:t>ms</w:t>
      </w:r>
      <w:proofErr w:type="spellEnd"/>
      <w:r>
        <w:t xml:space="preserve"> whereas for some IIoT use cases, latency in the order of 10 </w:t>
      </w:r>
      <w:proofErr w:type="spellStart"/>
      <w:r>
        <w:t>ms</w:t>
      </w:r>
      <w:proofErr w:type="spellEnd"/>
      <w:r>
        <w:t xml:space="preserve"> is desired. </w:t>
      </w:r>
    </w:p>
    <w:p w14:paraId="7F7D0C86" w14:textId="77777777" w:rsidR="006E1F2B" w:rsidRDefault="006E1F2B">
      <w:pPr>
        <w:jc w:val="both"/>
      </w:pPr>
    </w:p>
    <w:p w14:paraId="7B565D9F" w14:textId="77777777" w:rsidR="006E1F2B" w:rsidRDefault="00324459">
      <w:pPr>
        <w:ind w:right="-99"/>
        <w:jc w:val="both"/>
      </w:pPr>
      <w:r>
        <w:rPr>
          <w:rFonts w:eastAsia="SimSun;宋体"/>
          <w:lang w:val="en-US" w:eastAsia="ja-JP"/>
        </w:rPr>
        <w:t>This study item includes the following objectives:</w:t>
      </w:r>
    </w:p>
    <w:p w14:paraId="3B52A129" w14:textId="77777777" w:rsidR="006E1F2B" w:rsidRDefault="00324459">
      <w:pPr>
        <w:numPr>
          <w:ilvl w:val="0"/>
          <w:numId w:val="4"/>
        </w:numPr>
        <w:ind w:right="-99"/>
        <w:jc w:val="both"/>
      </w:pPr>
      <w:r>
        <w:rPr>
          <w:rFonts w:eastAsia="SimSun;宋体"/>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6BFD7A3C" w14:textId="77777777" w:rsidR="006E1F2B" w:rsidRDefault="00324459">
      <w:pPr>
        <w:numPr>
          <w:ilvl w:val="1"/>
          <w:numId w:val="4"/>
        </w:numPr>
        <w:ind w:right="-99"/>
        <w:jc w:val="both"/>
      </w:pPr>
      <w:r>
        <w:rPr>
          <w:rFonts w:eastAsia="SimSun;宋体"/>
          <w:lang w:val="en-US" w:eastAsia="ja-JP"/>
        </w:rPr>
        <w:t>Define additional scenarios (e.g. (I)IoT) based on TR 38.901 to evaluate the performance for the use cases (e.g. (I)IoT). [RAN1]</w:t>
      </w:r>
    </w:p>
    <w:p w14:paraId="76472F8D" w14:textId="77777777" w:rsidR="006E1F2B" w:rsidRDefault="00324459">
      <w:pPr>
        <w:numPr>
          <w:ilvl w:val="1"/>
          <w:numId w:val="4"/>
        </w:numPr>
        <w:ind w:right="-99"/>
        <w:jc w:val="both"/>
      </w:pPr>
      <w:r>
        <w:rPr>
          <w:rFonts w:eastAsia="SimSun;宋体"/>
          <w:lang w:val="en-US" w:eastAsia="ja-JP"/>
        </w:rPr>
        <w:t>Evaluate the achievable positioning accuracy and latency with the Rel-16 positioning solutions in (I)IoT scenarios and identify any performance gaps. [RAN1]</w:t>
      </w:r>
      <w:r>
        <w:rPr>
          <w:rFonts w:eastAsia="SimSun;宋体"/>
          <w:lang w:val="en-US" w:eastAsia="ja-JP"/>
        </w:rPr>
        <w:tab/>
      </w:r>
    </w:p>
    <w:p w14:paraId="23F839D2" w14:textId="77777777" w:rsidR="006E1F2B" w:rsidRDefault="00324459">
      <w:pPr>
        <w:numPr>
          <w:ilvl w:val="1"/>
          <w:numId w:val="4"/>
        </w:numPr>
        <w:ind w:right="-99"/>
        <w:jc w:val="both"/>
      </w:pPr>
      <w:r>
        <w:rPr>
          <w:rFonts w:eastAsia="SimSun;宋体"/>
          <w:lang w:val="en-US" w:eastAsia="ja-JP"/>
        </w:rPr>
        <w:t xml:space="preserve">Identify and evaluate positioning techniques, DL/UL positioning reference signals, signaling and procedures </w:t>
      </w:r>
      <w:r>
        <w:rPr>
          <w:lang w:val="en-US"/>
        </w:rPr>
        <w:t xml:space="preserve">for </w:t>
      </w:r>
      <w:r>
        <w:t xml:space="preserve">improved accuracy, </w:t>
      </w:r>
      <w:r>
        <w:rPr>
          <w:lang w:val="en-US"/>
        </w:rPr>
        <w:t xml:space="preserve">reduced </w:t>
      </w:r>
      <w:r>
        <w:t>latency,</w:t>
      </w:r>
      <w:r>
        <w:rPr>
          <w:rFonts w:eastAsia="SimSun;宋体"/>
          <w:lang w:val="en-US" w:eastAsia="ja-JP"/>
        </w:rPr>
        <w:t xml:space="preserve"> network efficiency, and device efficiency</w:t>
      </w:r>
      <w:r>
        <w:t>.</w:t>
      </w:r>
      <w:r>
        <w:rPr>
          <w:rFonts w:eastAsia="SimSun;宋体"/>
          <w:lang w:val="en-US" w:eastAsia="ja-JP"/>
        </w:rPr>
        <w:br/>
        <w:t>Enhancements to Rel-16 positioning techniques, if they meet the requirements, will be prioritized, and new techniques will not be considered in this case. [RAN1, RAN2]</w:t>
      </w:r>
    </w:p>
    <w:p w14:paraId="04CF0209" w14:textId="77777777" w:rsidR="006E1F2B" w:rsidRDefault="00324459">
      <w:pPr>
        <w:pStyle w:val="NO"/>
        <w:ind w:left="1724" w:firstLine="0"/>
        <w:jc w:val="both"/>
      </w:pPr>
      <w:r>
        <w:rPr>
          <w:lang w:val="en-US" w:eastAsia="ja-JP"/>
        </w:rPr>
        <w:t>NOTE 1:</w:t>
      </w:r>
      <w:r>
        <w:rPr>
          <w:lang w:val="en-US" w:eastAsia="ja-JP"/>
        </w:rPr>
        <w:tab/>
      </w:r>
      <w:proofErr w:type="spellStart"/>
      <w:r>
        <w:rPr>
          <w:lang w:val="en-US" w:eastAsia="ja-JP"/>
        </w:rPr>
        <w:t>Sidelink</w:t>
      </w:r>
      <w:proofErr w:type="spellEnd"/>
      <w:r>
        <w:rPr>
          <w:lang w:val="en-US" w:eastAsia="ja-JP"/>
        </w:rPr>
        <w:t xml:space="preserve"> is not part of this objective.</w:t>
      </w:r>
    </w:p>
    <w:p w14:paraId="148DD775" w14:textId="77777777" w:rsidR="006E1F2B" w:rsidRDefault="00324459">
      <w:pPr>
        <w:pStyle w:val="NO"/>
        <w:ind w:left="1724" w:firstLine="0"/>
        <w:jc w:val="both"/>
      </w:pPr>
      <w:r>
        <w:rPr>
          <w:rFonts w:eastAsia="SimSun;宋体"/>
          <w:lang w:val="en-US" w:eastAsia="ja-JP"/>
        </w:rPr>
        <w:t>NOTE 2:</w:t>
      </w:r>
      <w:r>
        <w:rPr>
          <w:rFonts w:eastAsia="SimSun;宋体"/>
          <w:lang w:val="en-US" w:eastAsia="ja-JP"/>
        </w:rPr>
        <w:tab/>
        <w:t>Involve RAN4 for validating assumptions for the systems evaluations where appropriate.</w:t>
      </w:r>
    </w:p>
    <w:p w14:paraId="208F6239" w14:textId="77777777" w:rsidR="006E1F2B" w:rsidRDefault="00324459">
      <w:pPr>
        <w:pStyle w:val="NO"/>
        <w:ind w:left="1724" w:firstLine="0"/>
        <w:jc w:val="both"/>
      </w:pPr>
      <w:r>
        <w:rPr>
          <w:rFonts w:eastAsia="SimSun;宋体"/>
          <w:lang w:val="en-US" w:eastAsia="ja-JP"/>
        </w:rPr>
        <w:t>NOTE 3:</w:t>
      </w:r>
      <w:r>
        <w:rPr>
          <w:rFonts w:eastAsia="SimSun;宋体"/>
          <w:lang w:val="en-US" w:eastAsia="ja-JP"/>
        </w:rPr>
        <w:tab/>
        <w:t>The commercial use cases and requirements are applicable to a limited geographic area.</w:t>
      </w:r>
    </w:p>
    <w:p w14:paraId="37B7D975" w14:textId="77777777" w:rsidR="006E1F2B" w:rsidRDefault="006E1F2B">
      <w:pPr>
        <w:pStyle w:val="NO"/>
        <w:ind w:left="284" w:firstLine="0"/>
        <w:jc w:val="both"/>
        <w:rPr>
          <w:rFonts w:eastAsia="SimSun;宋体"/>
          <w:lang w:val="en-US" w:eastAsia="ja-JP"/>
        </w:rPr>
      </w:pPr>
    </w:p>
    <w:p w14:paraId="231E328D" w14:textId="77777777" w:rsidR="006E1F2B" w:rsidRDefault="00324459">
      <w:pPr>
        <w:pStyle w:val="NO"/>
        <w:ind w:left="284" w:firstLine="0"/>
        <w:jc w:val="both"/>
      </w:pPr>
      <w:r>
        <w:rPr>
          <w:rFonts w:eastAsia="SimSun;宋体"/>
          <w:lang w:val="en-US" w:eastAsia="ja-JP"/>
        </w:rPr>
        <w:t xml:space="preserve">This contribution gives the initial evaluation assumptions and considerations. </w:t>
      </w:r>
    </w:p>
    <w:p w14:paraId="588604EB" w14:textId="77777777" w:rsidR="006E1F2B" w:rsidRDefault="00324459">
      <w:pPr>
        <w:pStyle w:val="Heading1"/>
        <w:numPr>
          <w:ilvl w:val="0"/>
          <w:numId w:val="2"/>
        </w:numPr>
        <w:jc w:val="both"/>
      </w:pPr>
      <w:r>
        <w:lastRenderedPageBreak/>
        <w:t xml:space="preserve"> IIOT use cases for positioning enhancements</w:t>
      </w:r>
    </w:p>
    <w:p w14:paraId="28777FF8" w14:textId="0138E63E" w:rsidR="006E1F2B" w:rsidRDefault="00324459">
      <w:pPr>
        <w:pStyle w:val="Heading1"/>
        <w:numPr>
          <w:ilvl w:val="0"/>
          <w:numId w:val="0"/>
        </w:numPr>
        <w:jc w:val="both"/>
      </w:pPr>
      <w:r>
        <w:rPr>
          <w:rFonts w:ascii="Liberation Serif" w:eastAsia="Noto Sans CJK SC Regular" w:hAnsi="Liberation Serif" w:cs="FreeSans"/>
          <w:sz w:val="24"/>
          <w:szCs w:val="24"/>
          <w:lang w:val="en-IN" w:eastAsia="zh-CN"/>
        </w:rPr>
        <w:t xml:space="preserve">Industrial internet of things (IIoT) consists of interconnecting the various processes and activities happening in factories, warehouses, manufacturing plants etc with the network.  IIoT shall help to interconnect sensors, instruments, and other devices to the network together with industrial applications.  The positioning requirements for these use cases are arising to give insight into processes or environmental conditions. Similarly, it shall provide insight into inventory of materials and asset management or their maintenance </w:t>
      </w:r>
      <w:r w:rsidR="00AF2200">
        <w:rPr>
          <w:rFonts w:ascii="Liberation Serif" w:eastAsia="Noto Sans CJK SC Regular" w:hAnsi="Liberation Serif" w:cs="FreeSans"/>
          <w:sz w:val="24"/>
          <w:szCs w:val="24"/>
          <w:lang w:val="en-IN" w:eastAsia="zh-CN"/>
        </w:rPr>
        <w:t>in</w:t>
      </w:r>
      <w:r>
        <w:rPr>
          <w:rFonts w:ascii="Liberation Serif" w:eastAsia="Noto Sans CJK SC Regular" w:hAnsi="Liberation Serif" w:cs="FreeSans"/>
          <w:sz w:val="24"/>
          <w:szCs w:val="24"/>
          <w:lang w:val="en-IN" w:eastAsia="zh-CN"/>
        </w:rPr>
        <w:t xml:space="preserve"> 22.804[3], an elaborative study is performed on future factories service demands/necessities and various requirements are derived. One of the requisites for effective IIoT deployment is stringent positioning accuracy with low latency. IIoT requires accuracy on sub-meter level (&lt;1m) and latency &lt;1s for most of the critical applications. Some of the applications are mobile control panels with safety functions, process automation – plant asset management and inbound logistics for manufacturing. Even though the service requirements for different use cases are very diverse, the required positioning accuracies and latencies are common in the sense that it should be more stringent than the assumed requirement in Rel 16 NR positioning support.  Moreover, the requirements set in the 22.804[3] are not supposed to be fulfilled with RAT dependent positioning alone. Therefore, RAN1 study need not be restricted to selective scenarios from 22.804[3]. Rather its crucial to select the simulation scenarios from the 38.901[1] for indoor factory.  In IIoT channel model study, five indoor factory scenarios are defined. These scenarios are, </w:t>
      </w:r>
    </w:p>
    <w:p w14:paraId="0B750358" w14:textId="77777777" w:rsidR="006E1F2B" w:rsidRDefault="00324459">
      <w:pPr>
        <w:pStyle w:val="3GPPText"/>
        <w:numPr>
          <w:ilvl w:val="0"/>
          <w:numId w:val="3"/>
        </w:numPr>
        <w:spacing w:before="0" w:after="0"/>
      </w:pPr>
      <w:r>
        <w:rPr>
          <w:b/>
        </w:rPr>
        <w:t>InF-SL</w:t>
      </w:r>
      <w:r>
        <w:tab/>
        <w:t>Indoor Factory with Sparse clutter and Low base station height (both Tx and Rx are below the average height of the clutter)</w:t>
      </w:r>
    </w:p>
    <w:p w14:paraId="230E0DEE" w14:textId="77777777" w:rsidR="006E1F2B" w:rsidRDefault="00324459">
      <w:pPr>
        <w:pStyle w:val="3GPPText"/>
        <w:numPr>
          <w:ilvl w:val="0"/>
          <w:numId w:val="3"/>
        </w:numPr>
        <w:spacing w:before="0" w:after="0"/>
      </w:pPr>
      <w:r>
        <w:rPr>
          <w:b/>
        </w:rPr>
        <w:t>InF-DL</w:t>
      </w:r>
      <w:r>
        <w:tab/>
        <w:t>Indoor Factory with Dense clutter and Low base station height (both Tx and Rx are below the average height of the clutter)</w:t>
      </w:r>
    </w:p>
    <w:p w14:paraId="6D391775" w14:textId="77777777" w:rsidR="006E1F2B" w:rsidRDefault="00324459">
      <w:pPr>
        <w:pStyle w:val="3GPPText"/>
        <w:numPr>
          <w:ilvl w:val="0"/>
          <w:numId w:val="3"/>
        </w:numPr>
        <w:spacing w:before="0" w:after="0"/>
      </w:pPr>
      <w:r>
        <w:rPr>
          <w:b/>
        </w:rPr>
        <w:t>InF-SH</w:t>
      </w:r>
      <w:r>
        <w:tab/>
        <w:t>Indoor Factory with Sparse clutter and High base station height (Tx or Rx elevated above the clutter)</w:t>
      </w:r>
    </w:p>
    <w:p w14:paraId="4245E5F4" w14:textId="77777777" w:rsidR="006E1F2B" w:rsidRDefault="00324459">
      <w:pPr>
        <w:pStyle w:val="3GPPText"/>
        <w:numPr>
          <w:ilvl w:val="0"/>
          <w:numId w:val="3"/>
        </w:numPr>
        <w:spacing w:before="0" w:after="0"/>
      </w:pPr>
      <w:r>
        <w:rPr>
          <w:b/>
        </w:rPr>
        <w:t>InF-DH</w:t>
      </w:r>
      <w:r>
        <w:tab/>
        <w:t>Indoor Factory with Dense clutter and High base station height (Tx or Rx elevated above the clutter)</w:t>
      </w:r>
    </w:p>
    <w:p w14:paraId="0E93A4A0" w14:textId="77777777" w:rsidR="006E1F2B" w:rsidRDefault="00324459">
      <w:pPr>
        <w:pStyle w:val="3GPPText"/>
        <w:numPr>
          <w:ilvl w:val="0"/>
          <w:numId w:val="3"/>
        </w:numPr>
        <w:spacing w:before="0" w:after="0"/>
      </w:pPr>
      <w:r>
        <w:rPr>
          <w:b/>
        </w:rPr>
        <w:t>InF-HH</w:t>
      </w:r>
      <w:r>
        <w:tab/>
        <w:t>Indoor Factory with High Tx and High Rx (both elevated above the clutter)</w:t>
      </w:r>
    </w:p>
    <w:p w14:paraId="511F3F94" w14:textId="77777777" w:rsidR="006E1F2B" w:rsidRDefault="006E1F2B">
      <w:pPr>
        <w:pStyle w:val="3GPPText"/>
        <w:spacing w:before="0" w:after="0"/>
      </w:pPr>
    </w:p>
    <w:p w14:paraId="36D6E61C" w14:textId="6A8CC7A4" w:rsidR="006E1F2B" w:rsidRDefault="00324459">
      <w:pPr>
        <w:pStyle w:val="3GPPText"/>
        <w:spacing w:before="0" w:after="0"/>
      </w:pPr>
      <w:r>
        <w:t xml:space="preserve">These scenarios differentiate the factory environment based on the density and height of factory clutters and gNB height. </w:t>
      </w:r>
      <w:r w:rsidR="007A299D">
        <w:t>In general</w:t>
      </w:r>
      <w:r w:rsidR="00C55C09">
        <w:t>,</w:t>
      </w:r>
      <w:r>
        <w:t xml:space="preserve"> the large factories and warehouses have different kinds of machineries and metallic parts arranged densely. Therefore, Dense clutter scenarios are important for the positioning study which makes InF-DL and InF DH scenarios necessary for evaluation study.</w:t>
      </w:r>
      <w:r w:rsidR="007A299D">
        <w:t xml:space="preserve"> Due to low LOS probability it will give worst case accuracy performance.</w:t>
      </w:r>
    </w:p>
    <w:p w14:paraId="6D4695BD" w14:textId="77777777" w:rsidR="006E1F2B" w:rsidRDefault="006E1F2B">
      <w:pPr>
        <w:pStyle w:val="3GPPText"/>
        <w:spacing w:before="0" w:after="0"/>
      </w:pPr>
    </w:p>
    <w:p w14:paraId="47EB5E22" w14:textId="77777777" w:rsidR="006E1F2B" w:rsidRDefault="00324459">
      <w:pPr>
        <w:pStyle w:val="3GPPText"/>
        <w:spacing w:before="0" w:after="0"/>
        <w:rPr>
          <w:b/>
          <w:bCs/>
        </w:rPr>
      </w:pPr>
      <w:r>
        <w:rPr>
          <w:b/>
          <w:bCs/>
          <w:u w:val="single"/>
        </w:rPr>
        <w:t>Proposal 1</w:t>
      </w:r>
      <w:r>
        <w:rPr>
          <w:b/>
          <w:bCs/>
        </w:rPr>
        <w:t>: For Rel 17 positioning enhancement, InF-DL and InF-DH or mix of both in single scenario should be considered for evaluation of positioning for IIoT use cases.</w:t>
      </w:r>
    </w:p>
    <w:p w14:paraId="2B871C8A" w14:textId="77777777" w:rsidR="006E1F2B" w:rsidRDefault="006E1F2B">
      <w:pPr>
        <w:pStyle w:val="3GPPText"/>
        <w:spacing w:before="0" w:after="0"/>
      </w:pPr>
    </w:p>
    <w:p w14:paraId="795E99F8" w14:textId="77777777" w:rsidR="006E1F2B" w:rsidRDefault="00324459">
      <w:pPr>
        <w:pStyle w:val="3GPPText"/>
        <w:spacing w:before="0" w:after="0"/>
      </w:pPr>
      <w:r>
        <w:t>SI on positioning further clarifies that the e</w:t>
      </w:r>
      <w:r>
        <w:rPr>
          <w:rFonts w:eastAsia="SimSun;宋体"/>
          <w:lang w:eastAsia="ja-JP"/>
        </w:rPr>
        <w:t>nhancements to Rel-16 positioning techniques, if they meet the requirements, will be prioritized, and new techniques will not be considered in Rel 17. Thus, any new modifications are introduced in Rel 17, they should be evaluated for at least some scenarios of the Rel 16. Hence, the InH scenario should be considered along with InF scenarios in Rel 17 evaluation.</w:t>
      </w:r>
    </w:p>
    <w:p w14:paraId="3D45B601" w14:textId="77777777" w:rsidR="006E1F2B" w:rsidRDefault="006E1F2B">
      <w:pPr>
        <w:pStyle w:val="3GPPText"/>
        <w:spacing w:before="0" w:after="0"/>
        <w:rPr>
          <w:rFonts w:eastAsia="SimSun;宋体"/>
          <w:lang w:eastAsia="ja-JP"/>
        </w:rPr>
      </w:pPr>
    </w:p>
    <w:p w14:paraId="36642865" w14:textId="77777777" w:rsidR="006E1F2B" w:rsidRDefault="00324459">
      <w:pPr>
        <w:pStyle w:val="3GPPText"/>
        <w:spacing w:before="0" w:after="0"/>
      </w:pPr>
      <w:r>
        <w:rPr>
          <w:b/>
          <w:bCs/>
          <w:u w:val="single"/>
        </w:rPr>
        <w:t>Proposal 2</w:t>
      </w:r>
      <w:r>
        <w:rPr>
          <w:b/>
          <w:bCs/>
        </w:rPr>
        <w:t xml:space="preserve">:   In Rel 17, </w:t>
      </w:r>
      <w:r>
        <w:rPr>
          <w:rFonts w:eastAsia="SimSun;宋体"/>
          <w:b/>
          <w:bCs/>
          <w:lang w:eastAsia="ja-JP"/>
        </w:rPr>
        <w:t>at least InH scenario should be considered along with InF scenarios.</w:t>
      </w:r>
    </w:p>
    <w:p w14:paraId="3B6E70FA" w14:textId="77777777" w:rsidR="006E1F2B" w:rsidRDefault="006E1F2B">
      <w:pPr>
        <w:pStyle w:val="3GPPText"/>
        <w:spacing w:before="0" w:after="0"/>
        <w:rPr>
          <w:b/>
          <w:bCs/>
        </w:rPr>
      </w:pPr>
    </w:p>
    <w:p w14:paraId="16F0E8D6" w14:textId="77777777" w:rsidR="006E1F2B" w:rsidRDefault="00324459">
      <w:pPr>
        <w:pStyle w:val="Heading1"/>
        <w:numPr>
          <w:ilvl w:val="0"/>
          <w:numId w:val="2"/>
        </w:numPr>
        <w:jc w:val="both"/>
      </w:pPr>
      <w:r>
        <w:t xml:space="preserve"> Performance metric for positioning enhancement </w:t>
      </w:r>
    </w:p>
    <w:p w14:paraId="33210E31" w14:textId="77777777" w:rsidR="006E1F2B" w:rsidRDefault="00324459">
      <w:pPr>
        <w:jc w:val="both"/>
      </w:pPr>
      <w:r>
        <w:t xml:space="preserve">In IIoT scenarios, accuracy, latency, and power consumption requirements are more stringent compared to the with the Rel 16 evaluation due to mission critical and safety point of view. Therefore, </w:t>
      </w:r>
      <w:r>
        <w:lastRenderedPageBreak/>
        <w:t>evaluation in Rel 17 requires additional metric along with the Rel 16 metrics for performance evaluation. In Rel 16, the following performance metrics are used for evaluation of positioning accuracy,</w:t>
      </w:r>
    </w:p>
    <w:p w14:paraId="162A4D56" w14:textId="77777777" w:rsidR="006E1F2B" w:rsidRDefault="00324459">
      <w:pPr>
        <w:numPr>
          <w:ilvl w:val="0"/>
          <w:numId w:val="5"/>
        </w:numPr>
        <w:jc w:val="both"/>
      </w:pPr>
      <w:r>
        <w:t xml:space="preserve">Horizontal accuracy </w:t>
      </w:r>
    </w:p>
    <w:p w14:paraId="6FE5A66B" w14:textId="77777777" w:rsidR="006E1F2B" w:rsidRDefault="00324459">
      <w:pPr>
        <w:numPr>
          <w:ilvl w:val="0"/>
          <w:numId w:val="5"/>
        </w:numPr>
        <w:jc w:val="both"/>
      </w:pPr>
      <w:r>
        <w:t xml:space="preserve">Vertical accuracy </w:t>
      </w:r>
    </w:p>
    <w:p w14:paraId="582E5054" w14:textId="77777777" w:rsidR="006E1F2B" w:rsidRDefault="00324459">
      <w:pPr>
        <w:numPr>
          <w:ilvl w:val="0"/>
          <w:numId w:val="5"/>
        </w:numPr>
        <w:jc w:val="both"/>
      </w:pPr>
      <w:r>
        <w:t xml:space="preserve">Analytical evaluation of </w:t>
      </w:r>
      <w:r>
        <w:rPr>
          <w:lang w:val="en-US"/>
        </w:rPr>
        <w:t>Physical layer latency, UE power consumption, scalability/capacity, network deployment complexity, availability, UE and gNB complexity.</w:t>
      </w:r>
    </w:p>
    <w:p w14:paraId="03CC914B" w14:textId="77777777" w:rsidR="006E1F2B" w:rsidRDefault="006E1F2B">
      <w:pPr>
        <w:jc w:val="both"/>
        <w:rPr>
          <w:lang w:val="en-US"/>
        </w:rPr>
      </w:pPr>
    </w:p>
    <w:p w14:paraId="59EE9780" w14:textId="77777777" w:rsidR="006E1F2B" w:rsidRDefault="00324459">
      <w:pPr>
        <w:jc w:val="both"/>
      </w:pPr>
      <w:r>
        <w:rPr>
          <w:lang w:val="en-US"/>
        </w:rPr>
        <w:t>Horizontal accuracy and vertical accuracy are provided in terms CDF of respective errors and percentile value at 50%, 67%, 80% and 90%. In Rel 17, it may be useful to consider larger percentiles due to the positioning performance requirements in TR 22.804[3] for different scenarios. Therefore, in Rel 17 additional percentile values e.g. 95%, 99% can be considered. In an InF scenarios, LOS probabilities are different in different scenarios. This will deviate the positioning accuracy. For the effective comparison of accuracy deviation, it will be useful to plot accuracy CDF by forcing the link to LOS. Comparison between regular accuracy CDF and forced LOS link accuracy CDF will give better insight on the performance of positioning methods.</w:t>
      </w:r>
    </w:p>
    <w:p w14:paraId="3136FE9D" w14:textId="77777777" w:rsidR="006E1F2B" w:rsidRDefault="00324459">
      <w:pPr>
        <w:jc w:val="both"/>
      </w:pPr>
      <w:r>
        <w:rPr>
          <w:lang w:val="en-US"/>
        </w:rPr>
        <w:t xml:space="preserve">Power consumption is another important aspect in IIoT use cases. The factories of future are </w:t>
      </w:r>
      <w:proofErr w:type="spellStart"/>
      <w:r>
        <w:rPr>
          <w:lang w:val="en-US"/>
        </w:rPr>
        <w:t>realised</w:t>
      </w:r>
      <w:proofErr w:type="spellEnd"/>
      <w:r>
        <w:rPr>
          <w:lang w:val="en-US"/>
        </w:rPr>
        <w:t xml:space="preserve"> with lot of sensors and remote-control units which have tight power budget. Therefore, quantifying the power consumption is important to positioning analysis.</w:t>
      </w:r>
    </w:p>
    <w:p w14:paraId="25D2A334" w14:textId="77777777" w:rsidR="006E1F2B" w:rsidRDefault="006E1F2B">
      <w:pPr>
        <w:jc w:val="both"/>
        <w:rPr>
          <w:lang w:val="en-US"/>
        </w:rPr>
      </w:pPr>
    </w:p>
    <w:p w14:paraId="1CCBD763" w14:textId="77777777" w:rsidR="006E1F2B" w:rsidRDefault="00324459">
      <w:pPr>
        <w:pStyle w:val="3GPPText"/>
        <w:spacing w:before="0" w:after="0"/>
      </w:pPr>
      <w:r>
        <w:rPr>
          <w:b/>
          <w:bCs/>
          <w:u w:val="single"/>
        </w:rPr>
        <w:t>Proposal 3</w:t>
      </w:r>
      <w:r>
        <w:rPr>
          <w:b/>
          <w:bCs/>
        </w:rPr>
        <w:t xml:space="preserve">: In Rel 17, additional percentile values e.g. 95%, 99% can be considered as accuracy metric both for vertical and horizontal positioning. </w:t>
      </w:r>
    </w:p>
    <w:p w14:paraId="5312AE1B" w14:textId="77777777" w:rsidR="006E1F2B" w:rsidRDefault="006E1F2B">
      <w:pPr>
        <w:pStyle w:val="3GPPText"/>
        <w:spacing w:before="0" w:after="0"/>
        <w:rPr>
          <w:b/>
          <w:bCs/>
        </w:rPr>
      </w:pPr>
    </w:p>
    <w:p w14:paraId="0EAE240B" w14:textId="77777777" w:rsidR="006E1F2B" w:rsidRDefault="00324459">
      <w:pPr>
        <w:pStyle w:val="3GPPText"/>
        <w:spacing w:before="0" w:after="0"/>
      </w:pPr>
      <w:r>
        <w:rPr>
          <w:b/>
          <w:bCs/>
          <w:u w:val="single"/>
        </w:rPr>
        <w:t>Proposal 4</w:t>
      </w:r>
      <w:r>
        <w:rPr>
          <w:b/>
          <w:bCs/>
        </w:rPr>
        <w:t>: LOS link based achievable positioning accuracy should be used to compare the deviation of actual positioning accuracy.</w:t>
      </w:r>
    </w:p>
    <w:p w14:paraId="49A9727E" w14:textId="77777777" w:rsidR="006E1F2B" w:rsidRDefault="006E1F2B">
      <w:pPr>
        <w:pStyle w:val="3GPPText"/>
        <w:spacing w:before="0" w:after="0"/>
      </w:pPr>
    </w:p>
    <w:p w14:paraId="049A23F8" w14:textId="77777777" w:rsidR="006E1F2B" w:rsidRDefault="00324459">
      <w:pPr>
        <w:pStyle w:val="3GPPText"/>
        <w:spacing w:before="0" w:after="0"/>
      </w:pPr>
      <w:r>
        <w:rPr>
          <w:b/>
          <w:bCs/>
          <w:u w:val="single"/>
        </w:rPr>
        <w:t>Proposal 5</w:t>
      </w:r>
      <w:r>
        <w:rPr>
          <w:b/>
          <w:bCs/>
        </w:rPr>
        <w:t>: Quantification of Power consumption for performance evaluation of positioning should be introduced.</w:t>
      </w:r>
    </w:p>
    <w:p w14:paraId="28628C8E" w14:textId="77777777" w:rsidR="006E1F2B" w:rsidRDefault="006E1F2B">
      <w:pPr>
        <w:jc w:val="both"/>
        <w:rPr>
          <w:lang w:val="en-US"/>
        </w:rPr>
      </w:pPr>
    </w:p>
    <w:p w14:paraId="67B6E48C" w14:textId="77777777" w:rsidR="006E1F2B" w:rsidRDefault="006E1F2B">
      <w:pPr>
        <w:jc w:val="both"/>
      </w:pPr>
    </w:p>
    <w:p w14:paraId="6E6ABB34" w14:textId="77777777" w:rsidR="006E1F2B" w:rsidRDefault="00324459">
      <w:pPr>
        <w:pStyle w:val="Heading1"/>
        <w:numPr>
          <w:ilvl w:val="0"/>
          <w:numId w:val="2"/>
        </w:numPr>
        <w:jc w:val="both"/>
      </w:pPr>
      <w:r>
        <w:t xml:space="preserve"> Evaluation parameters for Rel 17 positioning enhancement study</w:t>
      </w:r>
    </w:p>
    <w:p w14:paraId="0F9CACC2" w14:textId="77777777" w:rsidR="006E1F2B" w:rsidRDefault="006E1F2B">
      <w:pPr>
        <w:jc w:val="both"/>
      </w:pPr>
    </w:p>
    <w:p w14:paraId="089C537D" w14:textId="77777777" w:rsidR="006E1F2B" w:rsidRDefault="00324459">
      <w:pPr>
        <w:jc w:val="both"/>
      </w:pPr>
      <w:r>
        <w:t xml:space="preserve">For evaluation parameters, we should mostly reuse the Rel 16 </w:t>
      </w:r>
      <w:r>
        <w:rPr>
          <w:lang w:val="en-US"/>
        </w:rPr>
        <w:t>Table 6.1.1-1 from 38.855 [2]</w:t>
      </w:r>
      <w:r>
        <w:t>. The common parameters for Rel 17 evaluation can be as below,</w:t>
      </w:r>
    </w:p>
    <w:p w14:paraId="703BA10C" w14:textId="77777777" w:rsidR="006E1F2B" w:rsidRDefault="006E1F2B">
      <w:pPr>
        <w:jc w:val="both"/>
      </w:pPr>
    </w:p>
    <w:tbl>
      <w:tblPr>
        <w:tblW w:w="9910" w:type="dxa"/>
        <w:tblInd w:w="36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2594"/>
        <w:gridCol w:w="3259"/>
        <w:gridCol w:w="4057"/>
      </w:tblGrid>
      <w:tr w:rsidR="006E1F2B" w14:paraId="7A0BC5E4" w14:textId="77777777">
        <w:trPr>
          <w:trHeight w:val="159"/>
        </w:trPr>
        <w:tc>
          <w:tcPr>
            <w:tcW w:w="259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A9E43DE" w14:textId="77777777" w:rsidR="006E1F2B" w:rsidRDefault="006E1F2B">
            <w:pPr>
              <w:pStyle w:val="TAH"/>
              <w:jc w:val="both"/>
              <w:rPr>
                <w:rFonts w:cs="Arial"/>
                <w:lang w:val="en-US"/>
              </w:rPr>
            </w:pP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49E74E3" w14:textId="77777777" w:rsidR="006E1F2B" w:rsidRDefault="00324459">
            <w:pPr>
              <w:pStyle w:val="TAH"/>
              <w:jc w:val="both"/>
            </w:pPr>
            <w:r>
              <w:rPr>
                <w:rFonts w:cs="Arial"/>
                <w:sz w:val="20"/>
                <w:lang w:val="en-US"/>
              </w:rPr>
              <w:t>FR1 Specific Values</w:t>
            </w:r>
          </w:p>
        </w:tc>
        <w:tc>
          <w:tcPr>
            <w:tcW w:w="405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DF70F1E" w14:textId="77777777" w:rsidR="006E1F2B" w:rsidRDefault="00324459">
            <w:pPr>
              <w:pStyle w:val="TAH"/>
              <w:jc w:val="both"/>
            </w:pPr>
            <w:r>
              <w:rPr>
                <w:rFonts w:cs="Arial"/>
                <w:sz w:val="20"/>
                <w:lang w:val="en-US"/>
              </w:rPr>
              <w:t xml:space="preserve">FR2 Specific Values </w:t>
            </w:r>
          </w:p>
        </w:tc>
      </w:tr>
      <w:tr w:rsidR="006E1F2B" w14:paraId="0C0D105F" w14:textId="77777777">
        <w:tc>
          <w:tcPr>
            <w:tcW w:w="259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0B3AD6C" w14:textId="77777777" w:rsidR="006E1F2B" w:rsidRDefault="00324459">
            <w:pPr>
              <w:pStyle w:val="TAL"/>
              <w:jc w:val="both"/>
            </w:pPr>
            <w:r>
              <w:rPr>
                <w:lang w:val="en-US"/>
              </w:rPr>
              <w:t xml:space="preserve">Carrier frequency, GHz </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810C9CB" w14:textId="77777777" w:rsidR="006E1F2B" w:rsidRDefault="00324459">
            <w:pPr>
              <w:pStyle w:val="TAL"/>
              <w:jc w:val="both"/>
            </w:pPr>
            <w:r>
              <w:rPr>
                <w:rFonts w:cs="Arial"/>
                <w:szCs w:val="18"/>
                <w:lang w:val="en-US"/>
              </w:rPr>
              <w:t>2GHz, 4GHz – Note 1</w:t>
            </w:r>
          </w:p>
        </w:tc>
        <w:tc>
          <w:tcPr>
            <w:tcW w:w="405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71A6E7A" w14:textId="77777777" w:rsidR="006E1F2B" w:rsidRDefault="00324459">
            <w:pPr>
              <w:pStyle w:val="TAL"/>
              <w:jc w:val="both"/>
            </w:pPr>
            <w:r>
              <w:rPr>
                <w:rFonts w:cs="Arial"/>
                <w:szCs w:val="18"/>
                <w:lang w:val="en-US"/>
              </w:rPr>
              <w:t>30 GHz – Note 1</w:t>
            </w:r>
          </w:p>
        </w:tc>
      </w:tr>
      <w:tr w:rsidR="006E1F2B" w14:paraId="7CD58A73" w14:textId="77777777">
        <w:tc>
          <w:tcPr>
            <w:tcW w:w="259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C39BC04" w14:textId="77777777" w:rsidR="006E1F2B" w:rsidRDefault="00324459">
            <w:pPr>
              <w:pStyle w:val="TAL"/>
              <w:jc w:val="both"/>
            </w:pPr>
            <w:r>
              <w:rPr>
                <w:lang w:val="en-US"/>
              </w:rPr>
              <w:t>Bandwidth, MHz</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DEEC56F" w14:textId="77777777" w:rsidR="006E1F2B" w:rsidRDefault="00324459">
            <w:pPr>
              <w:pStyle w:val="TAL"/>
              <w:jc w:val="both"/>
            </w:pPr>
            <w:r>
              <w:rPr>
                <w:rFonts w:cs="Arial"/>
                <w:szCs w:val="18"/>
                <w:lang w:val="en-US"/>
              </w:rPr>
              <w:t>20MHz, 50MHz for 2GHz</w:t>
            </w:r>
          </w:p>
          <w:p w14:paraId="4C192763" w14:textId="77777777" w:rsidR="006E1F2B" w:rsidRDefault="00324459">
            <w:pPr>
              <w:pStyle w:val="TAL"/>
              <w:jc w:val="both"/>
            </w:pPr>
            <w:r>
              <w:rPr>
                <w:rFonts w:cs="Arial"/>
                <w:szCs w:val="18"/>
                <w:lang w:val="en-US"/>
              </w:rPr>
              <w:t>50MHz, 100MHz for 4GHz</w:t>
            </w:r>
          </w:p>
        </w:tc>
        <w:tc>
          <w:tcPr>
            <w:tcW w:w="405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C08E8BD" w14:textId="77777777" w:rsidR="006E1F2B" w:rsidRDefault="00324459">
            <w:pPr>
              <w:pStyle w:val="TAL"/>
              <w:jc w:val="both"/>
            </w:pPr>
            <w:r>
              <w:rPr>
                <w:rFonts w:cs="Arial"/>
                <w:szCs w:val="18"/>
                <w:lang w:val="en-US"/>
              </w:rPr>
              <w:t xml:space="preserve">100MHz, 400MHz </w:t>
            </w:r>
          </w:p>
        </w:tc>
      </w:tr>
      <w:tr w:rsidR="006E1F2B" w14:paraId="3FDDB34B" w14:textId="77777777">
        <w:tc>
          <w:tcPr>
            <w:tcW w:w="259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72D5E48" w14:textId="77777777" w:rsidR="006E1F2B" w:rsidRDefault="00324459">
            <w:pPr>
              <w:pStyle w:val="TAL"/>
              <w:jc w:val="both"/>
            </w:pPr>
            <w:r>
              <w:rPr>
                <w:lang w:val="en-US"/>
              </w:rPr>
              <w:t>Subcarrier spacing, kHz</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286B76B" w14:textId="77777777" w:rsidR="006E1F2B" w:rsidRDefault="00324459">
            <w:pPr>
              <w:pStyle w:val="TAL"/>
              <w:jc w:val="both"/>
            </w:pPr>
            <w:r>
              <w:rPr>
                <w:rFonts w:cs="Arial"/>
                <w:szCs w:val="18"/>
                <w:lang w:val="en-US"/>
              </w:rPr>
              <w:t>15kHz for 20MHz and 50MHz</w:t>
            </w:r>
          </w:p>
          <w:p w14:paraId="55372D61" w14:textId="77777777" w:rsidR="006E1F2B" w:rsidRDefault="00324459">
            <w:pPr>
              <w:pStyle w:val="TAL"/>
              <w:jc w:val="both"/>
            </w:pPr>
            <w:r>
              <w:rPr>
                <w:rFonts w:cs="Arial"/>
                <w:szCs w:val="18"/>
                <w:lang w:val="en-US"/>
              </w:rPr>
              <w:t xml:space="preserve">30kHz for 100MHz </w:t>
            </w:r>
          </w:p>
        </w:tc>
        <w:tc>
          <w:tcPr>
            <w:tcW w:w="405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0D4D434" w14:textId="77777777" w:rsidR="006E1F2B" w:rsidRDefault="00324459">
            <w:pPr>
              <w:pStyle w:val="TAL"/>
              <w:jc w:val="both"/>
            </w:pPr>
            <w:r>
              <w:rPr>
                <w:rFonts w:cs="Arial"/>
                <w:szCs w:val="18"/>
                <w:lang w:val="en-US"/>
              </w:rPr>
              <w:t>120kHz</w:t>
            </w:r>
          </w:p>
        </w:tc>
      </w:tr>
      <w:tr w:rsidR="006E1F2B" w14:paraId="16A4EB66" w14:textId="77777777">
        <w:tc>
          <w:tcPr>
            <w:tcW w:w="2594" w:type="dxa"/>
            <w:tcBorders>
              <w:top w:val="single" w:sz="4" w:space="0" w:color="00000A"/>
              <w:left w:val="single" w:sz="4" w:space="0" w:color="00000A"/>
              <w:bottom w:val="single" w:sz="4" w:space="0" w:color="00000A"/>
              <w:right w:val="single" w:sz="4" w:space="0" w:color="00000A"/>
            </w:tcBorders>
            <w:shd w:val="clear" w:color="auto" w:fill="D0CECE"/>
            <w:tcMar>
              <w:left w:w="98" w:type="dxa"/>
            </w:tcMar>
          </w:tcPr>
          <w:p w14:paraId="37342D5F" w14:textId="77777777" w:rsidR="006E1F2B" w:rsidRDefault="00324459">
            <w:pPr>
              <w:pStyle w:val="TAH"/>
              <w:jc w:val="both"/>
            </w:pPr>
            <w:r>
              <w:rPr>
                <w:lang w:val="en-US"/>
              </w:rPr>
              <w:t xml:space="preserve">gNB model parameters </w:t>
            </w:r>
          </w:p>
        </w:tc>
        <w:tc>
          <w:tcPr>
            <w:tcW w:w="3259" w:type="dxa"/>
            <w:tcBorders>
              <w:top w:val="single" w:sz="4" w:space="0" w:color="00000A"/>
              <w:left w:val="single" w:sz="4" w:space="0" w:color="00000A"/>
              <w:bottom w:val="single" w:sz="4" w:space="0" w:color="00000A"/>
              <w:right w:val="single" w:sz="4" w:space="0" w:color="00000A"/>
            </w:tcBorders>
            <w:shd w:val="clear" w:color="auto" w:fill="D0CECE"/>
            <w:tcMar>
              <w:left w:w="98" w:type="dxa"/>
            </w:tcMar>
          </w:tcPr>
          <w:p w14:paraId="67BD6948" w14:textId="77777777" w:rsidR="006E1F2B" w:rsidRDefault="006E1F2B">
            <w:pPr>
              <w:pStyle w:val="TAH"/>
              <w:jc w:val="both"/>
              <w:rPr>
                <w:rFonts w:cs="Arial"/>
                <w:szCs w:val="18"/>
                <w:lang w:val="en-US"/>
              </w:rPr>
            </w:pPr>
          </w:p>
        </w:tc>
        <w:tc>
          <w:tcPr>
            <w:tcW w:w="4057" w:type="dxa"/>
            <w:tcBorders>
              <w:top w:val="single" w:sz="4" w:space="0" w:color="00000A"/>
              <w:left w:val="single" w:sz="4" w:space="0" w:color="00000A"/>
              <w:bottom w:val="single" w:sz="4" w:space="0" w:color="00000A"/>
              <w:right w:val="single" w:sz="4" w:space="0" w:color="00000A"/>
            </w:tcBorders>
            <w:shd w:val="clear" w:color="auto" w:fill="D0CECE"/>
            <w:tcMar>
              <w:left w:w="98" w:type="dxa"/>
            </w:tcMar>
          </w:tcPr>
          <w:p w14:paraId="687CCBD7" w14:textId="77777777" w:rsidR="006E1F2B" w:rsidRDefault="006E1F2B">
            <w:pPr>
              <w:pStyle w:val="TAH"/>
              <w:jc w:val="both"/>
              <w:rPr>
                <w:rFonts w:cs="Arial"/>
                <w:szCs w:val="18"/>
                <w:lang w:val="en-US"/>
              </w:rPr>
            </w:pPr>
          </w:p>
        </w:tc>
      </w:tr>
      <w:tr w:rsidR="006E1F2B" w14:paraId="57FD3B99" w14:textId="77777777">
        <w:tc>
          <w:tcPr>
            <w:tcW w:w="259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FE757EF" w14:textId="77777777" w:rsidR="006E1F2B" w:rsidRDefault="00324459">
            <w:pPr>
              <w:pStyle w:val="TAL"/>
              <w:jc w:val="both"/>
            </w:pPr>
            <w:r>
              <w:rPr>
                <w:lang w:val="en-US"/>
              </w:rPr>
              <w:t>gNB noise figure, dB</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9254848" w14:textId="77777777" w:rsidR="006E1F2B" w:rsidRDefault="00324459">
            <w:pPr>
              <w:pStyle w:val="TAL"/>
              <w:jc w:val="both"/>
            </w:pPr>
            <w:r>
              <w:rPr>
                <w:rFonts w:cs="Arial"/>
                <w:szCs w:val="18"/>
                <w:lang w:val="en-US"/>
              </w:rPr>
              <w:t>5dB</w:t>
            </w:r>
          </w:p>
        </w:tc>
        <w:tc>
          <w:tcPr>
            <w:tcW w:w="405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652F7E8" w14:textId="77777777" w:rsidR="006E1F2B" w:rsidRDefault="00324459">
            <w:pPr>
              <w:pStyle w:val="TAL"/>
              <w:jc w:val="both"/>
            </w:pPr>
            <w:r>
              <w:rPr>
                <w:rFonts w:cs="Arial"/>
                <w:szCs w:val="18"/>
                <w:lang w:val="en-US"/>
              </w:rPr>
              <w:t>7dB</w:t>
            </w:r>
          </w:p>
        </w:tc>
      </w:tr>
      <w:tr w:rsidR="006E1F2B" w14:paraId="4CDA129F" w14:textId="77777777">
        <w:tc>
          <w:tcPr>
            <w:tcW w:w="259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8E43EE4" w14:textId="77777777" w:rsidR="006E1F2B" w:rsidRDefault="006E1F2B">
            <w:pPr>
              <w:pStyle w:val="TAL"/>
              <w:jc w:val="both"/>
              <w:rPr>
                <w:lang w:val="en-US"/>
              </w:rPr>
            </w:pP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74D704B" w14:textId="77777777" w:rsidR="006E1F2B" w:rsidRDefault="006E1F2B">
            <w:pPr>
              <w:pStyle w:val="TAL"/>
              <w:jc w:val="both"/>
              <w:rPr>
                <w:rFonts w:cs="Arial"/>
                <w:szCs w:val="18"/>
                <w:lang w:val="en-US"/>
              </w:rPr>
            </w:pPr>
          </w:p>
        </w:tc>
        <w:tc>
          <w:tcPr>
            <w:tcW w:w="405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0D9C151" w14:textId="77777777" w:rsidR="006E1F2B" w:rsidRDefault="006E1F2B">
            <w:pPr>
              <w:pStyle w:val="TAL"/>
              <w:jc w:val="both"/>
              <w:rPr>
                <w:rFonts w:cs="Arial"/>
                <w:szCs w:val="18"/>
                <w:lang w:val="en-US"/>
              </w:rPr>
            </w:pPr>
          </w:p>
        </w:tc>
      </w:tr>
      <w:tr w:rsidR="006E1F2B" w14:paraId="455F4C93" w14:textId="77777777">
        <w:tc>
          <w:tcPr>
            <w:tcW w:w="2594" w:type="dxa"/>
            <w:tcBorders>
              <w:top w:val="single" w:sz="4" w:space="0" w:color="00000A"/>
              <w:left w:val="single" w:sz="4" w:space="0" w:color="00000A"/>
              <w:bottom w:val="single" w:sz="4" w:space="0" w:color="00000A"/>
              <w:right w:val="single" w:sz="4" w:space="0" w:color="00000A"/>
            </w:tcBorders>
            <w:shd w:val="clear" w:color="auto" w:fill="D0CECE"/>
            <w:tcMar>
              <w:left w:w="98" w:type="dxa"/>
            </w:tcMar>
          </w:tcPr>
          <w:p w14:paraId="65094190" w14:textId="77777777" w:rsidR="006E1F2B" w:rsidRDefault="00324459">
            <w:pPr>
              <w:pStyle w:val="TAH"/>
              <w:jc w:val="both"/>
            </w:pPr>
            <w:r>
              <w:rPr>
                <w:lang w:val="en-US"/>
              </w:rPr>
              <w:t xml:space="preserve">UE model parameters </w:t>
            </w:r>
          </w:p>
        </w:tc>
        <w:tc>
          <w:tcPr>
            <w:tcW w:w="3259" w:type="dxa"/>
            <w:tcBorders>
              <w:top w:val="single" w:sz="4" w:space="0" w:color="00000A"/>
              <w:left w:val="single" w:sz="4" w:space="0" w:color="00000A"/>
              <w:bottom w:val="single" w:sz="4" w:space="0" w:color="00000A"/>
              <w:right w:val="single" w:sz="4" w:space="0" w:color="00000A"/>
            </w:tcBorders>
            <w:shd w:val="clear" w:color="auto" w:fill="D0CECE"/>
            <w:tcMar>
              <w:left w:w="98" w:type="dxa"/>
            </w:tcMar>
          </w:tcPr>
          <w:p w14:paraId="2F252F6B" w14:textId="77777777" w:rsidR="006E1F2B" w:rsidRDefault="006E1F2B">
            <w:pPr>
              <w:pStyle w:val="TAH"/>
              <w:jc w:val="both"/>
              <w:rPr>
                <w:rFonts w:cs="Arial"/>
                <w:szCs w:val="18"/>
                <w:lang w:val="en-US"/>
              </w:rPr>
            </w:pPr>
          </w:p>
        </w:tc>
        <w:tc>
          <w:tcPr>
            <w:tcW w:w="4057" w:type="dxa"/>
            <w:tcBorders>
              <w:top w:val="single" w:sz="4" w:space="0" w:color="00000A"/>
              <w:left w:val="single" w:sz="4" w:space="0" w:color="00000A"/>
              <w:bottom w:val="single" w:sz="4" w:space="0" w:color="00000A"/>
              <w:right w:val="single" w:sz="4" w:space="0" w:color="00000A"/>
            </w:tcBorders>
            <w:shd w:val="clear" w:color="auto" w:fill="D0CECE"/>
            <w:tcMar>
              <w:left w:w="98" w:type="dxa"/>
            </w:tcMar>
          </w:tcPr>
          <w:p w14:paraId="4098EA3F" w14:textId="77777777" w:rsidR="006E1F2B" w:rsidRDefault="006E1F2B">
            <w:pPr>
              <w:pStyle w:val="TAH"/>
              <w:jc w:val="both"/>
              <w:rPr>
                <w:rFonts w:cs="Arial"/>
                <w:szCs w:val="18"/>
                <w:lang w:val="en-US"/>
              </w:rPr>
            </w:pPr>
          </w:p>
        </w:tc>
      </w:tr>
      <w:tr w:rsidR="006E1F2B" w14:paraId="50D47947" w14:textId="77777777">
        <w:tc>
          <w:tcPr>
            <w:tcW w:w="259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4098D7F" w14:textId="77777777" w:rsidR="006E1F2B" w:rsidRDefault="00324459">
            <w:pPr>
              <w:pStyle w:val="TAL"/>
              <w:jc w:val="both"/>
            </w:pPr>
            <w:r>
              <w:rPr>
                <w:lang w:val="en-US"/>
              </w:rPr>
              <w:lastRenderedPageBreak/>
              <w:t>UE max. TX power, dBm</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D864922" w14:textId="77777777" w:rsidR="006E1F2B" w:rsidRDefault="00324459">
            <w:pPr>
              <w:pStyle w:val="TAL"/>
              <w:jc w:val="both"/>
            </w:pPr>
            <w:r>
              <w:rPr>
                <w:rFonts w:cs="Arial"/>
                <w:szCs w:val="18"/>
                <w:lang w:val="en-US"/>
              </w:rPr>
              <w:t>23dBm – Note 1</w:t>
            </w:r>
          </w:p>
        </w:tc>
        <w:tc>
          <w:tcPr>
            <w:tcW w:w="405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3B06AE8" w14:textId="77777777" w:rsidR="006E1F2B" w:rsidRDefault="00324459">
            <w:pPr>
              <w:pStyle w:val="TAL"/>
              <w:jc w:val="both"/>
            </w:pPr>
            <w:r>
              <w:rPr>
                <w:rFonts w:cs="Arial"/>
                <w:szCs w:val="18"/>
                <w:lang w:val="en-US"/>
              </w:rPr>
              <w:t>23dBm – Note 1</w:t>
            </w:r>
          </w:p>
          <w:p w14:paraId="7201F9AE" w14:textId="77777777" w:rsidR="006E1F2B" w:rsidRDefault="00324459">
            <w:pPr>
              <w:pStyle w:val="TAL"/>
              <w:jc w:val="both"/>
            </w:pPr>
            <w:r>
              <w:rPr>
                <w:rFonts w:cs="Arial"/>
                <w:szCs w:val="18"/>
                <w:lang w:val="en-US"/>
              </w:rPr>
              <w:t>EIRP should not exceed 43 dBm.</w:t>
            </w:r>
          </w:p>
        </w:tc>
      </w:tr>
      <w:tr w:rsidR="006E1F2B" w14:paraId="1B5CC9E6" w14:textId="77777777">
        <w:tc>
          <w:tcPr>
            <w:tcW w:w="259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23D7662" w14:textId="77777777" w:rsidR="006E1F2B" w:rsidRDefault="00324459">
            <w:pPr>
              <w:pStyle w:val="TAL"/>
              <w:jc w:val="both"/>
            </w:pPr>
            <w:r>
              <w:rPr>
                <w:lang w:val="en-US"/>
              </w:rPr>
              <w:t>UE noise figure, dB</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AF33C10" w14:textId="77777777" w:rsidR="006E1F2B" w:rsidRDefault="00324459">
            <w:pPr>
              <w:pStyle w:val="TAL"/>
              <w:jc w:val="both"/>
            </w:pPr>
            <w:r>
              <w:rPr>
                <w:rFonts w:cs="Arial"/>
                <w:szCs w:val="18"/>
                <w:lang w:val="en-US"/>
              </w:rPr>
              <w:t>9dB – Note 1</w:t>
            </w:r>
          </w:p>
        </w:tc>
        <w:tc>
          <w:tcPr>
            <w:tcW w:w="405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053D69B" w14:textId="77777777" w:rsidR="006E1F2B" w:rsidRDefault="00324459">
            <w:pPr>
              <w:pStyle w:val="TAL"/>
              <w:jc w:val="both"/>
            </w:pPr>
            <w:r>
              <w:rPr>
                <w:rFonts w:cs="Arial"/>
                <w:szCs w:val="18"/>
                <w:lang w:val="en-US"/>
              </w:rPr>
              <w:t>13dB – Note 1</w:t>
            </w:r>
          </w:p>
        </w:tc>
      </w:tr>
      <w:tr w:rsidR="006E1F2B" w14:paraId="34EE7E09" w14:textId="77777777">
        <w:tc>
          <w:tcPr>
            <w:tcW w:w="2594"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1BA3FBA" w14:textId="77777777" w:rsidR="006E1F2B" w:rsidRDefault="00324459">
            <w:pPr>
              <w:pStyle w:val="TAL"/>
              <w:jc w:val="both"/>
            </w:pPr>
            <w:r>
              <w:rPr>
                <w:lang w:val="en-US"/>
              </w:rPr>
              <w:t>UE antenna configuration</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12BA97B" w14:textId="77777777" w:rsidR="006E1F2B" w:rsidRDefault="00324459">
            <w:pPr>
              <w:pStyle w:val="TAL"/>
              <w:jc w:val="both"/>
            </w:pPr>
            <w:r>
              <w:rPr>
                <w:rFonts w:cs="Arial"/>
                <w:szCs w:val="18"/>
                <w:lang w:val="en-US"/>
              </w:rPr>
              <w:t>Panel model 1 – Note 1</w:t>
            </w:r>
          </w:p>
          <w:p w14:paraId="3311D336" w14:textId="77777777" w:rsidR="006E1F2B" w:rsidRDefault="00324459">
            <w:pPr>
              <w:pStyle w:val="TAL"/>
              <w:jc w:val="both"/>
            </w:pPr>
            <w:r>
              <w:rPr>
                <w:rStyle w:val="normaltextrun"/>
                <w:rFonts w:cs="Arial"/>
                <w:color w:val="181818"/>
                <w:szCs w:val="18"/>
                <w:lang w:val="en-US"/>
              </w:rPr>
              <w:t xml:space="preserve">Mg = 1, Ng = 1, P = 2, </w:t>
            </w:r>
            <w:proofErr w:type="spellStart"/>
            <w:r>
              <w:rPr>
                <w:rStyle w:val="spellingerror"/>
                <w:rFonts w:cs="Arial"/>
                <w:color w:val="181818"/>
                <w:szCs w:val="18"/>
                <w:lang w:val="en-US"/>
              </w:rPr>
              <w:t>dH</w:t>
            </w:r>
            <w:proofErr w:type="spellEnd"/>
            <w:r>
              <w:rPr>
                <w:rStyle w:val="normaltextrun"/>
                <w:rFonts w:cs="Arial"/>
                <w:color w:val="181818"/>
                <w:szCs w:val="18"/>
                <w:lang w:val="en-US"/>
              </w:rPr>
              <w:t xml:space="preserve"> = 0.5λ,</w:t>
            </w:r>
            <w:r>
              <w:rPr>
                <w:rFonts w:cs="Arial"/>
                <w:color w:val="181818"/>
                <w:szCs w:val="18"/>
                <w:lang w:val="en-US"/>
              </w:rPr>
              <w:br/>
            </w:r>
            <w:r>
              <w:rPr>
                <w:rStyle w:val="normaltextrun"/>
                <w:rFonts w:cs="Arial"/>
                <w:color w:val="181818"/>
                <w:szCs w:val="18"/>
                <w:lang w:val="en-US"/>
              </w:rPr>
              <w:t>(M, N, P, Mg, Ng) = (1, 2, 2, 1, 1)</w:t>
            </w:r>
          </w:p>
        </w:tc>
        <w:tc>
          <w:tcPr>
            <w:tcW w:w="405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DE09E73" w14:textId="77777777" w:rsidR="006E1F2B" w:rsidRDefault="00324459">
            <w:pPr>
              <w:pStyle w:val="TAL"/>
              <w:jc w:val="both"/>
            </w:pPr>
            <w:r>
              <w:rPr>
                <w:rFonts w:cs="Arial"/>
                <w:szCs w:val="18"/>
                <w:lang w:val="en-US"/>
              </w:rPr>
              <w:t>Multi-panel Configuration 1 and Panel Configuration a – Note 1</w:t>
            </w:r>
          </w:p>
          <w:p w14:paraId="3D2B87D5" w14:textId="77777777" w:rsidR="006E1F2B" w:rsidRDefault="00324459">
            <w:pPr>
              <w:pStyle w:val="B1"/>
              <w:spacing w:after="0"/>
              <w:ind w:left="460" w:hanging="230"/>
              <w:jc w:val="both"/>
            </w:pPr>
            <w:r>
              <w:rPr>
                <w:rFonts w:ascii="Arial" w:hAnsi="Arial" w:cs="Arial"/>
                <w:sz w:val="18"/>
                <w:szCs w:val="18"/>
                <w:lang w:val="en-US"/>
              </w:rPr>
              <w:t>-</w:t>
            </w:r>
            <w:r>
              <w:rPr>
                <w:rFonts w:ascii="Arial" w:hAnsi="Arial" w:cs="Arial"/>
                <w:sz w:val="18"/>
                <w:szCs w:val="18"/>
                <w:lang w:val="en-US"/>
              </w:rPr>
              <w:tab/>
              <w:t xml:space="preserve">Multi-panel Configuration 1: (Mg, Ng) = (1, 2); </w:t>
            </w:r>
            <w:proofErr w:type="spellStart"/>
            <w:r>
              <w:rPr>
                <w:rFonts w:ascii="Arial" w:hAnsi="Arial" w:cs="Arial"/>
                <w:sz w:val="18"/>
                <w:szCs w:val="18"/>
                <w:lang w:val="en-US"/>
              </w:rPr>
              <w:t>Θ</w:t>
            </w:r>
            <w:proofErr w:type="gramStart"/>
            <w:r>
              <w:rPr>
                <w:rFonts w:ascii="Arial" w:hAnsi="Arial" w:cs="Arial"/>
                <w:sz w:val="18"/>
                <w:szCs w:val="18"/>
                <w:lang w:val="en-US"/>
              </w:rPr>
              <w:t>mg,ng</w:t>
            </w:r>
            <w:proofErr w:type="spellEnd"/>
            <w:proofErr w:type="gramEnd"/>
            <w:r>
              <w:rPr>
                <w:rFonts w:ascii="Arial" w:hAnsi="Arial" w:cs="Arial"/>
                <w:sz w:val="18"/>
                <w:szCs w:val="18"/>
                <w:lang w:val="en-US"/>
              </w:rPr>
              <w:t>=90°; Ω0,1=Ω0,0+180°; (</w:t>
            </w:r>
            <w:proofErr w:type="spellStart"/>
            <w:r>
              <w:rPr>
                <w:rFonts w:ascii="Arial" w:hAnsi="Arial" w:cs="Arial"/>
                <w:sz w:val="18"/>
                <w:szCs w:val="18"/>
                <w:lang w:val="en-US"/>
              </w:rPr>
              <w:t>dg,H</w:t>
            </w:r>
            <w:proofErr w:type="spellEnd"/>
            <w:r>
              <w:rPr>
                <w:rFonts w:ascii="Arial" w:hAnsi="Arial" w:cs="Arial"/>
                <w:sz w:val="18"/>
                <w:szCs w:val="18"/>
                <w:lang w:val="en-US"/>
              </w:rPr>
              <w:t xml:space="preserve">, </w:t>
            </w:r>
            <w:proofErr w:type="spellStart"/>
            <w:r>
              <w:rPr>
                <w:rFonts w:ascii="Arial" w:hAnsi="Arial" w:cs="Arial"/>
                <w:sz w:val="18"/>
                <w:szCs w:val="18"/>
                <w:lang w:val="en-US"/>
              </w:rPr>
              <w:t>dg,V</w:t>
            </w:r>
            <w:proofErr w:type="spellEnd"/>
            <w:r>
              <w:rPr>
                <w:rFonts w:ascii="Arial" w:hAnsi="Arial" w:cs="Arial"/>
                <w:sz w:val="18"/>
                <w:szCs w:val="18"/>
                <w:lang w:val="en-US"/>
              </w:rPr>
              <w:t>)=(0,0)</w:t>
            </w:r>
          </w:p>
          <w:p w14:paraId="4A06B8FD" w14:textId="77777777" w:rsidR="006E1F2B" w:rsidRDefault="00324459">
            <w:pPr>
              <w:pStyle w:val="B1"/>
              <w:spacing w:after="0"/>
              <w:ind w:left="460" w:hanging="230"/>
              <w:jc w:val="both"/>
            </w:pPr>
            <w:r>
              <w:rPr>
                <w:rFonts w:ascii="Arial" w:hAnsi="Arial" w:cs="Arial"/>
                <w:sz w:val="18"/>
                <w:szCs w:val="18"/>
                <w:lang w:val="en-US"/>
              </w:rPr>
              <w:t>-</w:t>
            </w:r>
            <w:r>
              <w:rPr>
                <w:rFonts w:ascii="Arial" w:hAnsi="Arial" w:cs="Arial"/>
                <w:sz w:val="18"/>
                <w:szCs w:val="18"/>
                <w:lang w:val="en-US"/>
              </w:rPr>
              <w:tab/>
              <w:t>Panel Configuration a:</w:t>
            </w:r>
          </w:p>
          <w:p w14:paraId="7EF3AE1A" w14:textId="77777777" w:rsidR="006E1F2B" w:rsidRDefault="00324459">
            <w:pPr>
              <w:pStyle w:val="B2"/>
              <w:spacing w:after="0"/>
              <w:ind w:left="689" w:hanging="230"/>
              <w:jc w:val="both"/>
            </w:pPr>
            <w:r>
              <w:rPr>
                <w:rFonts w:ascii="Arial" w:hAnsi="Arial" w:cs="Arial"/>
                <w:sz w:val="18"/>
                <w:szCs w:val="18"/>
                <w:lang w:val="en-US"/>
              </w:rPr>
              <w:t>-</w:t>
            </w:r>
            <w:r>
              <w:rPr>
                <w:rFonts w:ascii="Arial" w:hAnsi="Arial" w:cs="Arial"/>
                <w:sz w:val="18"/>
                <w:szCs w:val="18"/>
                <w:lang w:val="en-US"/>
              </w:rPr>
              <w:tab/>
              <w:t xml:space="preserve">Each antenna array has shape </w:t>
            </w:r>
            <w:proofErr w:type="spellStart"/>
            <w:r>
              <w:rPr>
                <w:rFonts w:ascii="Arial" w:hAnsi="Arial" w:cs="Arial"/>
                <w:sz w:val="18"/>
                <w:szCs w:val="18"/>
                <w:lang w:val="en-US"/>
              </w:rPr>
              <w:t>dH</w:t>
            </w:r>
            <w:proofErr w:type="spellEnd"/>
            <w:r>
              <w:rPr>
                <w:rFonts w:ascii="Arial" w:hAnsi="Arial" w:cs="Arial"/>
                <w:sz w:val="18"/>
                <w:szCs w:val="18"/>
                <w:lang w:val="en-US"/>
              </w:rPr>
              <w:t>=</w:t>
            </w:r>
            <w:proofErr w:type="spellStart"/>
            <w:r>
              <w:rPr>
                <w:rFonts w:ascii="Arial" w:hAnsi="Arial" w:cs="Arial"/>
                <w:sz w:val="18"/>
                <w:szCs w:val="18"/>
                <w:lang w:val="en-US"/>
              </w:rPr>
              <w:t>dV</w:t>
            </w:r>
            <w:proofErr w:type="spellEnd"/>
            <w:r>
              <w:rPr>
                <w:rFonts w:ascii="Arial" w:hAnsi="Arial" w:cs="Arial"/>
                <w:sz w:val="18"/>
                <w:szCs w:val="18"/>
                <w:lang w:val="en-US"/>
              </w:rPr>
              <w:t>=0.5λ</w:t>
            </w:r>
          </w:p>
          <w:p w14:paraId="656B26BC" w14:textId="77777777" w:rsidR="006E1F2B" w:rsidRDefault="00324459">
            <w:pPr>
              <w:pStyle w:val="B2"/>
              <w:spacing w:after="0"/>
              <w:ind w:left="689" w:hanging="230"/>
              <w:jc w:val="both"/>
            </w:pPr>
            <w:r>
              <w:rPr>
                <w:rFonts w:ascii="Arial" w:hAnsi="Arial" w:cs="Arial"/>
                <w:sz w:val="18"/>
                <w:szCs w:val="18"/>
                <w:lang w:val="en-US"/>
              </w:rPr>
              <w:t>-</w:t>
            </w:r>
            <w:r>
              <w:rPr>
                <w:rFonts w:ascii="Arial" w:hAnsi="Arial" w:cs="Arial"/>
                <w:sz w:val="18"/>
                <w:szCs w:val="18"/>
                <w:lang w:val="en-US"/>
              </w:rPr>
              <w:tab/>
              <w:t>Config a: (M, N, P) = (2, 4, 2),</w:t>
            </w:r>
          </w:p>
          <w:p w14:paraId="5AB9EDE9" w14:textId="77777777" w:rsidR="006E1F2B" w:rsidRDefault="00324459">
            <w:pPr>
              <w:pStyle w:val="B2"/>
              <w:spacing w:after="0"/>
              <w:ind w:left="689" w:hanging="230"/>
              <w:jc w:val="both"/>
            </w:pPr>
            <w:r>
              <w:rPr>
                <w:rFonts w:ascii="Arial" w:hAnsi="Arial" w:cs="Arial"/>
                <w:sz w:val="18"/>
                <w:szCs w:val="18"/>
                <w:lang w:val="en-US"/>
              </w:rPr>
              <w:t>-</w:t>
            </w:r>
            <w:r>
              <w:rPr>
                <w:rFonts w:ascii="Arial" w:hAnsi="Arial" w:cs="Arial"/>
                <w:sz w:val="18"/>
                <w:szCs w:val="18"/>
                <w:lang w:val="en-US"/>
              </w:rPr>
              <w:tab/>
              <w:t>the polarization angles are 0° and 90°</w:t>
            </w:r>
          </w:p>
          <w:p w14:paraId="29E8E7E6" w14:textId="77777777" w:rsidR="006E1F2B" w:rsidRDefault="00324459">
            <w:pPr>
              <w:pStyle w:val="B2"/>
              <w:spacing w:after="0"/>
              <w:ind w:left="689" w:hanging="230"/>
              <w:jc w:val="both"/>
            </w:pPr>
            <w:r>
              <w:rPr>
                <w:rFonts w:ascii="Arial" w:hAnsi="Arial" w:cs="Arial"/>
                <w:sz w:val="18"/>
                <w:szCs w:val="18"/>
                <w:lang w:val="en-US"/>
              </w:rPr>
              <w:t>-</w:t>
            </w:r>
            <w:r>
              <w:rPr>
                <w:rFonts w:ascii="Arial" w:hAnsi="Arial" w:cs="Arial"/>
                <w:sz w:val="18"/>
                <w:szCs w:val="18"/>
                <w:lang w:val="en-US"/>
              </w:rPr>
              <w:tab/>
              <w:t>The antenna elements of the same polarization of the same panel is virtualized into one TXRU</w:t>
            </w:r>
          </w:p>
          <w:p w14:paraId="67153DBE" w14:textId="77777777" w:rsidR="006E1F2B" w:rsidRDefault="00324459">
            <w:pPr>
              <w:pStyle w:val="B2"/>
              <w:spacing w:after="0"/>
              <w:ind w:left="689" w:hanging="230"/>
              <w:jc w:val="both"/>
            </w:pPr>
            <w:r>
              <w:rPr>
                <w:rFonts w:ascii="Arial" w:hAnsi="Arial" w:cs="Arial"/>
                <w:sz w:val="18"/>
                <w:szCs w:val="18"/>
                <w:lang w:val="en-US"/>
              </w:rPr>
              <w:t>-</w:t>
            </w:r>
            <w:r>
              <w:rPr>
                <w:rFonts w:ascii="Arial" w:hAnsi="Arial" w:cs="Arial"/>
                <w:sz w:val="18"/>
                <w:szCs w:val="18"/>
                <w:lang w:val="en-US"/>
              </w:rPr>
              <w:tab/>
              <w:t>Optional: Provided by company</w:t>
            </w:r>
          </w:p>
        </w:tc>
      </w:tr>
      <w:tr w:rsidR="006E1F2B" w14:paraId="2D35BED3" w14:textId="77777777">
        <w:tc>
          <w:tcPr>
            <w:tcW w:w="259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C65FB35" w14:textId="77777777" w:rsidR="006E1F2B" w:rsidRDefault="00324459">
            <w:pPr>
              <w:pStyle w:val="TAL"/>
              <w:jc w:val="both"/>
            </w:pPr>
            <w:r>
              <w:rPr>
                <w:lang w:val="en-US"/>
              </w:rPr>
              <w:t xml:space="preserve">UE antenna radiation pattern </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F62F539" w14:textId="77777777" w:rsidR="006E1F2B" w:rsidRDefault="00324459">
            <w:pPr>
              <w:pStyle w:val="TAL"/>
              <w:jc w:val="both"/>
            </w:pPr>
            <w:r>
              <w:rPr>
                <w:rFonts w:cs="Arial"/>
                <w:szCs w:val="18"/>
                <w:lang w:val="en-US"/>
              </w:rPr>
              <w:t>Omni, 0dBi</w:t>
            </w:r>
          </w:p>
        </w:tc>
        <w:tc>
          <w:tcPr>
            <w:tcW w:w="405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26664CD" w14:textId="77777777" w:rsidR="006E1F2B" w:rsidRDefault="00324459">
            <w:pPr>
              <w:pStyle w:val="TAL"/>
              <w:jc w:val="both"/>
            </w:pPr>
            <w:r>
              <w:rPr>
                <w:rFonts w:cs="Arial"/>
                <w:szCs w:val="18"/>
                <w:lang w:val="en-US"/>
              </w:rPr>
              <w:t xml:space="preserve">Antenna model according to Table 6.1.1-2 </w:t>
            </w:r>
            <w:r>
              <w:rPr>
                <w:lang w:val="en-US"/>
              </w:rPr>
              <w:t>in TR 38.855</w:t>
            </w:r>
          </w:p>
        </w:tc>
      </w:tr>
      <w:tr w:rsidR="006E1F2B" w14:paraId="2172989B" w14:textId="77777777">
        <w:tc>
          <w:tcPr>
            <w:tcW w:w="259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1E680E5" w14:textId="77777777" w:rsidR="006E1F2B" w:rsidRDefault="00324459">
            <w:pPr>
              <w:pStyle w:val="TAL"/>
              <w:jc w:val="both"/>
            </w:pPr>
            <w:r>
              <w:rPr>
                <w:lang w:val="en-US"/>
              </w:rPr>
              <w:t>PHY/link level abstraction</w:t>
            </w:r>
          </w:p>
        </w:tc>
        <w:tc>
          <w:tcPr>
            <w:tcW w:w="7316"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2EB8C50" w14:textId="77777777" w:rsidR="006E1F2B" w:rsidRDefault="00324459">
            <w:pPr>
              <w:pStyle w:val="TAL"/>
              <w:jc w:val="both"/>
            </w:pPr>
            <w:r>
              <w:rPr>
                <w:rFonts w:cs="Arial"/>
                <w:szCs w:val="18"/>
                <w:lang w:val="en-US"/>
              </w:rPr>
              <w:t>Explicit simulation of all links, individual parameters estimation is applied. Companies to provide description of applied algorithms for estimation of signal location parameters.</w:t>
            </w:r>
          </w:p>
        </w:tc>
      </w:tr>
      <w:tr w:rsidR="006E1F2B" w14:paraId="1593667C" w14:textId="77777777">
        <w:tc>
          <w:tcPr>
            <w:tcW w:w="259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4553DFB" w14:textId="77777777" w:rsidR="006E1F2B" w:rsidRDefault="00324459">
            <w:pPr>
              <w:pStyle w:val="TAL"/>
              <w:jc w:val="both"/>
            </w:pPr>
            <w:r>
              <w:rPr>
                <w:lang w:val="en-US"/>
              </w:rPr>
              <w:t>Network synchronization</w:t>
            </w:r>
          </w:p>
        </w:tc>
        <w:tc>
          <w:tcPr>
            <w:tcW w:w="7316"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537A9EB" w14:textId="77777777" w:rsidR="006E1F2B" w:rsidRDefault="00324459">
            <w:pPr>
              <w:pStyle w:val="TAL"/>
              <w:jc w:val="both"/>
            </w:pPr>
            <w:r>
              <w:rPr>
                <w:rFonts w:cs="Arial"/>
                <w:szCs w:val="18"/>
                <w:lang w:val="en-US"/>
              </w:rPr>
              <w:t xml:space="preserve">The network synchronization error, per UE dropping, is defined as a truncated Gaussian distribution of (T1 ns) rms values between an </w:t>
            </w:r>
            <w:proofErr w:type="spellStart"/>
            <w:r>
              <w:rPr>
                <w:rFonts w:cs="Arial"/>
                <w:szCs w:val="18"/>
                <w:lang w:val="en-US"/>
              </w:rPr>
              <w:t>eNB</w:t>
            </w:r>
            <w:proofErr w:type="spellEnd"/>
            <w:r>
              <w:rPr>
                <w:rFonts w:cs="Arial"/>
                <w:szCs w:val="18"/>
                <w:lang w:val="en-US"/>
              </w:rPr>
              <w:t xml:space="preserve"> and a timing reference source which is assumed to have perfect timing, subject to a largest timing difference of T2 ns, where T2 = 2*T1</w:t>
            </w:r>
          </w:p>
          <w:p w14:paraId="137E46C9" w14:textId="77777777" w:rsidR="006E1F2B" w:rsidRDefault="00324459">
            <w:pPr>
              <w:pStyle w:val="TAL"/>
              <w:jc w:val="both"/>
            </w:pPr>
            <w:r>
              <w:rPr>
                <w:rFonts w:cs="Arial"/>
                <w:szCs w:val="18"/>
                <w:lang w:val="en-US"/>
              </w:rPr>
              <w:t>–</w:t>
            </w:r>
            <w:r>
              <w:rPr>
                <w:rFonts w:cs="Arial"/>
                <w:szCs w:val="18"/>
                <w:lang w:val="en-US"/>
              </w:rPr>
              <w:tab/>
              <w:t>That is, the range of timing errors is [-T2, T2]</w:t>
            </w:r>
          </w:p>
          <w:p w14:paraId="6E6E3926" w14:textId="77777777" w:rsidR="006E1F2B" w:rsidRDefault="00324459">
            <w:pPr>
              <w:pStyle w:val="TAL"/>
              <w:jc w:val="both"/>
            </w:pPr>
            <w:r>
              <w:rPr>
                <w:rFonts w:cs="Arial"/>
                <w:szCs w:val="18"/>
                <w:lang w:val="en-US"/>
              </w:rPr>
              <w:t>–</w:t>
            </w:r>
            <w:r>
              <w:rPr>
                <w:rFonts w:cs="Arial"/>
                <w:szCs w:val="18"/>
                <w:lang w:val="en-US"/>
              </w:rPr>
              <w:tab/>
              <w:t>T1:</w:t>
            </w:r>
            <w:r>
              <w:rPr>
                <w:rFonts w:cs="Arial"/>
                <w:szCs w:val="18"/>
                <w:lang w:val="en-US"/>
              </w:rPr>
              <w:tab/>
              <w:t xml:space="preserve">0ns (perfectly synchronized), 50ns </w:t>
            </w:r>
          </w:p>
        </w:tc>
      </w:tr>
      <w:tr w:rsidR="006E1F2B" w14:paraId="52179D38" w14:textId="77777777">
        <w:tc>
          <w:tcPr>
            <w:tcW w:w="991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2CF6A4E" w14:textId="77777777" w:rsidR="006E1F2B" w:rsidRDefault="00324459">
            <w:pPr>
              <w:pStyle w:val="TAN"/>
              <w:ind w:left="689" w:hanging="689"/>
              <w:jc w:val="both"/>
            </w:pPr>
            <w:r>
              <w:rPr>
                <w:lang w:val="en-US"/>
              </w:rPr>
              <w:t>Note 1:</w:t>
            </w:r>
            <w:r>
              <w:rPr>
                <w:lang w:val="en-US"/>
              </w:rPr>
              <w:tab/>
              <w:t>According to 3GPP TR 38.802</w:t>
            </w:r>
          </w:p>
          <w:p w14:paraId="7A2E0235" w14:textId="77777777" w:rsidR="006E1F2B" w:rsidRDefault="00324459">
            <w:pPr>
              <w:pStyle w:val="TAN"/>
              <w:ind w:left="689" w:hanging="689"/>
              <w:jc w:val="both"/>
            </w:pPr>
            <w:r>
              <w:rPr>
                <w:lang w:val="en-US"/>
              </w:rPr>
              <w:t>Note 2:</w:t>
            </w:r>
            <w:r>
              <w:rPr>
                <w:lang w:val="en-US"/>
              </w:rPr>
              <w:tab/>
              <w:t>According to 3GPP TR 38.901</w:t>
            </w:r>
          </w:p>
        </w:tc>
      </w:tr>
    </w:tbl>
    <w:p w14:paraId="6EF751D2" w14:textId="77777777" w:rsidR="006E1F2B" w:rsidRDefault="006E1F2B">
      <w:pPr>
        <w:jc w:val="both"/>
      </w:pPr>
    </w:p>
    <w:p w14:paraId="210AD562" w14:textId="77777777" w:rsidR="006E1F2B" w:rsidRDefault="00324459">
      <w:pPr>
        <w:jc w:val="both"/>
      </w:pPr>
      <w:r>
        <w:t xml:space="preserve">Table 1: </w:t>
      </w:r>
      <w:r>
        <w:rPr>
          <w:lang w:val="en-US"/>
        </w:rPr>
        <w:t xml:space="preserve">Common scenario parameters applicable for all scenarios in Rel 17 study on positioning enhancement </w:t>
      </w:r>
    </w:p>
    <w:p w14:paraId="37A8E040" w14:textId="77777777" w:rsidR="006E1F2B" w:rsidRDefault="006E1F2B">
      <w:pPr>
        <w:jc w:val="both"/>
      </w:pPr>
    </w:p>
    <w:p w14:paraId="64AFD44F" w14:textId="77777777" w:rsidR="006E1F2B" w:rsidRDefault="00324459">
      <w:pPr>
        <w:jc w:val="both"/>
      </w:pPr>
      <w:r>
        <w:t>Only difference in table is the introduction 20 MHz bandwidth instead of 5Mhz bandwidth. Although to achieve the required accuracy 5MHz is not sufficient, 50 MHz bandwidth is difficult to realise practically below 2 GHz band in some of the region (e.g. Indian region). Therefore, to have evaluation of less than 50 MHz bandwidth e.g. 10 MHz or 20 MHz is important. Similar case with below 4 GHz.</w:t>
      </w:r>
    </w:p>
    <w:p w14:paraId="4870CB77" w14:textId="77777777" w:rsidR="006E1F2B" w:rsidRDefault="006E1F2B">
      <w:pPr>
        <w:jc w:val="both"/>
      </w:pPr>
    </w:p>
    <w:p w14:paraId="2A3A7C3C" w14:textId="77777777" w:rsidR="006E1F2B" w:rsidRDefault="00324459">
      <w:pPr>
        <w:jc w:val="both"/>
      </w:pPr>
      <w:r>
        <w:rPr>
          <w:b/>
          <w:bCs/>
          <w:u w:val="single"/>
        </w:rPr>
        <w:t>Proposal 6</w:t>
      </w:r>
      <w:r>
        <w:rPr>
          <w:b/>
          <w:bCs/>
        </w:rPr>
        <w:t xml:space="preserve">: Table 1 should be agreed as </w:t>
      </w:r>
      <w:r>
        <w:rPr>
          <w:b/>
          <w:bCs/>
          <w:lang w:val="en-US"/>
        </w:rPr>
        <w:t>common scenario parameters.</w:t>
      </w:r>
    </w:p>
    <w:p w14:paraId="20BCC1C5" w14:textId="77777777" w:rsidR="006E1F2B" w:rsidRDefault="00324459">
      <w:pPr>
        <w:pStyle w:val="Heading1"/>
        <w:numPr>
          <w:ilvl w:val="0"/>
          <w:numId w:val="2"/>
        </w:numPr>
        <w:jc w:val="both"/>
      </w:pPr>
      <w:r>
        <w:t xml:space="preserve"> Other Parameters</w:t>
      </w:r>
    </w:p>
    <w:p w14:paraId="04627059" w14:textId="77777777" w:rsidR="006E1F2B" w:rsidRDefault="00324459">
      <w:pPr>
        <w:pStyle w:val="Heading3"/>
        <w:numPr>
          <w:ilvl w:val="2"/>
          <w:numId w:val="2"/>
        </w:numPr>
        <w:jc w:val="both"/>
      </w:pPr>
      <w:r>
        <w:t xml:space="preserve"> Evaluation parameters for IIoT scenarios</w:t>
      </w:r>
    </w:p>
    <w:p w14:paraId="4F7CA846" w14:textId="77777777" w:rsidR="006E1F2B" w:rsidRDefault="00324459">
      <w:pPr>
        <w:jc w:val="both"/>
      </w:pPr>
      <w:r>
        <w:t xml:space="preserve">For IIoT scenarios following table from 38.901 [1] Table </w:t>
      </w:r>
      <w:r>
        <w:rPr>
          <w:lang w:val="en-US"/>
        </w:rPr>
        <w:t xml:space="preserve">7.8.4 </w:t>
      </w:r>
      <w:r>
        <w:t xml:space="preserve">can be reused. </w:t>
      </w:r>
    </w:p>
    <w:p w14:paraId="7C506A21" w14:textId="77777777" w:rsidR="006E1F2B" w:rsidRDefault="006E1F2B">
      <w:pPr>
        <w:jc w:val="both"/>
      </w:pPr>
    </w:p>
    <w:tbl>
      <w:tblPr>
        <w:tblW w:w="10063" w:type="dxa"/>
        <w:tblInd w:w="1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1025"/>
        <w:gridCol w:w="3288"/>
        <w:gridCol w:w="2600"/>
        <w:gridCol w:w="3150"/>
      </w:tblGrid>
      <w:tr w:rsidR="006E1F2B" w14:paraId="26C73F6D" w14:textId="77777777">
        <w:trPr>
          <w:trHeight w:val="563"/>
        </w:trPr>
        <w:tc>
          <w:tcPr>
            <w:tcW w:w="102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40478FD" w14:textId="77777777" w:rsidR="006E1F2B" w:rsidRDefault="006E1F2B">
            <w:pPr>
              <w:pStyle w:val="TAH"/>
              <w:jc w:val="both"/>
              <w:rPr>
                <w:lang w:val="en-US"/>
              </w:rPr>
            </w:pPr>
          </w:p>
        </w:tc>
        <w:tc>
          <w:tcPr>
            <w:tcW w:w="3289"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AA24546" w14:textId="77777777" w:rsidR="006E1F2B" w:rsidRDefault="00324459">
            <w:pPr>
              <w:pStyle w:val="TAH"/>
              <w:jc w:val="both"/>
            </w:pPr>
            <w:r>
              <w:rPr>
                <w:rFonts w:ascii="Times New Roman" w:hAnsi="Times New Roman"/>
                <w:sz w:val="20"/>
                <w:lang w:val="en-US"/>
              </w:rPr>
              <w:t xml:space="preserve">FR1 Specific Values </w:t>
            </w:r>
          </w:p>
        </w:tc>
        <w:tc>
          <w:tcPr>
            <w:tcW w:w="5749"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E484D39" w14:textId="77777777" w:rsidR="006E1F2B" w:rsidRDefault="00324459">
            <w:pPr>
              <w:pStyle w:val="TAH"/>
              <w:jc w:val="both"/>
            </w:pPr>
            <w:r>
              <w:rPr>
                <w:rFonts w:ascii="Times New Roman" w:hAnsi="Times New Roman"/>
                <w:sz w:val="20"/>
                <w:lang w:val="en-US"/>
              </w:rPr>
              <w:t>FR2 Specific Values</w:t>
            </w:r>
          </w:p>
        </w:tc>
      </w:tr>
      <w:tr w:rsidR="006E1F2B" w14:paraId="2EA8CFA9" w14:textId="77777777">
        <w:trPr>
          <w:trHeight w:val="1475"/>
        </w:trPr>
        <w:tc>
          <w:tcPr>
            <w:tcW w:w="102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4D90985" w14:textId="77777777" w:rsidR="006E1F2B" w:rsidRDefault="00324459">
            <w:pPr>
              <w:pStyle w:val="TAH"/>
              <w:jc w:val="both"/>
            </w:pPr>
            <w:r>
              <w:rPr>
                <w:b w:val="0"/>
                <w:lang w:val="en-US"/>
              </w:rPr>
              <w:t>Channel model</w:t>
            </w:r>
          </w:p>
        </w:tc>
        <w:tc>
          <w:tcPr>
            <w:tcW w:w="3289"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54F13C0" w14:textId="77777777" w:rsidR="006E1F2B" w:rsidRDefault="00324459">
            <w:pPr>
              <w:pStyle w:val="TAH"/>
              <w:jc w:val="both"/>
            </w:pPr>
            <w:r>
              <w:rPr>
                <w:rFonts w:ascii="Times New Roman" w:hAnsi="Times New Roman"/>
                <w:b w:val="0"/>
                <w:sz w:val="20"/>
                <w:lang w:val="en-US"/>
              </w:rPr>
              <w:t>InF-DL, InF-DH, [InF-SL, InF-SH]</w:t>
            </w:r>
          </w:p>
        </w:tc>
        <w:tc>
          <w:tcPr>
            <w:tcW w:w="5749"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5B57DD2" w14:textId="77777777" w:rsidR="006E1F2B" w:rsidRDefault="00324459">
            <w:pPr>
              <w:pStyle w:val="TAH"/>
              <w:jc w:val="both"/>
            </w:pPr>
            <w:r>
              <w:rPr>
                <w:rFonts w:ascii="Times New Roman" w:hAnsi="Times New Roman"/>
                <w:b w:val="0"/>
                <w:sz w:val="20"/>
                <w:lang w:val="en-US"/>
              </w:rPr>
              <w:t>InF-DL, InF-DH, [InF-SL, InF-SH]</w:t>
            </w:r>
          </w:p>
        </w:tc>
      </w:tr>
      <w:tr w:rsidR="006E1F2B" w14:paraId="07DF0AED" w14:textId="77777777">
        <w:trPr>
          <w:trHeight w:val="850"/>
        </w:trPr>
        <w:tc>
          <w:tcPr>
            <w:tcW w:w="1025"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D334F3A" w14:textId="77777777" w:rsidR="006E1F2B" w:rsidRDefault="00324459">
            <w:pPr>
              <w:pStyle w:val="TAL"/>
              <w:jc w:val="both"/>
            </w:pPr>
            <w:r>
              <w:rPr>
                <w:lang w:val="en-US"/>
              </w:rPr>
              <w:lastRenderedPageBreak/>
              <w:t xml:space="preserve">Layout </w:t>
            </w:r>
          </w:p>
        </w:tc>
        <w:tc>
          <w:tcPr>
            <w:tcW w:w="3289"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4732CD3" w14:textId="77777777" w:rsidR="006E1F2B" w:rsidRDefault="00324459">
            <w:pPr>
              <w:pStyle w:val="TAL"/>
              <w:jc w:val="both"/>
              <w:rPr>
                <w:rFonts w:eastAsia="SimSun" w:cs="Arial"/>
                <w:szCs w:val="18"/>
                <w:lang w:val="en-US"/>
              </w:rPr>
            </w:pPr>
            <w:r>
              <w:rPr>
                <w:rFonts w:eastAsia="SimSun" w:cs="Arial"/>
                <w:szCs w:val="18"/>
              </w:rPr>
              <w:t>Hall size</w:t>
            </w:r>
          </w:p>
        </w:tc>
        <w:tc>
          <w:tcPr>
            <w:tcW w:w="5749"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18B82CD" w14:textId="77777777" w:rsidR="006E1F2B" w:rsidRDefault="00324459">
            <w:pPr>
              <w:keepNext/>
              <w:keepLines/>
              <w:jc w:val="both"/>
              <w:rPr>
                <w:b/>
                <w:bCs/>
              </w:rPr>
            </w:pPr>
            <w:r>
              <w:rPr>
                <w:rFonts w:ascii="Arial" w:hAnsi="Arial" w:cs="Arial"/>
                <w:b/>
                <w:bCs/>
                <w:sz w:val="18"/>
                <w:szCs w:val="18"/>
                <w:lang w:val="en-US"/>
              </w:rPr>
              <w:t>300x150 m</w:t>
            </w:r>
          </w:p>
          <w:p w14:paraId="4025DEBF" w14:textId="77777777" w:rsidR="006E1F2B" w:rsidRDefault="006E1F2B">
            <w:pPr>
              <w:keepNext/>
              <w:keepLines/>
              <w:jc w:val="both"/>
              <w:rPr>
                <w:rFonts w:ascii="Arial" w:hAnsi="Arial" w:cs="Arial"/>
                <w:sz w:val="18"/>
                <w:szCs w:val="18"/>
                <w:lang w:val="en-US"/>
              </w:rPr>
            </w:pPr>
          </w:p>
        </w:tc>
      </w:tr>
      <w:tr w:rsidR="006E1F2B" w14:paraId="4E94E534" w14:textId="77777777">
        <w:trPr>
          <w:trHeight w:val="3271"/>
        </w:trPr>
        <w:tc>
          <w:tcPr>
            <w:tcW w:w="1025"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2B2C8CB" w14:textId="77777777" w:rsidR="006E1F2B" w:rsidRDefault="006E1F2B">
            <w:pPr>
              <w:pStyle w:val="TAL"/>
              <w:jc w:val="both"/>
              <w:rPr>
                <w:lang w:val="de-DE"/>
              </w:rPr>
            </w:pPr>
          </w:p>
        </w:tc>
        <w:tc>
          <w:tcPr>
            <w:tcW w:w="3289"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FCDCB0A" w14:textId="77777777" w:rsidR="006E1F2B" w:rsidRDefault="00324459">
            <w:pPr>
              <w:pStyle w:val="TAL"/>
              <w:jc w:val="both"/>
            </w:pPr>
            <w:r>
              <w:rPr>
                <w:rFonts w:eastAsia="SimSun" w:cs="Arial"/>
                <w:szCs w:val="18"/>
              </w:rPr>
              <w:t>BS locations</w:t>
            </w:r>
          </w:p>
        </w:tc>
        <w:tc>
          <w:tcPr>
            <w:tcW w:w="5749"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4F340C9" w14:textId="77777777" w:rsidR="006E1F2B" w:rsidRDefault="00324459">
            <w:pPr>
              <w:spacing w:line="252" w:lineRule="auto"/>
              <w:jc w:val="both"/>
            </w:pPr>
            <w:r>
              <w:rPr>
                <w:rFonts w:ascii="Arial" w:hAnsi="Arial" w:cs="Arial"/>
                <w:sz w:val="18"/>
                <w:szCs w:val="18"/>
                <w:lang w:val="en-US"/>
              </w:rPr>
              <w:t>18 BSs on a square lattice with spacing D, located D/2 from the walls.</w:t>
            </w:r>
          </w:p>
          <w:p w14:paraId="43092620" w14:textId="77777777" w:rsidR="006E1F2B" w:rsidRDefault="00324459">
            <w:pPr>
              <w:pStyle w:val="B1"/>
              <w:spacing w:after="0"/>
              <w:jc w:val="both"/>
            </w:pPr>
            <w:r>
              <w:rPr>
                <w:lang w:val="en-US"/>
              </w:rPr>
              <w:t>-</w:t>
            </w:r>
            <w:r>
              <w:rPr>
                <w:lang w:val="en-US"/>
              </w:rPr>
              <w:tab/>
              <w:t>for the big hall (L=300m x W=150m): D=50m</w:t>
            </w:r>
          </w:p>
          <w:p w14:paraId="510881ED" w14:textId="77777777" w:rsidR="006E1F2B" w:rsidRDefault="00324459">
            <w:pPr>
              <w:keepNext/>
              <w:keepLines/>
              <w:jc w:val="both"/>
            </w:pPr>
            <w:r>
              <w:rPr>
                <w:noProof/>
              </w:rPr>
              <w:drawing>
                <wp:inline distT="0" distB="0" distL="0" distR="0" wp14:anchorId="5DC12BA7" wp14:editId="56B49E3A">
                  <wp:extent cx="3257550" cy="17208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5"/>
                          <a:stretch>
                            <a:fillRect/>
                          </a:stretch>
                        </pic:blipFill>
                        <pic:spPr bwMode="auto">
                          <a:xfrm>
                            <a:off x="0" y="0"/>
                            <a:ext cx="3257550" cy="1720850"/>
                          </a:xfrm>
                          <a:prstGeom prst="rect">
                            <a:avLst/>
                          </a:prstGeom>
                        </pic:spPr>
                      </pic:pic>
                    </a:graphicData>
                  </a:graphic>
                </wp:inline>
              </w:drawing>
            </w:r>
          </w:p>
          <w:p w14:paraId="4E6D34F1" w14:textId="77777777" w:rsidR="006E1F2B" w:rsidRDefault="00324459">
            <w:pPr>
              <w:keepNext/>
              <w:keepLines/>
              <w:jc w:val="both"/>
            </w:pPr>
            <w:r>
              <w:rPr>
                <w:lang w:val="en-US"/>
              </w:rPr>
              <w:t>FFS: asymmetrical location for the BSs</w:t>
            </w:r>
          </w:p>
        </w:tc>
      </w:tr>
      <w:tr w:rsidR="006E1F2B" w14:paraId="0EEEDCAF" w14:textId="77777777">
        <w:trPr>
          <w:trHeight w:val="337"/>
        </w:trPr>
        <w:tc>
          <w:tcPr>
            <w:tcW w:w="1025"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129EC0F" w14:textId="77777777" w:rsidR="006E1F2B" w:rsidRDefault="006E1F2B">
            <w:pPr>
              <w:pStyle w:val="TAL"/>
              <w:jc w:val="both"/>
              <w:rPr>
                <w:lang w:val="en-US"/>
              </w:rPr>
            </w:pPr>
          </w:p>
        </w:tc>
        <w:tc>
          <w:tcPr>
            <w:tcW w:w="3289"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051D212" w14:textId="77777777" w:rsidR="006E1F2B" w:rsidRDefault="00324459">
            <w:pPr>
              <w:pStyle w:val="TAL"/>
              <w:jc w:val="both"/>
            </w:pPr>
            <w:r>
              <w:rPr>
                <w:rFonts w:cs="Arial"/>
                <w:szCs w:val="18"/>
                <w:lang w:val="en-US"/>
              </w:rPr>
              <w:t>Room height</w:t>
            </w:r>
          </w:p>
        </w:tc>
        <w:tc>
          <w:tcPr>
            <w:tcW w:w="5749"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DF4AF1D" w14:textId="77777777" w:rsidR="006E1F2B" w:rsidRDefault="00324459">
            <w:pPr>
              <w:pStyle w:val="TAL"/>
              <w:jc w:val="both"/>
            </w:pPr>
            <w:r>
              <w:rPr>
                <w:rFonts w:cs="Arial"/>
                <w:szCs w:val="18"/>
                <w:lang w:val="en-US"/>
              </w:rPr>
              <w:t>10m</w:t>
            </w:r>
          </w:p>
        </w:tc>
      </w:tr>
      <w:tr w:rsidR="006E1F2B" w14:paraId="7D7ADD7F" w14:textId="77777777">
        <w:tc>
          <w:tcPr>
            <w:tcW w:w="4313"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C94CBB6" w14:textId="77777777" w:rsidR="006E1F2B" w:rsidRDefault="00324459">
            <w:pPr>
              <w:pStyle w:val="TAL"/>
              <w:jc w:val="both"/>
            </w:pPr>
            <w:r>
              <w:rPr>
                <w:lang w:val="en-US"/>
              </w:rPr>
              <w:t>Total gNB TX power, dBm</w:t>
            </w:r>
          </w:p>
        </w:tc>
        <w:tc>
          <w:tcPr>
            <w:tcW w:w="260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357F069" w14:textId="77777777" w:rsidR="006E1F2B" w:rsidRDefault="00324459">
            <w:pPr>
              <w:pStyle w:val="TAL"/>
              <w:jc w:val="both"/>
            </w:pPr>
            <w:r>
              <w:rPr>
                <w:lang w:val="en-US"/>
              </w:rPr>
              <w:t>24dBm</w:t>
            </w:r>
          </w:p>
        </w:tc>
        <w:tc>
          <w:tcPr>
            <w:tcW w:w="315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FAEF08C" w14:textId="77777777" w:rsidR="006E1F2B" w:rsidRDefault="00324459">
            <w:pPr>
              <w:pStyle w:val="TAL"/>
              <w:jc w:val="both"/>
            </w:pPr>
            <w:r>
              <w:rPr>
                <w:lang w:val="en-US"/>
              </w:rPr>
              <w:t>24dBm</w:t>
            </w:r>
          </w:p>
          <w:p w14:paraId="454EDCD6" w14:textId="77777777" w:rsidR="006E1F2B" w:rsidRDefault="00324459">
            <w:pPr>
              <w:pStyle w:val="TAL"/>
              <w:jc w:val="both"/>
            </w:pPr>
            <w:r>
              <w:rPr>
                <w:lang w:val="en-US"/>
              </w:rPr>
              <w:t>EIRP should not exceed 58 dBm</w:t>
            </w:r>
          </w:p>
        </w:tc>
      </w:tr>
      <w:tr w:rsidR="006E1F2B" w14:paraId="63CE55A5" w14:textId="77777777">
        <w:tc>
          <w:tcPr>
            <w:tcW w:w="4313"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D905695" w14:textId="77777777" w:rsidR="006E1F2B" w:rsidRDefault="00324459">
            <w:pPr>
              <w:pStyle w:val="TAL"/>
              <w:jc w:val="both"/>
            </w:pPr>
            <w:r>
              <w:rPr>
                <w:lang w:val="en-US"/>
              </w:rPr>
              <w:t>gNB antenna configuration</w:t>
            </w:r>
          </w:p>
        </w:tc>
        <w:tc>
          <w:tcPr>
            <w:tcW w:w="260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5567F4C" w14:textId="77777777" w:rsidR="006E1F2B" w:rsidRDefault="00324459">
            <w:pPr>
              <w:pStyle w:val="TAL"/>
              <w:jc w:val="both"/>
            </w:pPr>
            <w:r>
              <w:rPr>
                <w:lang w:val="en-US"/>
              </w:rPr>
              <w:t xml:space="preserve">(M, N, P, Mg, Ng) = (4, 4, 2, 1, 1), </w:t>
            </w:r>
            <w:proofErr w:type="spellStart"/>
            <w:r>
              <w:rPr>
                <w:lang w:val="en-US"/>
              </w:rPr>
              <w:t>dH</w:t>
            </w:r>
            <w:proofErr w:type="spellEnd"/>
            <w:r>
              <w:rPr>
                <w:lang w:val="en-US"/>
              </w:rPr>
              <w:t>=</w:t>
            </w:r>
            <w:proofErr w:type="spellStart"/>
            <w:r>
              <w:rPr>
                <w:lang w:val="en-US"/>
              </w:rPr>
              <w:t>dV</w:t>
            </w:r>
            <w:proofErr w:type="spellEnd"/>
            <w:r>
              <w:rPr>
                <w:lang w:val="en-US"/>
              </w:rPr>
              <w:t>=0.5λ – Note 1</w:t>
            </w:r>
          </w:p>
        </w:tc>
        <w:tc>
          <w:tcPr>
            <w:tcW w:w="315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25E7979" w14:textId="77777777" w:rsidR="006E1F2B" w:rsidRDefault="00324459">
            <w:pPr>
              <w:pStyle w:val="TAL"/>
              <w:jc w:val="both"/>
            </w:pPr>
            <w:r>
              <w:rPr>
                <w:lang w:val="en-US"/>
              </w:rPr>
              <w:t xml:space="preserve">(M, N, P, Mg, Ng) = (4, 8, 2, 1, 1), </w:t>
            </w:r>
            <w:proofErr w:type="spellStart"/>
            <w:r>
              <w:rPr>
                <w:lang w:val="en-US"/>
              </w:rPr>
              <w:t>dH</w:t>
            </w:r>
            <w:proofErr w:type="spellEnd"/>
            <w:r>
              <w:rPr>
                <w:lang w:val="en-US"/>
              </w:rPr>
              <w:t>=</w:t>
            </w:r>
            <w:proofErr w:type="spellStart"/>
            <w:r>
              <w:rPr>
                <w:lang w:val="en-US"/>
              </w:rPr>
              <w:t>dV</w:t>
            </w:r>
            <w:proofErr w:type="spellEnd"/>
            <w:r>
              <w:rPr>
                <w:lang w:val="en-US"/>
              </w:rPr>
              <w:t>=0.5λ – Note 1</w:t>
            </w:r>
          </w:p>
          <w:p w14:paraId="2D670241" w14:textId="77777777" w:rsidR="006E1F2B" w:rsidRDefault="00324459">
            <w:pPr>
              <w:pStyle w:val="TAL"/>
              <w:jc w:val="both"/>
            </w:pPr>
            <w:r>
              <w:rPr>
                <w:lang w:val="en-US"/>
              </w:rPr>
              <w:t>One TXRU per polarization per panel is assumed</w:t>
            </w:r>
          </w:p>
        </w:tc>
      </w:tr>
      <w:tr w:rsidR="006E1F2B" w14:paraId="5A3C76EF" w14:textId="77777777">
        <w:tc>
          <w:tcPr>
            <w:tcW w:w="4313"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DB89991" w14:textId="77777777" w:rsidR="006E1F2B" w:rsidRDefault="00324459">
            <w:pPr>
              <w:pStyle w:val="TAL"/>
              <w:jc w:val="both"/>
            </w:pPr>
            <w:r>
              <w:rPr>
                <w:lang w:val="en-US"/>
              </w:rPr>
              <w:t>gNB antenna radiation pattern</w:t>
            </w:r>
          </w:p>
        </w:tc>
        <w:tc>
          <w:tcPr>
            <w:tcW w:w="260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DE84ED5" w14:textId="77777777" w:rsidR="006E1F2B" w:rsidRDefault="00324459">
            <w:pPr>
              <w:pStyle w:val="TAL"/>
              <w:jc w:val="both"/>
            </w:pPr>
            <w:r>
              <w:rPr>
                <w:lang w:val="en-US"/>
              </w:rPr>
              <w:t>Single sector – Note 1</w:t>
            </w:r>
          </w:p>
        </w:tc>
        <w:tc>
          <w:tcPr>
            <w:tcW w:w="315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424FE4C" w14:textId="77777777" w:rsidR="006E1F2B" w:rsidRDefault="00324459">
            <w:pPr>
              <w:pStyle w:val="TAL"/>
              <w:jc w:val="both"/>
            </w:pPr>
            <w:r>
              <w:rPr>
                <w:lang w:val="en-US"/>
              </w:rPr>
              <w:t>3-sector antenna configuration – Note 1</w:t>
            </w:r>
          </w:p>
        </w:tc>
      </w:tr>
      <w:tr w:rsidR="006E1F2B" w14:paraId="750E52FB" w14:textId="77777777">
        <w:tc>
          <w:tcPr>
            <w:tcW w:w="4313"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CAB9A0C" w14:textId="77777777" w:rsidR="006E1F2B" w:rsidRDefault="00324459">
            <w:pPr>
              <w:pStyle w:val="TAL"/>
              <w:jc w:val="both"/>
            </w:pPr>
            <w:r>
              <w:rPr>
                <w:lang w:val="en-US"/>
              </w:rPr>
              <w:t>Penetration loss</w:t>
            </w:r>
          </w:p>
        </w:tc>
        <w:tc>
          <w:tcPr>
            <w:tcW w:w="575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E41956D" w14:textId="77777777" w:rsidR="006E1F2B" w:rsidRDefault="00324459">
            <w:pPr>
              <w:pStyle w:val="TAL"/>
              <w:jc w:val="both"/>
            </w:pPr>
            <w:r>
              <w:rPr>
                <w:lang w:val="en-US"/>
              </w:rPr>
              <w:t>0dB</w:t>
            </w:r>
          </w:p>
        </w:tc>
      </w:tr>
      <w:tr w:rsidR="006E1F2B" w14:paraId="4ABEF4AE" w14:textId="77777777">
        <w:tc>
          <w:tcPr>
            <w:tcW w:w="4313"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19265F6" w14:textId="77777777" w:rsidR="006E1F2B" w:rsidRDefault="00324459">
            <w:pPr>
              <w:pStyle w:val="TAL"/>
              <w:jc w:val="both"/>
            </w:pPr>
            <w:r>
              <w:rPr>
                <w:lang w:val="en-US"/>
              </w:rPr>
              <w:t>Number of floors</w:t>
            </w:r>
          </w:p>
        </w:tc>
        <w:tc>
          <w:tcPr>
            <w:tcW w:w="575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85E7518" w14:textId="77777777" w:rsidR="006E1F2B" w:rsidRDefault="00324459">
            <w:pPr>
              <w:pStyle w:val="TAL"/>
              <w:jc w:val="both"/>
            </w:pPr>
            <w:r>
              <w:rPr>
                <w:lang w:val="en-US"/>
              </w:rPr>
              <w:t>1</w:t>
            </w:r>
          </w:p>
        </w:tc>
      </w:tr>
      <w:tr w:rsidR="006E1F2B" w14:paraId="1E856870" w14:textId="77777777">
        <w:tc>
          <w:tcPr>
            <w:tcW w:w="4313"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ABDA4AF" w14:textId="77777777" w:rsidR="006E1F2B" w:rsidRDefault="00324459">
            <w:pPr>
              <w:pStyle w:val="TAL"/>
              <w:jc w:val="both"/>
            </w:pPr>
            <w:r>
              <w:rPr>
                <w:lang w:val="en-US"/>
              </w:rPr>
              <w:t>UE drop procedure</w:t>
            </w:r>
          </w:p>
        </w:tc>
        <w:tc>
          <w:tcPr>
            <w:tcW w:w="575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8638F82" w14:textId="77777777" w:rsidR="006E1F2B" w:rsidRDefault="00324459">
            <w:pPr>
              <w:pStyle w:val="TAL"/>
              <w:jc w:val="both"/>
            </w:pPr>
            <w:r>
              <w:rPr>
                <w:lang w:val="en-US"/>
              </w:rPr>
              <w:t>100% indoor, uniformly distributed over the horizontal area</w:t>
            </w:r>
          </w:p>
        </w:tc>
      </w:tr>
      <w:tr w:rsidR="006E1F2B" w14:paraId="4025AD91" w14:textId="77777777">
        <w:tc>
          <w:tcPr>
            <w:tcW w:w="4313"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F044E0D" w14:textId="77777777" w:rsidR="006E1F2B" w:rsidRDefault="00324459">
            <w:pPr>
              <w:pStyle w:val="TAL"/>
              <w:jc w:val="both"/>
            </w:pPr>
            <w:r>
              <w:rPr>
                <w:lang w:val="en-US"/>
              </w:rPr>
              <w:t>UE mobility</w:t>
            </w:r>
          </w:p>
        </w:tc>
        <w:tc>
          <w:tcPr>
            <w:tcW w:w="575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3333FDB" w14:textId="77777777" w:rsidR="006E1F2B" w:rsidRDefault="00324459">
            <w:pPr>
              <w:pStyle w:val="TAL"/>
              <w:jc w:val="both"/>
            </w:pPr>
            <w:r>
              <w:rPr>
                <w:lang w:val="en-US"/>
              </w:rPr>
              <w:t xml:space="preserve">3km/h, </w:t>
            </w:r>
            <w:r>
              <w:rPr>
                <w:b/>
                <w:bCs/>
                <w:lang w:val="en-US"/>
              </w:rPr>
              <w:t>[10Km/h, 20Km/h]</w:t>
            </w:r>
          </w:p>
        </w:tc>
      </w:tr>
      <w:tr w:rsidR="006E1F2B" w14:paraId="70669EEF" w14:textId="77777777">
        <w:tc>
          <w:tcPr>
            <w:tcW w:w="4313"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0807AEE" w14:textId="77777777" w:rsidR="006E1F2B" w:rsidRDefault="00324459">
            <w:pPr>
              <w:pStyle w:val="TAL"/>
              <w:jc w:val="both"/>
            </w:pPr>
            <w:r>
              <w:rPr>
                <w:lang w:val="en-US"/>
              </w:rPr>
              <w:t>UE antenna height</w:t>
            </w:r>
          </w:p>
        </w:tc>
        <w:tc>
          <w:tcPr>
            <w:tcW w:w="575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BF8BB79" w14:textId="77777777" w:rsidR="006E1F2B" w:rsidRDefault="00324459">
            <w:pPr>
              <w:pStyle w:val="TAL"/>
              <w:jc w:val="both"/>
            </w:pPr>
            <w:r>
              <w:rPr>
                <w:rFonts w:eastAsia="Malgun Gothic"/>
                <w:lang w:val="en-US"/>
              </w:rPr>
              <w:t>1.5m</w:t>
            </w:r>
          </w:p>
          <w:p w14:paraId="703D07F1" w14:textId="77777777" w:rsidR="006E1F2B" w:rsidRDefault="00324459">
            <w:pPr>
              <w:pStyle w:val="TAL"/>
              <w:jc w:val="both"/>
            </w:pPr>
            <w:r>
              <w:rPr>
                <w:rFonts w:eastAsia="Malgun Gothic"/>
                <w:lang w:val="en-US"/>
              </w:rPr>
              <w:t>FFS: uniformly distributed within a pre-defined range, e.g., [0.5 ~ 9]m</w:t>
            </w:r>
          </w:p>
        </w:tc>
      </w:tr>
      <w:tr w:rsidR="006E1F2B" w14:paraId="2F0E24AE" w14:textId="77777777">
        <w:tc>
          <w:tcPr>
            <w:tcW w:w="4313"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BEC36BA" w14:textId="77777777" w:rsidR="006E1F2B" w:rsidRDefault="00324459">
            <w:pPr>
              <w:pStyle w:val="TAL"/>
              <w:jc w:val="both"/>
            </w:pPr>
            <w:r>
              <w:rPr>
                <w:lang w:val="fr-FR"/>
              </w:rPr>
              <w:t>Min gNB-UE distance (2D), m</w:t>
            </w:r>
          </w:p>
        </w:tc>
        <w:tc>
          <w:tcPr>
            <w:tcW w:w="575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FFC59CF" w14:textId="77777777" w:rsidR="006E1F2B" w:rsidRDefault="00324459">
            <w:pPr>
              <w:pStyle w:val="TAL"/>
              <w:jc w:val="both"/>
            </w:pPr>
            <w:r>
              <w:rPr>
                <w:rFonts w:eastAsia="Malgun Gothic"/>
                <w:lang w:val="en-US"/>
              </w:rPr>
              <w:t>0m</w:t>
            </w:r>
          </w:p>
        </w:tc>
      </w:tr>
      <w:tr w:rsidR="006E1F2B" w14:paraId="69505A4A" w14:textId="77777777">
        <w:tc>
          <w:tcPr>
            <w:tcW w:w="4313"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CA1EFD1" w14:textId="77777777" w:rsidR="006E1F2B" w:rsidRDefault="00324459">
            <w:pPr>
              <w:pStyle w:val="TAL"/>
              <w:jc w:val="both"/>
            </w:pPr>
            <w:r>
              <w:rPr>
                <w:lang w:val="en-US"/>
              </w:rPr>
              <w:t>gNB antenna height</w:t>
            </w:r>
          </w:p>
        </w:tc>
        <w:tc>
          <w:tcPr>
            <w:tcW w:w="575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B79FF23" w14:textId="77777777" w:rsidR="006E1F2B" w:rsidRDefault="00324459">
            <w:pPr>
              <w:keepNext/>
              <w:keepLines/>
              <w:jc w:val="both"/>
            </w:pPr>
            <w:r>
              <w:rPr>
                <w:rFonts w:ascii="Arial" w:hAnsi="Arial" w:cs="Arial"/>
                <w:sz w:val="18"/>
                <w:szCs w:val="18"/>
                <w:lang w:val="en-US"/>
              </w:rPr>
              <w:t xml:space="preserve">BS height = 1.5 m </w:t>
            </w:r>
          </w:p>
          <w:p w14:paraId="123DD63B" w14:textId="77777777" w:rsidR="006E1F2B" w:rsidRDefault="00324459">
            <w:pPr>
              <w:pStyle w:val="TAL"/>
              <w:jc w:val="both"/>
            </w:pPr>
            <w:r>
              <w:rPr>
                <w:rFonts w:cs="Arial"/>
                <w:szCs w:val="18"/>
                <w:lang w:val="en-US"/>
              </w:rPr>
              <w:t>BS-height = 8 m</w:t>
            </w:r>
          </w:p>
        </w:tc>
      </w:tr>
      <w:tr w:rsidR="006E1F2B" w14:paraId="26453302" w14:textId="77777777">
        <w:tc>
          <w:tcPr>
            <w:tcW w:w="4313"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AA4C650" w14:textId="77777777" w:rsidR="006E1F2B" w:rsidRDefault="00324459">
            <w:pPr>
              <w:pStyle w:val="TAL"/>
              <w:jc w:val="both"/>
            </w:pPr>
            <w:r>
              <w:rPr>
                <w:rFonts w:cs="Arial"/>
              </w:rPr>
              <w:t xml:space="preserve">Clutter parameters: {density </w:t>
            </w:r>
            <m:oMath>
              <m:r>
                <w:rPr>
                  <w:rFonts w:ascii="Cambria Math" w:hAnsi="Cambria Math"/>
                </w:rPr>
                <m:t>r</m:t>
              </m:r>
            </m:oMath>
            <w:r>
              <w:rPr>
                <w:rFonts w:cs="Arial"/>
                <w:szCs w:val="18"/>
              </w:rPr>
              <w:t xml:space="preserve">, </w:t>
            </w:r>
            <w:r>
              <w:rPr>
                <w:rFonts w:cs="Arial"/>
              </w:rPr>
              <w:t xml:space="preserve">height </w:t>
            </w:r>
            <m:oMath>
              <m:sSub>
                <m:sSubPr>
                  <m:ctrlPr>
                    <w:rPr>
                      <w:rFonts w:ascii="Cambria Math" w:hAnsi="Cambria Math"/>
                    </w:rPr>
                  </m:ctrlPr>
                </m:sSubPr>
                <m:e>
                  <m:r>
                    <w:rPr>
                      <w:rFonts w:ascii="Cambria Math" w:hAnsi="Cambria Math"/>
                    </w:rPr>
                    <m:t>h</m:t>
                  </m:r>
                </m:e>
                <m:sub>
                  <m:r>
                    <w:rPr>
                      <w:rFonts w:ascii="Cambria Math" w:hAnsi="Cambria Math"/>
                    </w:rPr>
                    <m:t>c</m:t>
                  </m:r>
                </m:sub>
              </m:sSub>
            </m:oMath>
            <w:r>
              <w:rPr>
                <w:rFonts w:cs="Arial"/>
                <w:szCs w:val="18"/>
              </w:rPr>
              <w:t>,</w:t>
            </w:r>
            <w:r>
              <w:rPr>
                <w:rFonts w:cs="Arial"/>
              </w:rPr>
              <w:t xml:space="preserve">size </w:t>
            </w:r>
            <m:oMath>
              <m:sSub>
                <m:sSubPr>
                  <m:ctrlPr>
                    <w:rPr>
                      <w:rFonts w:ascii="Cambria Math" w:hAnsi="Cambria Math"/>
                    </w:rPr>
                  </m:ctrlPr>
                </m:sSubPr>
                <m:e>
                  <m:r>
                    <w:rPr>
                      <w:rFonts w:ascii="Cambria Math" w:hAnsi="Cambria Math"/>
                    </w:rPr>
                    <m:t>d</m:t>
                  </m:r>
                </m:e>
                <m:sub>
                  <m:r>
                    <w:rPr>
                      <w:rFonts w:ascii="Cambria Math" w:hAnsi="Cambria Math"/>
                    </w:rPr>
                    <m:t>clutter</m:t>
                  </m:r>
                </m:sub>
              </m:sSub>
            </m:oMath>
            <w:r>
              <w:rPr>
                <w:rFonts w:cs="Arial"/>
                <w:szCs w:val="18"/>
              </w:rPr>
              <w:t>}</w:t>
            </w:r>
          </w:p>
        </w:tc>
        <w:tc>
          <w:tcPr>
            <w:tcW w:w="575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E58C773" w14:textId="77777777" w:rsidR="006E1F2B" w:rsidRDefault="00324459">
            <w:pPr>
              <w:keepNext/>
              <w:keepLines/>
              <w:jc w:val="both"/>
            </w:pPr>
            <w:r>
              <w:rPr>
                <w:rFonts w:ascii="Arial" w:hAnsi="Arial" w:cs="Arial"/>
                <w:sz w:val="18"/>
                <w:szCs w:val="18"/>
              </w:rPr>
              <w:t xml:space="preserve">Low clutter density: {20%, 2m, 10m} </w:t>
            </w:r>
          </w:p>
          <w:p w14:paraId="1EE85F32" w14:textId="77777777" w:rsidR="006E1F2B" w:rsidRDefault="00324459">
            <w:pPr>
              <w:pStyle w:val="TAL"/>
              <w:jc w:val="both"/>
            </w:pPr>
            <w:r>
              <w:rPr>
                <w:rFonts w:cs="Arial"/>
                <w:szCs w:val="18"/>
              </w:rPr>
              <w:t>High clutter density: {60%, 6m, 2m}</w:t>
            </w:r>
          </w:p>
          <w:p w14:paraId="5398C187" w14:textId="77777777" w:rsidR="006E1F2B" w:rsidRDefault="00324459">
            <w:pPr>
              <w:pStyle w:val="TAL"/>
              <w:jc w:val="both"/>
            </w:pPr>
            <w:r>
              <w:rPr>
                <w:rFonts w:cs="Arial"/>
                <w:szCs w:val="18"/>
              </w:rPr>
              <w:t>FFS High clutter density: {40%, 4m, 4m}:</w:t>
            </w:r>
          </w:p>
        </w:tc>
      </w:tr>
      <w:tr w:rsidR="006E1F2B" w14:paraId="0B3E780F" w14:textId="77777777">
        <w:tc>
          <w:tcPr>
            <w:tcW w:w="4313"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7C29AD5" w14:textId="77777777" w:rsidR="006E1F2B" w:rsidRDefault="00324459">
            <w:pPr>
              <w:pStyle w:val="TAL"/>
              <w:jc w:val="both"/>
            </w:pPr>
            <w:r>
              <w:t>LOS probability</w:t>
            </w:r>
          </w:p>
        </w:tc>
        <w:tc>
          <w:tcPr>
            <w:tcW w:w="575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FBAC5AF" w14:textId="77777777" w:rsidR="006E1F2B" w:rsidRDefault="00324459">
            <w:pPr>
              <w:pStyle w:val="TAL"/>
              <w:jc w:val="both"/>
            </w:pPr>
            <w:r>
              <w:t>LOS probability for InF scenarios</w:t>
            </w:r>
            <w:r>
              <w:rPr>
                <w:rFonts w:eastAsia="Malgun Gothic"/>
                <w:lang w:val="en-US"/>
              </w:rPr>
              <w:t xml:space="preserve"> is modelled according to Section 7.4.2 in TR 38.901</w:t>
            </w:r>
          </w:p>
        </w:tc>
      </w:tr>
      <w:tr w:rsidR="006E1F2B" w14:paraId="59BDC9B5" w14:textId="77777777">
        <w:tc>
          <w:tcPr>
            <w:tcW w:w="4313"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69094BD" w14:textId="77777777" w:rsidR="006E1F2B" w:rsidRDefault="00324459">
            <w:pPr>
              <w:pStyle w:val="TAL"/>
              <w:jc w:val="both"/>
            </w:pPr>
            <w:r>
              <w:rPr>
                <w:lang w:val="en-US"/>
              </w:rPr>
              <w:t>Absolute time of arrival</w:t>
            </w:r>
          </w:p>
        </w:tc>
        <w:tc>
          <w:tcPr>
            <w:tcW w:w="575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3A706D4" w14:textId="77777777" w:rsidR="006E1F2B" w:rsidRDefault="00324459">
            <w:pPr>
              <w:pStyle w:val="TAL"/>
              <w:jc w:val="both"/>
            </w:pPr>
            <w:r>
              <w:rPr>
                <w:rFonts w:eastAsia="Malgun Gothic"/>
                <w:lang w:val="en-US"/>
              </w:rPr>
              <w:t xml:space="preserve">FFS: Absolute time of arrival </w:t>
            </w:r>
            <w:r>
              <w:t>for InF scenarios</w:t>
            </w:r>
            <w:r>
              <w:rPr>
                <w:rFonts w:eastAsia="Malgun Gothic"/>
                <w:lang w:val="en-US"/>
              </w:rPr>
              <w:t xml:space="preserve"> is modelled according to Section 7.6.9 in TR 38.901</w:t>
            </w:r>
          </w:p>
        </w:tc>
      </w:tr>
      <w:tr w:rsidR="006E1F2B" w14:paraId="3C315525" w14:textId="77777777">
        <w:tc>
          <w:tcPr>
            <w:tcW w:w="4313"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0F004A9" w14:textId="77777777" w:rsidR="006E1F2B" w:rsidRDefault="00324459">
            <w:pPr>
              <w:pStyle w:val="TAL"/>
              <w:jc w:val="both"/>
            </w:pPr>
            <w:r>
              <w:t>Blockage modelling</w:t>
            </w:r>
          </w:p>
        </w:tc>
        <w:tc>
          <w:tcPr>
            <w:tcW w:w="575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2EFB46A" w14:textId="77777777" w:rsidR="006E1F2B" w:rsidRDefault="00324459">
            <w:pPr>
              <w:pStyle w:val="TAL"/>
              <w:jc w:val="both"/>
            </w:pPr>
            <w:r>
              <w:t>FFS: Blockage model B from Section 7.6.4.2 in TR 38.901 is included in simulation evaluation.</w:t>
            </w:r>
          </w:p>
          <w:p w14:paraId="70E92B5C" w14:textId="77777777" w:rsidR="006E1F2B" w:rsidRDefault="00324459">
            <w:pPr>
              <w:pStyle w:val="TAL"/>
              <w:jc w:val="both"/>
            </w:pPr>
            <w:r>
              <w:t>(Details of the modelling parameters, e.g., the number of blockers, the blocker extensions, locations, etc.), need to be further discussed if blockage model is included in simulation evaluation.</w:t>
            </w:r>
          </w:p>
        </w:tc>
      </w:tr>
      <w:tr w:rsidR="006E1F2B" w14:paraId="6D863BE5" w14:textId="77777777">
        <w:tc>
          <w:tcPr>
            <w:tcW w:w="10063"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B9C357F" w14:textId="77777777" w:rsidR="006E1F2B" w:rsidRDefault="00324459">
            <w:pPr>
              <w:pStyle w:val="TAN"/>
              <w:ind w:left="689" w:hanging="689"/>
              <w:jc w:val="both"/>
            </w:pPr>
            <w:r>
              <w:rPr>
                <w:lang w:val="en-US"/>
              </w:rPr>
              <w:t>Note 1:</w:t>
            </w:r>
            <w:r>
              <w:rPr>
                <w:lang w:val="en-US"/>
              </w:rPr>
              <w:tab/>
              <w:t>According to 3GPP TR 38.802</w:t>
            </w:r>
          </w:p>
          <w:p w14:paraId="42BD26CC" w14:textId="77777777" w:rsidR="006E1F2B" w:rsidRDefault="00324459">
            <w:pPr>
              <w:pStyle w:val="TAN"/>
              <w:ind w:left="689" w:hanging="689"/>
              <w:jc w:val="both"/>
            </w:pPr>
            <w:r>
              <w:rPr>
                <w:lang w:val="en-US"/>
              </w:rPr>
              <w:t>Note 2:</w:t>
            </w:r>
            <w:r>
              <w:rPr>
                <w:lang w:val="en-US"/>
              </w:rPr>
              <w:tab/>
              <w:t>According to 3GPP TR 38.901</w:t>
            </w:r>
          </w:p>
        </w:tc>
      </w:tr>
    </w:tbl>
    <w:p w14:paraId="51B4AD96" w14:textId="77777777" w:rsidR="006E1F2B" w:rsidRDefault="00324459">
      <w:pPr>
        <w:jc w:val="both"/>
      </w:pPr>
      <w:r>
        <w:t>Table 2: IIoT</w:t>
      </w:r>
      <w:r>
        <w:rPr>
          <w:lang w:val="en-US"/>
        </w:rPr>
        <w:t xml:space="preserve"> scenario parameters applicable in Rel 17 study on positioning enhancement </w:t>
      </w:r>
    </w:p>
    <w:p w14:paraId="1B7434D4" w14:textId="77777777" w:rsidR="006E1F2B" w:rsidRDefault="006E1F2B">
      <w:pPr>
        <w:jc w:val="both"/>
        <w:rPr>
          <w:lang w:val="en-US"/>
        </w:rPr>
      </w:pPr>
    </w:p>
    <w:p w14:paraId="541B5A9E" w14:textId="77777777" w:rsidR="006E1F2B" w:rsidRDefault="00324459">
      <w:pPr>
        <w:jc w:val="both"/>
      </w:pPr>
      <w:r>
        <w:rPr>
          <w:lang w:val="en-US"/>
        </w:rPr>
        <w:t xml:space="preserve">Assumption of UE speed 3 km/h is InF scenarios may not be reasonable due to involvement of moving parts and machineries. Therefore, 10 or 20 km/h speed should be adopted for UEs in IIoT scenarios. Similarly, a single hall size can be chosen instead of the two. </w:t>
      </w:r>
    </w:p>
    <w:p w14:paraId="387042AE" w14:textId="77777777" w:rsidR="006E1F2B" w:rsidRDefault="00324459">
      <w:pPr>
        <w:jc w:val="both"/>
      </w:pPr>
      <w:r>
        <w:rPr>
          <w:lang w:val="en-US"/>
        </w:rPr>
        <w:t xml:space="preserve">Further, the parameters related to clutter will affect the positioning accuracy in InF scenario. Therefore, defining the </w:t>
      </w:r>
      <w:r>
        <w:rPr>
          <w:rFonts w:cs="Arial"/>
          <w:lang w:val="en-US"/>
        </w:rPr>
        <w:t xml:space="preserve">clutter parameters i.e. density </w:t>
      </w:r>
      <m:oMath>
        <m:r>
          <w:rPr>
            <w:rFonts w:ascii="Cambria Math" w:hAnsi="Cambria Math"/>
          </w:rPr>
          <m:t>r</m:t>
        </m:r>
      </m:oMath>
      <w:r>
        <w:rPr>
          <w:rFonts w:cs="Arial"/>
          <w:szCs w:val="18"/>
          <w:lang w:val="en-US"/>
        </w:rPr>
        <w:t xml:space="preserve">, </w:t>
      </w:r>
      <w:r>
        <w:rPr>
          <w:rFonts w:cs="Arial"/>
          <w:lang w:val="en-US"/>
        </w:rPr>
        <w:t xml:space="preserve">height </w:t>
      </w:r>
      <m:oMath>
        <m:sSub>
          <m:sSubPr>
            <m:ctrlPr>
              <w:rPr>
                <w:rFonts w:ascii="Cambria Math" w:hAnsi="Cambria Math"/>
              </w:rPr>
            </m:ctrlPr>
          </m:sSubPr>
          <m:e>
            <m:r>
              <w:rPr>
                <w:rFonts w:ascii="Cambria Math" w:hAnsi="Cambria Math"/>
              </w:rPr>
              <m:t>h</m:t>
            </m:r>
          </m:e>
          <m:sub>
            <m:r>
              <w:rPr>
                <w:rFonts w:ascii="Cambria Math" w:hAnsi="Cambria Math"/>
              </w:rPr>
              <m:t>c</m:t>
            </m:r>
          </m:sub>
        </m:sSub>
      </m:oMath>
      <w:r>
        <w:rPr>
          <w:rFonts w:cs="Arial"/>
          <w:szCs w:val="18"/>
          <w:lang w:val="en-US"/>
        </w:rPr>
        <w:t xml:space="preserve">, </w:t>
      </w:r>
      <w:r>
        <w:rPr>
          <w:rFonts w:cs="Arial"/>
          <w:lang w:val="en-US"/>
        </w:rPr>
        <w:t xml:space="preserve">size </w:t>
      </w:r>
      <m:oMath>
        <m:sSub>
          <m:sSubPr>
            <m:ctrlPr>
              <w:rPr>
                <w:rFonts w:ascii="Cambria Math" w:hAnsi="Cambria Math"/>
              </w:rPr>
            </m:ctrlPr>
          </m:sSubPr>
          <m:e>
            <m:r>
              <w:rPr>
                <w:rFonts w:ascii="Cambria Math" w:hAnsi="Cambria Math"/>
              </w:rPr>
              <m:t>d</m:t>
            </m:r>
          </m:e>
          <m:sub>
            <m:r>
              <w:rPr>
                <w:rFonts w:ascii="Cambria Math" w:hAnsi="Cambria Math"/>
              </w:rPr>
              <m:t>clutter</m:t>
            </m:r>
          </m:sub>
        </m:sSub>
      </m:oMath>
      <w:r>
        <w:rPr>
          <w:rFonts w:cs="Arial"/>
        </w:rPr>
        <w:t xml:space="preserve"> </w:t>
      </w:r>
      <w:r>
        <w:rPr>
          <w:rFonts w:cs="Arial"/>
          <w:lang w:val="en-US"/>
        </w:rPr>
        <w:t xml:space="preserve">is very crucial. Below figure shows the LOS probability of different InF scenarios. In figure 1, LOS probability is plotted with clutter parameters as in table 2 whereas in figure 2 LOS probability is plotted with clutter parameters mentioned as FFS in table 2 i.e. </w:t>
      </w:r>
      <m:oMath>
        <m:r>
          <w:rPr>
            <w:rFonts w:ascii="Cambria Math" w:hAnsi="Cambria Math"/>
          </w:rPr>
          <m:t>r</m:t>
        </m:r>
      </m:oMath>
      <w:r>
        <w:rPr>
          <w:rFonts w:ascii="Arial" w:hAnsi="Arial" w:cs="Arial"/>
          <w:b/>
          <w:bCs/>
          <w:szCs w:val="26"/>
          <w:lang w:val="en-US"/>
        </w:rPr>
        <w:t>= 40</w:t>
      </w:r>
      <w:r>
        <w:rPr>
          <w:rFonts w:ascii="Arial" w:hAnsi="Arial" w:cs="Arial"/>
          <w:b/>
          <w:bCs/>
          <w:szCs w:val="26"/>
        </w:rPr>
        <w:t xml:space="preserve">%,, </w:t>
      </w:r>
      <m:oMath>
        <m:sSub>
          <m:sSubPr>
            <m:ctrlPr>
              <w:rPr>
                <w:rFonts w:ascii="Cambria Math" w:hAnsi="Cambria Math"/>
              </w:rPr>
            </m:ctrlPr>
          </m:sSubPr>
          <m:e>
            <m:r>
              <w:rPr>
                <w:rFonts w:ascii="Cambria Math" w:hAnsi="Cambria Math"/>
              </w:rPr>
              <m:t>h</m:t>
            </m:r>
          </m:e>
          <m:sub>
            <m:r>
              <w:rPr>
                <w:rFonts w:ascii="Cambria Math" w:hAnsi="Cambria Math"/>
              </w:rPr>
              <m:t>c</m:t>
            </m:r>
          </m:sub>
        </m:sSub>
      </m:oMath>
      <w:r>
        <w:rPr>
          <w:rFonts w:ascii="Arial" w:hAnsi="Arial" w:cs="Arial"/>
          <w:b/>
          <w:bCs/>
          <w:szCs w:val="26"/>
          <w:lang w:val="en-US"/>
        </w:rPr>
        <w:t>=4m</w:t>
      </w:r>
      <w:r>
        <w:rPr>
          <w:rFonts w:ascii="Arial" w:hAnsi="Arial" w:cs="Arial"/>
          <w:b/>
          <w:bCs/>
          <w:szCs w:val="18"/>
          <w:lang w:val="en-US"/>
        </w:rPr>
        <w:t xml:space="preserve">, </w:t>
      </w:r>
      <m:oMath>
        <m:sSub>
          <m:sSubPr>
            <m:ctrlPr>
              <w:rPr>
                <w:rFonts w:ascii="Cambria Math" w:hAnsi="Cambria Math"/>
              </w:rPr>
            </m:ctrlPr>
          </m:sSubPr>
          <m:e>
            <m:r>
              <w:rPr>
                <w:rFonts w:ascii="Cambria Math" w:hAnsi="Cambria Math"/>
              </w:rPr>
              <m:t>d</m:t>
            </m:r>
          </m:e>
          <m:sub>
            <m:r>
              <w:rPr>
                <w:rFonts w:ascii="Cambria Math" w:hAnsi="Cambria Math"/>
              </w:rPr>
              <m:t>clutter</m:t>
            </m:r>
          </m:sub>
        </m:sSub>
      </m:oMath>
      <w:r>
        <w:rPr>
          <w:rFonts w:ascii="Arial" w:hAnsi="Arial" w:cs="Arial"/>
          <w:b/>
          <w:bCs/>
          <w:szCs w:val="26"/>
          <w:lang w:val="en-US"/>
        </w:rPr>
        <w:t>=4</w:t>
      </w:r>
      <w:r>
        <w:rPr>
          <w:rFonts w:ascii="Arial" w:hAnsi="Arial" w:cs="Arial"/>
          <w:b/>
          <w:bCs/>
          <w:szCs w:val="26"/>
        </w:rPr>
        <w:t>m.</w:t>
      </w:r>
    </w:p>
    <w:p w14:paraId="45BADA89" w14:textId="77777777" w:rsidR="006E1F2B" w:rsidRDefault="00324459">
      <w:pPr>
        <w:jc w:val="both"/>
        <w:rPr>
          <w:rFonts w:cs="Arial"/>
          <w:lang w:val="en-US"/>
        </w:rPr>
      </w:pPr>
      <w:r>
        <w:rPr>
          <w:rFonts w:cs="Arial"/>
          <w:noProof/>
          <w:lang w:val="en-US"/>
        </w:rPr>
        <w:lastRenderedPageBreak/>
        <w:drawing>
          <wp:anchor distT="0" distB="0" distL="0" distR="0" simplePos="0" relativeHeight="3" behindDoc="0" locked="0" layoutInCell="1" allowOverlap="1" wp14:anchorId="6A26FADF" wp14:editId="74733B1D">
            <wp:simplePos x="0" y="0"/>
            <wp:positionH relativeFrom="column">
              <wp:posOffset>1137285</wp:posOffset>
            </wp:positionH>
            <wp:positionV relativeFrom="paragraph">
              <wp:posOffset>-5715</wp:posOffset>
            </wp:positionV>
            <wp:extent cx="3791585" cy="3053080"/>
            <wp:effectExtent l="0" t="0" r="0" b="0"/>
            <wp:wrapTopAndBottom/>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6"/>
                    <a:stretch>
                      <a:fillRect/>
                    </a:stretch>
                  </pic:blipFill>
                  <pic:spPr bwMode="auto">
                    <a:xfrm>
                      <a:off x="0" y="0"/>
                      <a:ext cx="3791585" cy="3053080"/>
                    </a:xfrm>
                    <a:prstGeom prst="rect">
                      <a:avLst/>
                    </a:prstGeom>
                  </pic:spPr>
                </pic:pic>
              </a:graphicData>
            </a:graphic>
          </wp:anchor>
        </w:drawing>
      </w:r>
    </w:p>
    <w:p w14:paraId="2C5EA4FE" w14:textId="77777777" w:rsidR="006E1F2B" w:rsidRDefault="00324459">
      <w:pPr>
        <w:pStyle w:val="Heading3"/>
        <w:numPr>
          <w:ilvl w:val="0"/>
          <w:numId w:val="0"/>
        </w:numPr>
        <w:ind w:left="720"/>
        <w:jc w:val="both"/>
        <w:rPr>
          <w:rFonts w:ascii="Liberation Serif" w:hAnsi="Liberation Serif" w:cs="FreeSans"/>
          <w:b w:val="0"/>
          <w:bCs w:val="0"/>
          <w:szCs w:val="24"/>
          <w:lang w:val="en-US"/>
        </w:rPr>
      </w:pPr>
      <w:r>
        <w:rPr>
          <w:rFonts w:ascii="Liberation Serif" w:hAnsi="Liberation Serif" w:cs="FreeSans"/>
          <w:b w:val="0"/>
          <w:bCs w:val="0"/>
          <w:szCs w:val="24"/>
          <w:lang w:val="en-US"/>
        </w:rPr>
        <w:t>Figure 1: LOS probability for different InF scenarios with Low clutter density: {</w:t>
      </w:r>
      <m:oMath>
        <m:r>
          <m:rPr>
            <m:sty m:val="bi"/>
          </m:rPr>
          <w:rPr>
            <w:rFonts w:ascii="Cambria Math" w:hAnsi="Cambria Math"/>
          </w:rPr>
          <m:t>r</m:t>
        </m:r>
      </m:oMath>
      <w:r>
        <w:rPr>
          <w:rFonts w:ascii="Liberation Serif" w:hAnsi="Liberation Serif" w:cs="FreeSans"/>
          <w:b w:val="0"/>
          <w:bCs w:val="0"/>
          <w:szCs w:val="24"/>
          <w:lang w:val="en-US"/>
        </w:rPr>
        <w:t xml:space="preserve">= 20%,, </w:t>
      </w:r>
      <m:oMath>
        <m:sSub>
          <m:sSubPr>
            <m:ctrlPr>
              <w:rPr>
                <w:rFonts w:ascii="Cambria Math" w:hAnsi="Cambria Math"/>
              </w:rPr>
            </m:ctrlPr>
          </m:sSubPr>
          <m:e>
            <m:r>
              <m:rPr>
                <m:sty m:val="bi"/>
              </m:rPr>
              <w:rPr>
                <w:rFonts w:ascii="Cambria Math" w:hAnsi="Cambria Math"/>
              </w:rPr>
              <m:t>h</m:t>
            </m:r>
          </m:e>
          <m:sub>
            <m:r>
              <m:rPr>
                <m:sty m:val="bi"/>
              </m:rPr>
              <w:rPr>
                <w:rFonts w:ascii="Cambria Math" w:hAnsi="Cambria Math"/>
              </w:rPr>
              <m:t>c</m:t>
            </m:r>
          </m:sub>
        </m:sSub>
      </m:oMath>
      <w:r>
        <w:rPr>
          <w:rFonts w:ascii="Liberation Serif" w:hAnsi="Liberation Serif" w:cs="FreeSans"/>
          <w:b w:val="0"/>
          <w:bCs w:val="0"/>
          <w:szCs w:val="24"/>
          <w:lang w:val="en-US"/>
        </w:rPr>
        <w:t xml:space="preserve">=2m,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clutter</m:t>
            </m:r>
          </m:sub>
        </m:sSub>
      </m:oMath>
      <w:r>
        <w:rPr>
          <w:rFonts w:ascii="Liberation Serif" w:hAnsi="Liberation Serif" w:cs="FreeSans"/>
          <w:b w:val="0"/>
          <w:bCs w:val="0"/>
          <w:szCs w:val="24"/>
          <w:lang w:val="en-US"/>
        </w:rPr>
        <w:t>=10m} (for InF_SL and InF_SH) High clutter density: {</w:t>
      </w:r>
      <w:bookmarkStart w:id="1" w:name="__DdeLink__48940_727975347"/>
      <m:oMath>
        <m:r>
          <m:rPr>
            <m:sty m:val="bi"/>
          </m:rPr>
          <w:rPr>
            <w:rFonts w:ascii="Cambria Math" w:hAnsi="Cambria Math"/>
          </w:rPr>
          <m:t>r</m:t>
        </m:r>
      </m:oMath>
      <w:bookmarkEnd w:id="1"/>
      <w:r>
        <w:rPr>
          <w:rFonts w:ascii="Liberation Serif" w:hAnsi="Liberation Serif" w:cs="FreeSans"/>
          <w:b w:val="0"/>
          <w:bCs w:val="0"/>
          <w:szCs w:val="24"/>
          <w:lang w:val="en-US"/>
        </w:rPr>
        <w:t xml:space="preserve">= 60%,, </w:t>
      </w:r>
      <m:oMath>
        <m:sSub>
          <m:sSubPr>
            <m:ctrlPr>
              <w:rPr>
                <w:rFonts w:ascii="Cambria Math" w:hAnsi="Cambria Math"/>
              </w:rPr>
            </m:ctrlPr>
          </m:sSubPr>
          <m:e>
            <m:r>
              <m:rPr>
                <m:sty m:val="bi"/>
              </m:rPr>
              <w:rPr>
                <w:rFonts w:ascii="Cambria Math" w:hAnsi="Cambria Math"/>
              </w:rPr>
              <m:t>h</m:t>
            </m:r>
          </m:e>
          <m:sub>
            <m:r>
              <m:rPr>
                <m:sty m:val="bi"/>
              </m:rPr>
              <w:rPr>
                <w:rFonts w:ascii="Cambria Math" w:hAnsi="Cambria Math"/>
              </w:rPr>
              <m:t>c</m:t>
            </m:r>
          </m:sub>
        </m:sSub>
      </m:oMath>
      <w:r>
        <w:rPr>
          <w:rFonts w:ascii="Liberation Serif" w:hAnsi="Liberation Serif" w:cs="FreeSans"/>
          <w:b w:val="0"/>
          <w:bCs w:val="0"/>
          <w:szCs w:val="24"/>
          <w:lang w:val="en-US"/>
        </w:rPr>
        <w:t xml:space="preserve">=6m,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clutter</m:t>
            </m:r>
          </m:sub>
        </m:sSub>
      </m:oMath>
      <w:r>
        <w:rPr>
          <w:rFonts w:ascii="Liberation Serif" w:hAnsi="Liberation Serif" w:cs="FreeSans"/>
          <w:b w:val="0"/>
          <w:bCs w:val="0"/>
          <w:szCs w:val="24"/>
          <w:lang w:val="en-US"/>
        </w:rPr>
        <w:t>=2m} (for InF_DL and InF_DH)</w:t>
      </w:r>
    </w:p>
    <w:p w14:paraId="45EC7B57" w14:textId="77777777" w:rsidR="006E1F2B" w:rsidRDefault="006E1F2B">
      <w:pPr>
        <w:pStyle w:val="Heading3"/>
        <w:numPr>
          <w:ilvl w:val="0"/>
          <w:numId w:val="0"/>
        </w:numPr>
        <w:ind w:left="720"/>
        <w:jc w:val="both"/>
        <w:rPr>
          <w:rFonts w:ascii="Liberation Serif" w:hAnsi="Liberation Serif" w:cs="FreeSans"/>
          <w:b w:val="0"/>
          <w:bCs w:val="0"/>
          <w:szCs w:val="24"/>
          <w:lang w:val="en-US"/>
        </w:rPr>
      </w:pPr>
    </w:p>
    <w:p w14:paraId="1C4494FF" w14:textId="77777777" w:rsidR="006E1F2B" w:rsidRDefault="00324459">
      <w:pPr>
        <w:pStyle w:val="Heading3"/>
        <w:numPr>
          <w:ilvl w:val="0"/>
          <w:numId w:val="0"/>
        </w:numPr>
        <w:ind w:left="720"/>
        <w:jc w:val="both"/>
        <w:rPr>
          <w:rFonts w:ascii="Liberation Serif" w:hAnsi="Liberation Serif" w:cs="FreeSans"/>
          <w:b w:val="0"/>
          <w:bCs w:val="0"/>
          <w:szCs w:val="24"/>
          <w:lang w:val="en-US"/>
        </w:rPr>
      </w:pPr>
      <w:r>
        <w:rPr>
          <w:noProof/>
        </w:rPr>
        <w:drawing>
          <wp:anchor distT="0" distB="0" distL="0" distR="0" simplePos="0" relativeHeight="2" behindDoc="0" locked="0" layoutInCell="1" allowOverlap="1" wp14:anchorId="03AFBC47" wp14:editId="07D6A346">
            <wp:simplePos x="0" y="0"/>
            <wp:positionH relativeFrom="column">
              <wp:align>center</wp:align>
            </wp:positionH>
            <wp:positionV relativeFrom="paragraph">
              <wp:posOffset>635</wp:posOffset>
            </wp:positionV>
            <wp:extent cx="3981450" cy="3357245"/>
            <wp:effectExtent l="0" t="0" r="0" b="0"/>
            <wp:wrapTopAndBottom/>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7"/>
                    <a:stretch>
                      <a:fillRect/>
                    </a:stretch>
                  </pic:blipFill>
                  <pic:spPr bwMode="auto">
                    <a:xfrm>
                      <a:off x="0" y="0"/>
                      <a:ext cx="3981450" cy="3357245"/>
                    </a:xfrm>
                    <a:prstGeom prst="rect">
                      <a:avLst/>
                    </a:prstGeom>
                  </pic:spPr>
                </pic:pic>
              </a:graphicData>
            </a:graphic>
          </wp:anchor>
        </w:drawing>
      </w:r>
      <w:r>
        <w:rPr>
          <w:rFonts w:ascii="Liberation Serif" w:hAnsi="Liberation Serif" w:cs="FreeSans"/>
          <w:b w:val="0"/>
          <w:bCs w:val="0"/>
          <w:szCs w:val="24"/>
          <w:lang w:val="en-US"/>
        </w:rPr>
        <w:t>Figure 2: LOS probability for different InF scenarios with Low clutter density: {</w:t>
      </w:r>
      <m:oMath>
        <m:r>
          <m:rPr>
            <m:sty m:val="bi"/>
          </m:rPr>
          <w:rPr>
            <w:rFonts w:ascii="Cambria Math" w:hAnsi="Cambria Math"/>
          </w:rPr>
          <m:t>r</m:t>
        </m:r>
      </m:oMath>
      <w:r>
        <w:rPr>
          <w:rFonts w:ascii="Liberation Serif" w:hAnsi="Liberation Serif" w:cs="FreeSans"/>
          <w:b w:val="0"/>
          <w:bCs w:val="0"/>
          <w:szCs w:val="24"/>
          <w:lang w:val="en-US"/>
        </w:rPr>
        <w:t xml:space="preserve">= 20%,, </w:t>
      </w:r>
      <m:oMath>
        <m:sSub>
          <m:sSubPr>
            <m:ctrlPr>
              <w:rPr>
                <w:rFonts w:ascii="Cambria Math" w:hAnsi="Cambria Math"/>
              </w:rPr>
            </m:ctrlPr>
          </m:sSubPr>
          <m:e>
            <m:r>
              <m:rPr>
                <m:sty m:val="bi"/>
              </m:rPr>
              <w:rPr>
                <w:rFonts w:ascii="Cambria Math" w:hAnsi="Cambria Math"/>
              </w:rPr>
              <m:t>h</m:t>
            </m:r>
          </m:e>
          <m:sub>
            <m:r>
              <m:rPr>
                <m:sty m:val="bi"/>
              </m:rPr>
              <w:rPr>
                <w:rFonts w:ascii="Cambria Math" w:hAnsi="Cambria Math"/>
              </w:rPr>
              <m:t>c</m:t>
            </m:r>
          </m:sub>
        </m:sSub>
      </m:oMath>
      <w:r>
        <w:rPr>
          <w:rFonts w:ascii="Liberation Serif" w:hAnsi="Liberation Serif" w:cs="FreeSans"/>
          <w:b w:val="0"/>
          <w:bCs w:val="0"/>
          <w:szCs w:val="24"/>
          <w:lang w:val="en-US"/>
        </w:rPr>
        <w:t xml:space="preserve">=2m,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clutter</m:t>
            </m:r>
          </m:sub>
        </m:sSub>
      </m:oMath>
      <w:r>
        <w:rPr>
          <w:rFonts w:ascii="Liberation Serif" w:hAnsi="Liberation Serif" w:cs="FreeSans"/>
          <w:b w:val="0"/>
          <w:bCs w:val="0"/>
          <w:szCs w:val="24"/>
          <w:lang w:val="en-US"/>
        </w:rPr>
        <w:t>=10m} (for InF_SL and InF_SH) High clutter density: {</w:t>
      </w:r>
      <m:oMath>
        <m:r>
          <m:rPr>
            <m:sty m:val="bi"/>
          </m:rPr>
          <w:rPr>
            <w:rFonts w:ascii="Cambria Math" w:hAnsi="Cambria Math"/>
          </w:rPr>
          <m:t>r</m:t>
        </m:r>
      </m:oMath>
      <w:r>
        <w:rPr>
          <w:rFonts w:ascii="Liberation Serif" w:hAnsi="Liberation Serif" w:cs="FreeSans"/>
          <w:b w:val="0"/>
          <w:bCs w:val="0"/>
          <w:szCs w:val="24"/>
          <w:lang w:val="en-US"/>
        </w:rPr>
        <w:t xml:space="preserve">= 40%,, </w:t>
      </w:r>
      <m:oMath>
        <m:sSub>
          <m:sSubPr>
            <m:ctrlPr>
              <w:rPr>
                <w:rFonts w:ascii="Cambria Math" w:hAnsi="Cambria Math"/>
              </w:rPr>
            </m:ctrlPr>
          </m:sSubPr>
          <m:e>
            <m:r>
              <m:rPr>
                <m:sty m:val="bi"/>
              </m:rPr>
              <w:rPr>
                <w:rFonts w:ascii="Cambria Math" w:hAnsi="Cambria Math"/>
              </w:rPr>
              <m:t>h</m:t>
            </m:r>
          </m:e>
          <m:sub>
            <m:r>
              <m:rPr>
                <m:sty m:val="bi"/>
              </m:rPr>
              <w:rPr>
                <w:rFonts w:ascii="Cambria Math" w:hAnsi="Cambria Math"/>
              </w:rPr>
              <m:t>c</m:t>
            </m:r>
          </m:sub>
        </m:sSub>
      </m:oMath>
      <w:r>
        <w:rPr>
          <w:rFonts w:ascii="Liberation Serif" w:hAnsi="Liberation Serif" w:cs="FreeSans"/>
          <w:b w:val="0"/>
          <w:bCs w:val="0"/>
          <w:szCs w:val="24"/>
          <w:lang w:val="en-US"/>
        </w:rPr>
        <w:t xml:space="preserve">=4m,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clutter</m:t>
            </m:r>
          </m:sub>
        </m:sSub>
      </m:oMath>
      <w:r>
        <w:rPr>
          <w:rFonts w:ascii="Liberation Serif" w:hAnsi="Liberation Serif" w:cs="FreeSans"/>
          <w:b w:val="0"/>
          <w:bCs w:val="0"/>
          <w:szCs w:val="24"/>
          <w:lang w:val="en-US"/>
        </w:rPr>
        <w:t>=4m} (for InF_DL and InF_DH)</w:t>
      </w:r>
    </w:p>
    <w:p w14:paraId="0E14ACB1" w14:textId="77777777" w:rsidR="006E1F2B" w:rsidRDefault="00324459">
      <w:pPr>
        <w:pStyle w:val="Heading3"/>
        <w:numPr>
          <w:ilvl w:val="2"/>
          <w:numId w:val="2"/>
        </w:numPr>
        <w:jc w:val="both"/>
      </w:pPr>
      <w:r>
        <w:t>Evaluation parameters for InH scenarios</w:t>
      </w:r>
    </w:p>
    <w:p w14:paraId="4A31C2AA" w14:textId="77777777" w:rsidR="006E1F2B" w:rsidRDefault="00324459">
      <w:pPr>
        <w:jc w:val="both"/>
      </w:pPr>
      <w:r>
        <w:t>As mentioned in above section for evaluation of Rel 16 performance and future changes in Rel 17 on Rel 16 positioning methods, it is desirable to include InH scenario from the Rel 16 study. Therefore Table 6.1.1-3 from 38.855 can be reused.</w:t>
      </w:r>
    </w:p>
    <w:p w14:paraId="7205CEB8" w14:textId="77777777" w:rsidR="006E1F2B" w:rsidRDefault="006E1F2B">
      <w:pPr>
        <w:jc w:val="both"/>
      </w:pPr>
    </w:p>
    <w:p w14:paraId="63D85650" w14:textId="77777777" w:rsidR="006E1F2B" w:rsidRDefault="006E1F2B">
      <w:pPr>
        <w:jc w:val="both"/>
      </w:pPr>
    </w:p>
    <w:p w14:paraId="7D74236F" w14:textId="77777777" w:rsidR="006E1F2B" w:rsidRDefault="006E1F2B">
      <w:pPr>
        <w:jc w:val="both"/>
      </w:pPr>
    </w:p>
    <w:p w14:paraId="6B805A80" w14:textId="77777777" w:rsidR="006E1F2B" w:rsidRDefault="006E1F2B">
      <w:pPr>
        <w:jc w:val="both"/>
      </w:pPr>
    </w:p>
    <w:tbl>
      <w:tblPr>
        <w:tblW w:w="9125" w:type="dxa"/>
        <w:tblInd w:w="353" w:type="dxa"/>
        <w:tblBorders>
          <w:top w:val="single" w:sz="4" w:space="0" w:color="000001"/>
          <w:left w:val="single" w:sz="4" w:space="0" w:color="000001"/>
          <w:bottom w:val="single" w:sz="4" w:space="0" w:color="000001"/>
          <w:insideH w:val="single" w:sz="4" w:space="0" w:color="000001"/>
        </w:tblBorders>
        <w:tblCellMar>
          <w:left w:w="93" w:type="dxa"/>
        </w:tblCellMar>
        <w:tblLook w:val="0000" w:firstRow="0" w:lastRow="0" w:firstColumn="0" w:lastColumn="0" w:noHBand="0" w:noVBand="0"/>
      </w:tblPr>
      <w:tblGrid>
        <w:gridCol w:w="2732"/>
        <w:gridCol w:w="2951"/>
        <w:gridCol w:w="3442"/>
      </w:tblGrid>
      <w:tr w:rsidR="006E1F2B" w14:paraId="68F41099" w14:textId="77777777">
        <w:tc>
          <w:tcPr>
            <w:tcW w:w="2732" w:type="dxa"/>
            <w:tcBorders>
              <w:top w:val="single" w:sz="4" w:space="0" w:color="000001"/>
              <w:left w:val="single" w:sz="4" w:space="0" w:color="000001"/>
              <w:bottom w:val="single" w:sz="4" w:space="0" w:color="000001"/>
            </w:tcBorders>
            <w:shd w:val="clear" w:color="auto" w:fill="auto"/>
            <w:tcMar>
              <w:left w:w="93" w:type="dxa"/>
            </w:tcMar>
            <w:vAlign w:val="center"/>
          </w:tcPr>
          <w:p w14:paraId="361CC009" w14:textId="77777777" w:rsidR="006E1F2B" w:rsidRDefault="006E1F2B">
            <w:pPr>
              <w:pStyle w:val="TAH"/>
              <w:snapToGrid w:val="0"/>
              <w:jc w:val="both"/>
              <w:rPr>
                <w:lang w:val="en-US"/>
              </w:rPr>
            </w:pPr>
          </w:p>
        </w:tc>
        <w:tc>
          <w:tcPr>
            <w:tcW w:w="2951" w:type="dxa"/>
            <w:tcBorders>
              <w:top w:val="single" w:sz="4" w:space="0" w:color="000001"/>
              <w:left w:val="single" w:sz="4" w:space="0" w:color="000001"/>
              <w:bottom w:val="single" w:sz="4" w:space="0" w:color="000001"/>
            </w:tcBorders>
            <w:shd w:val="clear" w:color="auto" w:fill="auto"/>
            <w:tcMar>
              <w:left w:w="93" w:type="dxa"/>
            </w:tcMar>
          </w:tcPr>
          <w:p w14:paraId="07FFE387" w14:textId="77777777" w:rsidR="006E1F2B" w:rsidRDefault="00324459">
            <w:pPr>
              <w:pStyle w:val="TAH"/>
              <w:jc w:val="both"/>
              <w:rPr>
                <w:rFonts w:ascii="Times New Roman" w:hAnsi="Times New Roman" w:cs="Times New Roman"/>
                <w:sz w:val="20"/>
                <w:lang w:val="en-US"/>
              </w:rPr>
            </w:pPr>
            <w:r>
              <w:rPr>
                <w:rFonts w:ascii="Times New Roman" w:hAnsi="Times New Roman" w:cs="Times New Roman"/>
                <w:sz w:val="20"/>
                <w:lang w:val="en-US"/>
              </w:rPr>
              <w:t xml:space="preserve">FR1 Specific Values </w:t>
            </w:r>
          </w:p>
        </w:tc>
        <w:tc>
          <w:tcPr>
            <w:tcW w:w="3442"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14:paraId="7EC865BD" w14:textId="77777777" w:rsidR="006E1F2B" w:rsidRDefault="00324459">
            <w:pPr>
              <w:pStyle w:val="TAH"/>
              <w:jc w:val="both"/>
              <w:rPr>
                <w:rFonts w:ascii="Times New Roman" w:hAnsi="Times New Roman" w:cs="Times New Roman"/>
                <w:sz w:val="20"/>
                <w:lang w:val="en-US"/>
              </w:rPr>
            </w:pPr>
            <w:r>
              <w:rPr>
                <w:rFonts w:ascii="Times New Roman" w:hAnsi="Times New Roman" w:cs="Times New Roman"/>
                <w:sz w:val="20"/>
                <w:lang w:val="en-US"/>
              </w:rPr>
              <w:t>FR2 Specific Values</w:t>
            </w:r>
          </w:p>
        </w:tc>
      </w:tr>
      <w:tr w:rsidR="006E1F2B" w14:paraId="3010A347" w14:textId="77777777">
        <w:tc>
          <w:tcPr>
            <w:tcW w:w="2732" w:type="dxa"/>
            <w:tcBorders>
              <w:top w:val="single" w:sz="4" w:space="0" w:color="000001"/>
              <w:left w:val="single" w:sz="4" w:space="0" w:color="000001"/>
              <w:bottom w:val="single" w:sz="4" w:space="0" w:color="000001"/>
            </w:tcBorders>
            <w:shd w:val="clear" w:color="auto" w:fill="auto"/>
            <w:tcMar>
              <w:left w:w="93" w:type="dxa"/>
            </w:tcMar>
            <w:vAlign w:val="center"/>
          </w:tcPr>
          <w:p w14:paraId="762DB10B" w14:textId="77777777" w:rsidR="006E1F2B" w:rsidRDefault="00324459">
            <w:pPr>
              <w:pStyle w:val="TAL"/>
              <w:jc w:val="both"/>
              <w:rPr>
                <w:lang w:val="en-US"/>
              </w:rPr>
            </w:pPr>
            <w:r>
              <w:rPr>
                <w:lang w:val="en-US"/>
              </w:rPr>
              <w:t xml:space="preserve">Layout </w:t>
            </w:r>
          </w:p>
        </w:tc>
        <w:tc>
          <w:tcPr>
            <w:tcW w:w="6393" w:type="dxa"/>
            <w:gridSpan w:val="2"/>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14:paraId="51EDEFAD" w14:textId="77777777" w:rsidR="006E1F2B" w:rsidRDefault="00324459">
            <w:pPr>
              <w:pStyle w:val="TAL"/>
              <w:jc w:val="both"/>
              <w:rPr>
                <w:lang w:val="en-US"/>
              </w:rPr>
            </w:pPr>
            <w:r>
              <w:rPr>
                <w:lang w:val="en-US"/>
              </w:rPr>
              <w:t>Indoor floor: (12BSs per 120m x 50m), TRP number per floor:12, Inter-gNB distance = 20m - Note 1</w:t>
            </w:r>
          </w:p>
        </w:tc>
      </w:tr>
      <w:tr w:rsidR="006E1F2B" w14:paraId="6658F0F7" w14:textId="77777777">
        <w:tc>
          <w:tcPr>
            <w:tcW w:w="2732" w:type="dxa"/>
            <w:tcBorders>
              <w:top w:val="single" w:sz="4" w:space="0" w:color="000001"/>
              <w:left w:val="single" w:sz="4" w:space="0" w:color="000001"/>
              <w:bottom w:val="single" w:sz="4" w:space="0" w:color="000001"/>
            </w:tcBorders>
            <w:shd w:val="clear" w:color="auto" w:fill="auto"/>
            <w:tcMar>
              <w:left w:w="93" w:type="dxa"/>
            </w:tcMar>
          </w:tcPr>
          <w:p w14:paraId="0954B60F" w14:textId="77777777" w:rsidR="006E1F2B" w:rsidRDefault="00324459">
            <w:pPr>
              <w:pStyle w:val="TAL"/>
              <w:jc w:val="both"/>
              <w:rPr>
                <w:lang w:val="en-US"/>
              </w:rPr>
            </w:pPr>
            <w:r>
              <w:rPr>
                <w:lang w:val="en-US"/>
              </w:rPr>
              <w:t>Total gNB TX power, dBm</w:t>
            </w:r>
          </w:p>
        </w:tc>
        <w:tc>
          <w:tcPr>
            <w:tcW w:w="2951" w:type="dxa"/>
            <w:tcBorders>
              <w:top w:val="single" w:sz="4" w:space="0" w:color="000001"/>
              <w:left w:val="single" w:sz="4" w:space="0" w:color="000001"/>
              <w:bottom w:val="single" w:sz="4" w:space="0" w:color="000001"/>
            </w:tcBorders>
            <w:shd w:val="clear" w:color="auto" w:fill="auto"/>
            <w:tcMar>
              <w:left w:w="93" w:type="dxa"/>
            </w:tcMar>
          </w:tcPr>
          <w:p w14:paraId="11D91A12" w14:textId="77777777" w:rsidR="006E1F2B" w:rsidRDefault="00324459">
            <w:pPr>
              <w:pStyle w:val="TAL"/>
              <w:jc w:val="both"/>
              <w:rPr>
                <w:lang w:val="en-US"/>
              </w:rPr>
            </w:pPr>
            <w:r>
              <w:rPr>
                <w:lang w:val="en-US"/>
              </w:rPr>
              <w:t>24dBm</w:t>
            </w:r>
          </w:p>
        </w:tc>
        <w:tc>
          <w:tcPr>
            <w:tcW w:w="3442"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14:paraId="50C9D5FE" w14:textId="77777777" w:rsidR="006E1F2B" w:rsidRDefault="00324459">
            <w:pPr>
              <w:pStyle w:val="TAL"/>
              <w:jc w:val="both"/>
              <w:rPr>
                <w:lang w:val="en-US"/>
              </w:rPr>
            </w:pPr>
            <w:r>
              <w:rPr>
                <w:lang w:val="en-US"/>
              </w:rPr>
              <w:t>24dBm</w:t>
            </w:r>
          </w:p>
          <w:p w14:paraId="6A23469D" w14:textId="77777777" w:rsidR="006E1F2B" w:rsidRDefault="00324459">
            <w:pPr>
              <w:pStyle w:val="TAL"/>
              <w:jc w:val="both"/>
              <w:rPr>
                <w:lang w:val="en-US"/>
              </w:rPr>
            </w:pPr>
            <w:r>
              <w:rPr>
                <w:lang w:val="en-US"/>
              </w:rPr>
              <w:t>EIRP should not exceed 58 dBm</w:t>
            </w:r>
          </w:p>
        </w:tc>
      </w:tr>
      <w:tr w:rsidR="006E1F2B" w14:paraId="7F83C4AD" w14:textId="77777777">
        <w:tc>
          <w:tcPr>
            <w:tcW w:w="2732" w:type="dxa"/>
            <w:tcBorders>
              <w:top w:val="single" w:sz="4" w:space="0" w:color="000001"/>
              <w:left w:val="single" w:sz="4" w:space="0" w:color="000001"/>
              <w:bottom w:val="single" w:sz="4" w:space="0" w:color="000001"/>
            </w:tcBorders>
            <w:shd w:val="clear" w:color="auto" w:fill="auto"/>
            <w:tcMar>
              <w:left w:w="93" w:type="dxa"/>
            </w:tcMar>
          </w:tcPr>
          <w:p w14:paraId="7D211E33" w14:textId="77777777" w:rsidR="006E1F2B" w:rsidRDefault="00324459">
            <w:pPr>
              <w:pStyle w:val="TAL"/>
              <w:jc w:val="both"/>
              <w:rPr>
                <w:lang w:val="en-US"/>
              </w:rPr>
            </w:pPr>
            <w:r>
              <w:rPr>
                <w:lang w:val="en-US"/>
              </w:rPr>
              <w:t>gNB antenna configuration</w:t>
            </w:r>
          </w:p>
        </w:tc>
        <w:tc>
          <w:tcPr>
            <w:tcW w:w="2951" w:type="dxa"/>
            <w:tcBorders>
              <w:top w:val="single" w:sz="4" w:space="0" w:color="000001"/>
              <w:left w:val="single" w:sz="4" w:space="0" w:color="000001"/>
              <w:bottom w:val="single" w:sz="4" w:space="0" w:color="000001"/>
            </w:tcBorders>
            <w:shd w:val="clear" w:color="auto" w:fill="auto"/>
            <w:tcMar>
              <w:left w:w="93" w:type="dxa"/>
            </w:tcMar>
          </w:tcPr>
          <w:p w14:paraId="7A908EFF" w14:textId="77777777" w:rsidR="006E1F2B" w:rsidRDefault="00324459">
            <w:pPr>
              <w:pStyle w:val="TAL"/>
              <w:jc w:val="both"/>
              <w:rPr>
                <w:lang w:val="en-US"/>
              </w:rPr>
            </w:pPr>
            <w:r>
              <w:rPr>
                <w:lang w:val="en-US"/>
              </w:rPr>
              <w:t xml:space="preserve">(M, N, P, Mg, Ng) = (4, 4, 2, 1, 1), </w:t>
            </w:r>
            <w:proofErr w:type="spellStart"/>
            <w:r>
              <w:rPr>
                <w:lang w:val="en-US"/>
              </w:rPr>
              <w:t>dH</w:t>
            </w:r>
            <w:proofErr w:type="spellEnd"/>
            <w:r>
              <w:rPr>
                <w:lang w:val="en-US"/>
              </w:rPr>
              <w:t>=</w:t>
            </w:r>
            <w:proofErr w:type="spellStart"/>
            <w:r>
              <w:rPr>
                <w:lang w:val="en-US"/>
              </w:rPr>
              <w:t>dV</w:t>
            </w:r>
            <w:proofErr w:type="spellEnd"/>
            <w:r>
              <w:rPr>
                <w:lang w:val="en-US"/>
              </w:rPr>
              <w:t>=0.5λ – Note 1</w:t>
            </w:r>
          </w:p>
        </w:tc>
        <w:tc>
          <w:tcPr>
            <w:tcW w:w="3442"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14:paraId="16CAD23D" w14:textId="77777777" w:rsidR="006E1F2B" w:rsidRDefault="00324459">
            <w:pPr>
              <w:pStyle w:val="TAL"/>
              <w:jc w:val="both"/>
              <w:rPr>
                <w:lang w:val="en-US"/>
              </w:rPr>
            </w:pPr>
            <w:r>
              <w:rPr>
                <w:lang w:val="en-US"/>
              </w:rPr>
              <w:t xml:space="preserve">(M, N, P, Mg, Ng) = (4, 8, 2, 1, 1), </w:t>
            </w:r>
            <w:proofErr w:type="spellStart"/>
            <w:r>
              <w:rPr>
                <w:lang w:val="en-US"/>
              </w:rPr>
              <w:t>dH</w:t>
            </w:r>
            <w:proofErr w:type="spellEnd"/>
            <w:r>
              <w:rPr>
                <w:lang w:val="en-US"/>
              </w:rPr>
              <w:t>=</w:t>
            </w:r>
            <w:proofErr w:type="spellStart"/>
            <w:r>
              <w:rPr>
                <w:lang w:val="en-US"/>
              </w:rPr>
              <w:t>dV</w:t>
            </w:r>
            <w:proofErr w:type="spellEnd"/>
            <w:r>
              <w:rPr>
                <w:lang w:val="en-US"/>
              </w:rPr>
              <w:t>=0.5λ – Note 1</w:t>
            </w:r>
          </w:p>
          <w:p w14:paraId="7DF01C8A" w14:textId="77777777" w:rsidR="006E1F2B" w:rsidRDefault="00324459">
            <w:pPr>
              <w:pStyle w:val="TAL"/>
              <w:jc w:val="both"/>
              <w:rPr>
                <w:lang w:val="en-US"/>
              </w:rPr>
            </w:pPr>
            <w:r>
              <w:rPr>
                <w:lang w:val="en-US"/>
              </w:rPr>
              <w:t>One TXRU per polarization per panel is assumed</w:t>
            </w:r>
          </w:p>
        </w:tc>
      </w:tr>
      <w:tr w:rsidR="006E1F2B" w14:paraId="46E0F170" w14:textId="77777777">
        <w:tc>
          <w:tcPr>
            <w:tcW w:w="2732" w:type="dxa"/>
            <w:tcBorders>
              <w:top w:val="single" w:sz="4" w:space="0" w:color="000001"/>
              <w:left w:val="single" w:sz="4" w:space="0" w:color="000001"/>
              <w:bottom w:val="single" w:sz="4" w:space="0" w:color="000001"/>
            </w:tcBorders>
            <w:shd w:val="clear" w:color="auto" w:fill="auto"/>
            <w:tcMar>
              <w:left w:w="93" w:type="dxa"/>
            </w:tcMar>
          </w:tcPr>
          <w:p w14:paraId="7D1D2C70" w14:textId="77777777" w:rsidR="006E1F2B" w:rsidRDefault="00324459">
            <w:pPr>
              <w:pStyle w:val="TAL"/>
              <w:jc w:val="both"/>
              <w:rPr>
                <w:lang w:val="en-US"/>
              </w:rPr>
            </w:pPr>
            <w:r>
              <w:rPr>
                <w:lang w:val="en-US"/>
              </w:rPr>
              <w:t>gNB antenna radiation pattern</w:t>
            </w:r>
          </w:p>
        </w:tc>
        <w:tc>
          <w:tcPr>
            <w:tcW w:w="2951" w:type="dxa"/>
            <w:tcBorders>
              <w:top w:val="single" w:sz="4" w:space="0" w:color="000001"/>
              <w:left w:val="single" w:sz="4" w:space="0" w:color="000001"/>
              <w:bottom w:val="single" w:sz="4" w:space="0" w:color="000001"/>
            </w:tcBorders>
            <w:shd w:val="clear" w:color="auto" w:fill="auto"/>
            <w:tcMar>
              <w:left w:w="93" w:type="dxa"/>
            </w:tcMar>
          </w:tcPr>
          <w:p w14:paraId="633EADCF" w14:textId="77777777" w:rsidR="006E1F2B" w:rsidRDefault="00324459">
            <w:pPr>
              <w:pStyle w:val="TAL"/>
              <w:jc w:val="both"/>
              <w:rPr>
                <w:lang w:val="en-US"/>
              </w:rPr>
            </w:pPr>
            <w:r>
              <w:rPr>
                <w:lang w:val="en-US"/>
              </w:rPr>
              <w:t>Single sector – Note 1</w:t>
            </w:r>
          </w:p>
        </w:tc>
        <w:tc>
          <w:tcPr>
            <w:tcW w:w="3442"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14:paraId="769ED867" w14:textId="77777777" w:rsidR="006E1F2B" w:rsidRDefault="00324459">
            <w:pPr>
              <w:pStyle w:val="TAL"/>
              <w:jc w:val="both"/>
              <w:rPr>
                <w:lang w:val="en-US"/>
              </w:rPr>
            </w:pPr>
            <w:r>
              <w:rPr>
                <w:lang w:val="en-US"/>
              </w:rPr>
              <w:t>3-sector antenna configuration – Note 1</w:t>
            </w:r>
          </w:p>
        </w:tc>
      </w:tr>
      <w:tr w:rsidR="006E1F2B" w14:paraId="562CD80C" w14:textId="77777777">
        <w:tc>
          <w:tcPr>
            <w:tcW w:w="2732" w:type="dxa"/>
            <w:tcBorders>
              <w:top w:val="single" w:sz="4" w:space="0" w:color="000001"/>
              <w:left w:val="single" w:sz="4" w:space="0" w:color="000001"/>
              <w:bottom w:val="single" w:sz="4" w:space="0" w:color="000001"/>
            </w:tcBorders>
            <w:shd w:val="clear" w:color="auto" w:fill="auto"/>
            <w:tcMar>
              <w:left w:w="93" w:type="dxa"/>
            </w:tcMar>
          </w:tcPr>
          <w:p w14:paraId="3E9B1FA4" w14:textId="77777777" w:rsidR="006E1F2B" w:rsidRDefault="00324459">
            <w:pPr>
              <w:pStyle w:val="TAL"/>
              <w:jc w:val="both"/>
              <w:rPr>
                <w:lang w:val="en-US"/>
              </w:rPr>
            </w:pPr>
            <w:r>
              <w:rPr>
                <w:lang w:val="en-US"/>
              </w:rPr>
              <w:t>Channel model</w:t>
            </w:r>
          </w:p>
        </w:tc>
        <w:tc>
          <w:tcPr>
            <w:tcW w:w="6393" w:type="dxa"/>
            <w:gridSpan w:val="2"/>
            <w:tcBorders>
              <w:top w:val="single" w:sz="4" w:space="0" w:color="000001"/>
              <w:left w:val="single" w:sz="4" w:space="0" w:color="000001"/>
              <w:bottom w:val="single" w:sz="4" w:space="0" w:color="000001"/>
              <w:right w:val="single" w:sz="4" w:space="0" w:color="000001"/>
            </w:tcBorders>
            <w:shd w:val="clear" w:color="auto" w:fill="auto"/>
            <w:tcMar>
              <w:left w:w="93" w:type="dxa"/>
            </w:tcMar>
          </w:tcPr>
          <w:p w14:paraId="6019BB21" w14:textId="77777777" w:rsidR="006E1F2B" w:rsidRDefault="00324459">
            <w:pPr>
              <w:pStyle w:val="TAL"/>
              <w:jc w:val="both"/>
              <w:rPr>
                <w:lang w:val="en-US"/>
              </w:rPr>
            </w:pPr>
            <w:r>
              <w:rPr>
                <w:lang w:val="en-US"/>
              </w:rPr>
              <w:t>Indoor open office – Note 2</w:t>
            </w:r>
          </w:p>
        </w:tc>
      </w:tr>
      <w:tr w:rsidR="006E1F2B" w14:paraId="6A00B0D1" w14:textId="77777777">
        <w:tc>
          <w:tcPr>
            <w:tcW w:w="2732" w:type="dxa"/>
            <w:tcBorders>
              <w:top w:val="single" w:sz="4" w:space="0" w:color="000001"/>
              <w:left w:val="single" w:sz="4" w:space="0" w:color="000001"/>
              <w:bottom w:val="single" w:sz="4" w:space="0" w:color="000001"/>
            </w:tcBorders>
            <w:shd w:val="clear" w:color="auto" w:fill="auto"/>
            <w:tcMar>
              <w:left w:w="93" w:type="dxa"/>
            </w:tcMar>
          </w:tcPr>
          <w:p w14:paraId="11693641" w14:textId="77777777" w:rsidR="006E1F2B" w:rsidRDefault="00324459">
            <w:pPr>
              <w:pStyle w:val="TAL"/>
              <w:jc w:val="both"/>
              <w:rPr>
                <w:lang w:val="en-US"/>
              </w:rPr>
            </w:pPr>
            <w:r>
              <w:rPr>
                <w:lang w:val="en-US"/>
              </w:rPr>
              <w:t>Penetration loss</w:t>
            </w:r>
          </w:p>
        </w:tc>
        <w:tc>
          <w:tcPr>
            <w:tcW w:w="6393" w:type="dxa"/>
            <w:gridSpan w:val="2"/>
            <w:tcBorders>
              <w:top w:val="single" w:sz="4" w:space="0" w:color="000001"/>
              <w:left w:val="single" w:sz="4" w:space="0" w:color="000001"/>
              <w:bottom w:val="single" w:sz="4" w:space="0" w:color="000001"/>
              <w:right w:val="single" w:sz="4" w:space="0" w:color="000001"/>
            </w:tcBorders>
            <w:shd w:val="clear" w:color="auto" w:fill="auto"/>
            <w:tcMar>
              <w:left w:w="93" w:type="dxa"/>
            </w:tcMar>
          </w:tcPr>
          <w:p w14:paraId="0C5312B0" w14:textId="77777777" w:rsidR="006E1F2B" w:rsidRDefault="00324459">
            <w:pPr>
              <w:pStyle w:val="TAL"/>
              <w:jc w:val="both"/>
              <w:rPr>
                <w:lang w:val="en-US"/>
              </w:rPr>
            </w:pPr>
            <w:r>
              <w:rPr>
                <w:lang w:val="en-US"/>
              </w:rPr>
              <w:t>0dB</w:t>
            </w:r>
          </w:p>
        </w:tc>
      </w:tr>
      <w:tr w:rsidR="006E1F2B" w14:paraId="6FBE432F" w14:textId="77777777">
        <w:tc>
          <w:tcPr>
            <w:tcW w:w="2732" w:type="dxa"/>
            <w:tcBorders>
              <w:top w:val="single" w:sz="4" w:space="0" w:color="000001"/>
              <w:left w:val="single" w:sz="4" w:space="0" w:color="000001"/>
              <w:bottom w:val="single" w:sz="4" w:space="0" w:color="000001"/>
            </w:tcBorders>
            <w:shd w:val="clear" w:color="auto" w:fill="auto"/>
            <w:tcMar>
              <w:left w:w="93" w:type="dxa"/>
            </w:tcMar>
            <w:vAlign w:val="center"/>
          </w:tcPr>
          <w:p w14:paraId="378C3BAF" w14:textId="77777777" w:rsidR="006E1F2B" w:rsidRDefault="00324459">
            <w:pPr>
              <w:pStyle w:val="TAL"/>
              <w:jc w:val="both"/>
              <w:rPr>
                <w:lang w:val="en-US"/>
              </w:rPr>
            </w:pPr>
            <w:r>
              <w:rPr>
                <w:lang w:val="en-US"/>
              </w:rPr>
              <w:t>Number of floors</w:t>
            </w:r>
          </w:p>
        </w:tc>
        <w:tc>
          <w:tcPr>
            <w:tcW w:w="6393" w:type="dxa"/>
            <w:gridSpan w:val="2"/>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14:paraId="19DA88C9" w14:textId="77777777" w:rsidR="006E1F2B" w:rsidRDefault="00324459">
            <w:pPr>
              <w:pStyle w:val="TAL"/>
              <w:jc w:val="both"/>
              <w:rPr>
                <w:lang w:val="en-US"/>
              </w:rPr>
            </w:pPr>
            <w:r>
              <w:rPr>
                <w:lang w:val="en-US"/>
              </w:rPr>
              <w:t>1</w:t>
            </w:r>
          </w:p>
        </w:tc>
      </w:tr>
      <w:tr w:rsidR="006E1F2B" w14:paraId="4BDEAF6B" w14:textId="77777777">
        <w:tc>
          <w:tcPr>
            <w:tcW w:w="2732" w:type="dxa"/>
            <w:tcBorders>
              <w:top w:val="single" w:sz="4" w:space="0" w:color="000001"/>
              <w:left w:val="single" w:sz="4" w:space="0" w:color="000001"/>
              <w:bottom w:val="single" w:sz="4" w:space="0" w:color="000001"/>
            </w:tcBorders>
            <w:shd w:val="clear" w:color="auto" w:fill="auto"/>
            <w:tcMar>
              <w:left w:w="93" w:type="dxa"/>
            </w:tcMar>
            <w:vAlign w:val="center"/>
          </w:tcPr>
          <w:p w14:paraId="71245CCE" w14:textId="77777777" w:rsidR="006E1F2B" w:rsidRDefault="00324459">
            <w:pPr>
              <w:pStyle w:val="TAL"/>
              <w:jc w:val="both"/>
              <w:rPr>
                <w:lang w:val="en-US"/>
              </w:rPr>
            </w:pPr>
            <w:r>
              <w:rPr>
                <w:lang w:val="en-US"/>
              </w:rPr>
              <w:t>UE drop procedure</w:t>
            </w:r>
          </w:p>
        </w:tc>
        <w:tc>
          <w:tcPr>
            <w:tcW w:w="6393" w:type="dxa"/>
            <w:gridSpan w:val="2"/>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14:paraId="1B09390F" w14:textId="77777777" w:rsidR="006E1F2B" w:rsidRDefault="00324459">
            <w:pPr>
              <w:pStyle w:val="TAL"/>
              <w:jc w:val="both"/>
              <w:rPr>
                <w:lang w:val="en-US"/>
              </w:rPr>
            </w:pPr>
            <w:r>
              <w:rPr>
                <w:lang w:val="en-US"/>
              </w:rPr>
              <w:t>100% indoor, uniformly distributed over the horizontal area</w:t>
            </w:r>
          </w:p>
        </w:tc>
      </w:tr>
      <w:tr w:rsidR="006E1F2B" w14:paraId="12DDFF82" w14:textId="77777777">
        <w:tc>
          <w:tcPr>
            <w:tcW w:w="2732" w:type="dxa"/>
            <w:tcBorders>
              <w:top w:val="single" w:sz="4" w:space="0" w:color="000001"/>
              <w:left w:val="single" w:sz="4" w:space="0" w:color="000001"/>
              <w:bottom w:val="single" w:sz="4" w:space="0" w:color="000001"/>
            </w:tcBorders>
            <w:shd w:val="clear" w:color="auto" w:fill="auto"/>
            <w:tcMar>
              <w:left w:w="93" w:type="dxa"/>
            </w:tcMar>
          </w:tcPr>
          <w:p w14:paraId="38FC73D6" w14:textId="77777777" w:rsidR="006E1F2B" w:rsidRDefault="00324459">
            <w:pPr>
              <w:pStyle w:val="TAL"/>
              <w:jc w:val="both"/>
              <w:rPr>
                <w:lang w:val="en-US"/>
              </w:rPr>
            </w:pPr>
            <w:r>
              <w:rPr>
                <w:lang w:val="en-US"/>
              </w:rPr>
              <w:t>UE mobility</w:t>
            </w:r>
          </w:p>
        </w:tc>
        <w:tc>
          <w:tcPr>
            <w:tcW w:w="6393" w:type="dxa"/>
            <w:gridSpan w:val="2"/>
            <w:tcBorders>
              <w:top w:val="single" w:sz="4" w:space="0" w:color="000001"/>
              <w:left w:val="single" w:sz="4" w:space="0" w:color="000001"/>
              <w:bottom w:val="single" w:sz="4" w:space="0" w:color="000001"/>
              <w:right w:val="single" w:sz="4" w:space="0" w:color="000001"/>
            </w:tcBorders>
            <w:shd w:val="clear" w:color="auto" w:fill="auto"/>
            <w:tcMar>
              <w:left w:w="93" w:type="dxa"/>
            </w:tcMar>
          </w:tcPr>
          <w:p w14:paraId="47F4BC06" w14:textId="77777777" w:rsidR="006E1F2B" w:rsidRDefault="00324459">
            <w:pPr>
              <w:pStyle w:val="TAL"/>
              <w:jc w:val="both"/>
              <w:rPr>
                <w:lang w:val="en-US"/>
              </w:rPr>
            </w:pPr>
            <w:r>
              <w:rPr>
                <w:lang w:val="en-US"/>
              </w:rPr>
              <w:t>3km/h</w:t>
            </w:r>
          </w:p>
        </w:tc>
      </w:tr>
      <w:tr w:rsidR="006E1F2B" w14:paraId="2B3E0DD6" w14:textId="77777777">
        <w:tc>
          <w:tcPr>
            <w:tcW w:w="2732" w:type="dxa"/>
            <w:tcBorders>
              <w:top w:val="single" w:sz="4" w:space="0" w:color="000001"/>
              <w:left w:val="single" w:sz="4" w:space="0" w:color="000001"/>
              <w:bottom w:val="single" w:sz="4" w:space="0" w:color="000001"/>
            </w:tcBorders>
            <w:shd w:val="clear" w:color="auto" w:fill="auto"/>
            <w:tcMar>
              <w:left w:w="93" w:type="dxa"/>
            </w:tcMar>
          </w:tcPr>
          <w:p w14:paraId="699FE315" w14:textId="77777777" w:rsidR="006E1F2B" w:rsidRDefault="00324459">
            <w:pPr>
              <w:pStyle w:val="TAL"/>
              <w:jc w:val="both"/>
              <w:rPr>
                <w:lang w:val="en-US"/>
              </w:rPr>
            </w:pPr>
            <w:r>
              <w:rPr>
                <w:lang w:val="en-US"/>
              </w:rPr>
              <w:t>UE antenna height</w:t>
            </w:r>
          </w:p>
        </w:tc>
        <w:tc>
          <w:tcPr>
            <w:tcW w:w="6393" w:type="dxa"/>
            <w:gridSpan w:val="2"/>
            <w:tcBorders>
              <w:top w:val="single" w:sz="4" w:space="0" w:color="000001"/>
              <w:left w:val="single" w:sz="4" w:space="0" w:color="000001"/>
              <w:bottom w:val="single" w:sz="4" w:space="0" w:color="000001"/>
              <w:right w:val="single" w:sz="4" w:space="0" w:color="000001"/>
            </w:tcBorders>
            <w:shd w:val="clear" w:color="auto" w:fill="auto"/>
            <w:tcMar>
              <w:left w:w="93" w:type="dxa"/>
            </w:tcMar>
          </w:tcPr>
          <w:p w14:paraId="35D79A0F" w14:textId="77777777" w:rsidR="006E1F2B" w:rsidRDefault="00324459">
            <w:pPr>
              <w:pStyle w:val="TAL"/>
              <w:jc w:val="both"/>
              <w:rPr>
                <w:rFonts w:eastAsia="Malgun Gothic"/>
                <w:lang w:val="en-US"/>
              </w:rPr>
            </w:pPr>
            <w:r>
              <w:rPr>
                <w:rFonts w:eastAsia="Malgun Gothic"/>
                <w:lang w:val="en-US"/>
              </w:rPr>
              <w:t>1.5m</w:t>
            </w:r>
          </w:p>
        </w:tc>
      </w:tr>
      <w:tr w:rsidR="006E1F2B" w14:paraId="5D55EAF0" w14:textId="77777777">
        <w:tc>
          <w:tcPr>
            <w:tcW w:w="2732" w:type="dxa"/>
            <w:tcBorders>
              <w:top w:val="single" w:sz="4" w:space="0" w:color="000001"/>
              <w:left w:val="single" w:sz="4" w:space="0" w:color="000001"/>
              <w:bottom w:val="single" w:sz="4" w:space="0" w:color="000001"/>
            </w:tcBorders>
            <w:shd w:val="clear" w:color="auto" w:fill="auto"/>
            <w:tcMar>
              <w:left w:w="93" w:type="dxa"/>
            </w:tcMar>
          </w:tcPr>
          <w:p w14:paraId="06A5A329" w14:textId="77777777" w:rsidR="006E1F2B" w:rsidRDefault="00324459">
            <w:pPr>
              <w:pStyle w:val="TAL"/>
              <w:jc w:val="both"/>
              <w:rPr>
                <w:lang w:val="fr-FR"/>
              </w:rPr>
            </w:pPr>
            <w:r>
              <w:rPr>
                <w:lang w:val="fr-FR"/>
              </w:rPr>
              <w:t>Min gNB-UE distance (2D), m</w:t>
            </w:r>
          </w:p>
        </w:tc>
        <w:tc>
          <w:tcPr>
            <w:tcW w:w="6393" w:type="dxa"/>
            <w:gridSpan w:val="2"/>
            <w:tcBorders>
              <w:top w:val="single" w:sz="4" w:space="0" w:color="000001"/>
              <w:left w:val="single" w:sz="4" w:space="0" w:color="000001"/>
              <w:bottom w:val="single" w:sz="4" w:space="0" w:color="000001"/>
              <w:right w:val="single" w:sz="4" w:space="0" w:color="000001"/>
            </w:tcBorders>
            <w:shd w:val="clear" w:color="auto" w:fill="auto"/>
            <w:tcMar>
              <w:left w:w="93" w:type="dxa"/>
            </w:tcMar>
          </w:tcPr>
          <w:p w14:paraId="1B711C43" w14:textId="77777777" w:rsidR="006E1F2B" w:rsidRDefault="00324459">
            <w:pPr>
              <w:pStyle w:val="TAL"/>
              <w:jc w:val="both"/>
              <w:rPr>
                <w:rFonts w:eastAsia="Malgun Gothic"/>
                <w:lang w:val="en-US"/>
              </w:rPr>
            </w:pPr>
            <w:r>
              <w:rPr>
                <w:rFonts w:eastAsia="Malgun Gothic"/>
                <w:lang w:val="en-US"/>
              </w:rPr>
              <w:t>0m</w:t>
            </w:r>
          </w:p>
        </w:tc>
      </w:tr>
      <w:tr w:rsidR="006E1F2B" w14:paraId="7C41C7B8" w14:textId="77777777">
        <w:tc>
          <w:tcPr>
            <w:tcW w:w="2732" w:type="dxa"/>
            <w:tcBorders>
              <w:top w:val="single" w:sz="4" w:space="0" w:color="000001"/>
              <w:left w:val="single" w:sz="4" w:space="0" w:color="000001"/>
              <w:bottom w:val="single" w:sz="4" w:space="0" w:color="000001"/>
            </w:tcBorders>
            <w:shd w:val="clear" w:color="auto" w:fill="auto"/>
            <w:tcMar>
              <w:left w:w="93" w:type="dxa"/>
            </w:tcMar>
          </w:tcPr>
          <w:p w14:paraId="4422E6A8" w14:textId="77777777" w:rsidR="006E1F2B" w:rsidRDefault="00324459">
            <w:pPr>
              <w:pStyle w:val="TAL"/>
              <w:jc w:val="both"/>
              <w:rPr>
                <w:lang w:val="en-US"/>
              </w:rPr>
            </w:pPr>
            <w:r>
              <w:rPr>
                <w:lang w:val="en-US"/>
              </w:rPr>
              <w:t>gNB antenna height</w:t>
            </w:r>
          </w:p>
        </w:tc>
        <w:tc>
          <w:tcPr>
            <w:tcW w:w="6393" w:type="dxa"/>
            <w:gridSpan w:val="2"/>
            <w:tcBorders>
              <w:top w:val="single" w:sz="4" w:space="0" w:color="000001"/>
              <w:left w:val="single" w:sz="4" w:space="0" w:color="000001"/>
              <w:bottom w:val="single" w:sz="4" w:space="0" w:color="000001"/>
              <w:right w:val="single" w:sz="4" w:space="0" w:color="000001"/>
            </w:tcBorders>
            <w:shd w:val="clear" w:color="auto" w:fill="auto"/>
            <w:tcMar>
              <w:left w:w="93" w:type="dxa"/>
            </w:tcMar>
          </w:tcPr>
          <w:p w14:paraId="09F7A356" w14:textId="77777777" w:rsidR="006E1F2B" w:rsidRDefault="00324459">
            <w:pPr>
              <w:pStyle w:val="TAL"/>
              <w:jc w:val="both"/>
              <w:rPr>
                <w:rFonts w:eastAsia="Malgun Gothic"/>
                <w:lang w:val="en-US"/>
              </w:rPr>
            </w:pPr>
            <w:r>
              <w:rPr>
                <w:rFonts w:eastAsia="Malgun Gothic"/>
                <w:lang w:val="en-US"/>
              </w:rPr>
              <w:t>3m</w:t>
            </w:r>
          </w:p>
        </w:tc>
      </w:tr>
      <w:tr w:rsidR="006E1F2B" w14:paraId="291BE72F" w14:textId="77777777">
        <w:tc>
          <w:tcPr>
            <w:tcW w:w="9125" w:type="dxa"/>
            <w:gridSpan w:val="3"/>
            <w:tcBorders>
              <w:top w:val="single" w:sz="4" w:space="0" w:color="000001"/>
              <w:left w:val="single" w:sz="4" w:space="0" w:color="000001"/>
              <w:bottom w:val="single" w:sz="4" w:space="0" w:color="000001"/>
              <w:right w:val="single" w:sz="4" w:space="0" w:color="000001"/>
            </w:tcBorders>
            <w:shd w:val="clear" w:color="auto" w:fill="auto"/>
            <w:tcMar>
              <w:left w:w="93" w:type="dxa"/>
            </w:tcMar>
          </w:tcPr>
          <w:p w14:paraId="0297E7DE" w14:textId="77777777" w:rsidR="006E1F2B" w:rsidRDefault="00324459">
            <w:pPr>
              <w:pStyle w:val="TAN"/>
              <w:ind w:left="689" w:hanging="689"/>
              <w:jc w:val="both"/>
              <w:rPr>
                <w:lang w:val="en-US"/>
              </w:rPr>
            </w:pPr>
            <w:r>
              <w:rPr>
                <w:lang w:val="en-US"/>
              </w:rPr>
              <w:t>Note 1:</w:t>
            </w:r>
            <w:r>
              <w:rPr>
                <w:lang w:val="en-US"/>
              </w:rPr>
              <w:tab/>
              <w:t>According to 3GPP TR 38.802</w:t>
            </w:r>
          </w:p>
          <w:p w14:paraId="18A6D33E" w14:textId="77777777" w:rsidR="006E1F2B" w:rsidRDefault="00324459">
            <w:pPr>
              <w:pStyle w:val="TAN"/>
              <w:ind w:left="689" w:hanging="689"/>
              <w:jc w:val="both"/>
              <w:rPr>
                <w:lang w:val="en-US"/>
              </w:rPr>
            </w:pPr>
            <w:r>
              <w:rPr>
                <w:lang w:val="en-US"/>
              </w:rPr>
              <w:t>Note 2:</w:t>
            </w:r>
            <w:r>
              <w:rPr>
                <w:lang w:val="en-US"/>
              </w:rPr>
              <w:tab/>
              <w:t>According to 3GPP TR 38.901</w:t>
            </w:r>
          </w:p>
          <w:p w14:paraId="5302AFB7" w14:textId="77777777" w:rsidR="006E1F2B" w:rsidRDefault="006E1F2B">
            <w:pPr>
              <w:pStyle w:val="TAN"/>
              <w:ind w:left="689" w:hanging="689"/>
              <w:jc w:val="both"/>
              <w:rPr>
                <w:lang w:val="en-US"/>
              </w:rPr>
            </w:pPr>
          </w:p>
        </w:tc>
      </w:tr>
    </w:tbl>
    <w:p w14:paraId="2E80B889" w14:textId="77777777" w:rsidR="006E1F2B" w:rsidRDefault="006E1F2B">
      <w:pPr>
        <w:jc w:val="both"/>
      </w:pPr>
    </w:p>
    <w:p w14:paraId="1B343E08" w14:textId="77777777" w:rsidR="006E1F2B" w:rsidRDefault="00324459">
      <w:pPr>
        <w:jc w:val="both"/>
      </w:pPr>
      <w:r>
        <w:t>Table 3: InH</w:t>
      </w:r>
      <w:r>
        <w:rPr>
          <w:lang w:val="en-US"/>
        </w:rPr>
        <w:t xml:space="preserve"> scenario parameters applicable in Rel 17 study on positioning enhancement </w:t>
      </w:r>
    </w:p>
    <w:p w14:paraId="3E3C7FB7" w14:textId="77777777" w:rsidR="006E1F2B" w:rsidRDefault="006E1F2B">
      <w:pPr>
        <w:jc w:val="both"/>
        <w:rPr>
          <w:lang w:val="en-US"/>
        </w:rPr>
      </w:pPr>
    </w:p>
    <w:p w14:paraId="31FC5BE9" w14:textId="77777777" w:rsidR="006E1F2B" w:rsidRDefault="00324459">
      <w:pPr>
        <w:jc w:val="both"/>
      </w:pPr>
      <w:r>
        <w:rPr>
          <w:b/>
          <w:bCs/>
          <w:u w:val="single"/>
        </w:rPr>
        <w:t>Proposal 7</w:t>
      </w:r>
      <w:r>
        <w:rPr>
          <w:b/>
          <w:bCs/>
        </w:rPr>
        <w:t xml:space="preserve">: Table 2 and 3 should be agreed as scenario specific </w:t>
      </w:r>
      <w:r>
        <w:rPr>
          <w:b/>
          <w:bCs/>
          <w:lang w:val="en-US"/>
        </w:rPr>
        <w:t>parameters.</w:t>
      </w:r>
    </w:p>
    <w:p w14:paraId="395EB79C" w14:textId="77777777" w:rsidR="006E1F2B" w:rsidRDefault="006E1F2B">
      <w:pPr>
        <w:jc w:val="both"/>
      </w:pPr>
    </w:p>
    <w:p w14:paraId="01B6BDD5" w14:textId="77777777" w:rsidR="006E1F2B" w:rsidRDefault="006E1F2B">
      <w:pPr>
        <w:jc w:val="both"/>
      </w:pPr>
    </w:p>
    <w:p w14:paraId="5A9D45E8" w14:textId="77777777" w:rsidR="006E1F2B" w:rsidRDefault="00324459">
      <w:pPr>
        <w:pStyle w:val="Heading1"/>
        <w:numPr>
          <w:ilvl w:val="0"/>
          <w:numId w:val="2"/>
        </w:numPr>
        <w:jc w:val="both"/>
      </w:pPr>
      <w:r>
        <w:t xml:space="preserve"> </w:t>
      </w:r>
      <w:r>
        <w:rPr>
          <w:lang w:val="en-US"/>
        </w:rPr>
        <w:t>Rel 16 DL PRS and UL SRS Configurations for evaluation</w:t>
      </w:r>
    </w:p>
    <w:p w14:paraId="5E8FB198" w14:textId="77777777" w:rsidR="006E1F2B" w:rsidRDefault="00324459">
      <w:pPr>
        <w:jc w:val="both"/>
      </w:pPr>
      <w:r>
        <w:t xml:space="preserve">One of the main objectives of Rel 17 positioning study is the evaluation of Rel 16 positioning methods and its performance in additional scenarios. Major change in NR positioning on top of LTE positioning is the introduction of few more methods for RAT based positioning e.g. UL-TDOA, </w:t>
      </w:r>
      <w:proofErr w:type="spellStart"/>
      <w:r>
        <w:t>AoD</w:t>
      </w:r>
      <w:proofErr w:type="spellEnd"/>
      <w:r>
        <w:t>/</w:t>
      </w:r>
      <w:proofErr w:type="spellStart"/>
      <w:r>
        <w:t>AoA</w:t>
      </w:r>
      <w:proofErr w:type="spellEnd"/>
      <w:r>
        <w:t xml:space="preserve"> based measurement. Similarly, PRS introduced in NR is more flexible than the LTE PRS and new UL positioning reference signal is introduced with reuse of SRS with additional configurations. Therefore, it is important to evaluate the NR positioning RSs for additional scenarios that are being introduced in Rel 17. Due to flexible nature of PRS in NR it will be beneficial to define minimum parameters for the DL-PRS and UL-SRS for positioning to have uniform results across different sources. Similarly, to quantify the power consumption for given accuracy it will be beneficial to specify such critical parameters for appropriate comparison of results. Such parameters could be </w:t>
      </w:r>
      <w:r>
        <w:rPr>
          <w:rFonts w:ascii="Arial" w:eastAsia="Times New Roman" w:hAnsi="Arial" w:cs="Arial"/>
          <w:sz w:val="16"/>
          <w:szCs w:val="16"/>
          <w:lang w:val="en-US"/>
        </w:rPr>
        <w:t>DL-PRS-Periodicity, DL-PRS-</w:t>
      </w:r>
      <w:proofErr w:type="spellStart"/>
      <w:r>
        <w:rPr>
          <w:rFonts w:ascii="Arial" w:eastAsia="Times New Roman" w:hAnsi="Arial" w:cs="Arial"/>
          <w:sz w:val="16"/>
          <w:szCs w:val="16"/>
          <w:lang w:val="en-US"/>
        </w:rPr>
        <w:t>ResourceRepetitionFactor</w:t>
      </w:r>
      <w:proofErr w:type="spellEnd"/>
      <w:r>
        <w:rPr>
          <w:rFonts w:ascii="Arial" w:eastAsia="Times New Roman" w:hAnsi="Arial" w:cs="Arial"/>
          <w:sz w:val="16"/>
          <w:szCs w:val="16"/>
          <w:lang w:val="en-US"/>
        </w:rPr>
        <w:t>, DL-PRS-</w:t>
      </w:r>
      <w:proofErr w:type="spellStart"/>
      <w:r>
        <w:rPr>
          <w:rFonts w:ascii="Arial" w:eastAsia="Times New Roman" w:hAnsi="Arial" w:cs="Arial"/>
          <w:sz w:val="16"/>
          <w:szCs w:val="16"/>
          <w:lang w:val="en-US"/>
        </w:rPr>
        <w:t>ReOffset</w:t>
      </w:r>
      <w:proofErr w:type="spellEnd"/>
      <w:r>
        <w:rPr>
          <w:rFonts w:ascii="Arial" w:eastAsia="Times New Roman" w:hAnsi="Arial" w:cs="Arial"/>
          <w:sz w:val="16"/>
          <w:szCs w:val="16"/>
          <w:lang w:val="en-US"/>
        </w:rPr>
        <w:t>, DL-PRS-</w:t>
      </w:r>
      <w:proofErr w:type="spellStart"/>
      <w:r>
        <w:rPr>
          <w:rFonts w:ascii="Arial" w:eastAsia="Times New Roman" w:hAnsi="Arial" w:cs="Arial"/>
          <w:sz w:val="16"/>
          <w:szCs w:val="16"/>
          <w:lang w:val="en-US"/>
        </w:rPr>
        <w:t>CombSizeN</w:t>
      </w:r>
      <w:proofErr w:type="spellEnd"/>
      <w:r>
        <w:rPr>
          <w:rFonts w:ascii="Arial" w:eastAsia="Times New Roman" w:hAnsi="Arial" w:cs="Arial"/>
          <w:sz w:val="16"/>
          <w:szCs w:val="16"/>
          <w:lang w:val="en-US"/>
        </w:rPr>
        <w:t>, DL-PRS-</w:t>
      </w:r>
      <w:proofErr w:type="spellStart"/>
      <w:r>
        <w:rPr>
          <w:rFonts w:ascii="Arial" w:eastAsia="Times New Roman" w:hAnsi="Arial" w:cs="Arial"/>
          <w:sz w:val="16"/>
          <w:szCs w:val="16"/>
          <w:lang w:val="en-US"/>
        </w:rPr>
        <w:t>NumSymbols</w:t>
      </w:r>
      <w:proofErr w:type="spellEnd"/>
      <w:r>
        <w:rPr>
          <w:rFonts w:ascii="Arial" w:eastAsia="Times New Roman" w:hAnsi="Arial" w:cs="Arial"/>
          <w:sz w:val="16"/>
          <w:szCs w:val="16"/>
          <w:lang w:val="en-US"/>
        </w:rPr>
        <w:t>, DL-PRS-</w:t>
      </w:r>
      <w:proofErr w:type="spellStart"/>
      <w:r>
        <w:rPr>
          <w:rFonts w:ascii="Arial" w:eastAsia="Times New Roman" w:hAnsi="Arial" w:cs="Arial"/>
          <w:sz w:val="16"/>
          <w:szCs w:val="16"/>
          <w:lang w:val="en-US"/>
        </w:rPr>
        <w:t>expectedRSTD</w:t>
      </w:r>
      <w:proofErr w:type="spellEnd"/>
      <w:r>
        <w:rPr>
          <w:rFonts w:ascii="Arial" w:eastAsia="Times New Roman" w:hAnsi="Arial" w:cs="Arial"/>
          <w:sz w:val="16"/>
          <w:szCs w:val="16"/>
          <w:lang w:val="en-US"/>
        </w:rPr>
        <w:t>, DL-PRS-</w:t>
      </w:r>
      <w:proofErr w:type="spellStart"/>
      <w:r>
        <w:rPr>
          <w:rFonts w:ascii="Arial" w:eastAsia="Times New Roman" w:hAnsi="Arial" w:cs="Arial"/>
          <w:sz w:val="16"/>
          <w:szCs w:val="16"/>
          <w:lang w:val="en-US"/>
        </w:rPr>
        <w:t>expectedRSTD</w:t>
      </w:r>
      <w:proofErr w:type="spellEnd"/>
      <w:r>
        <w:rPr>
          <w:rFonts w:ascii="Arial" w:eastAsia="Times New Roman" w:hAnsi="Arial" w:cs="Arial"/>
          <w:sz w:val="16"/>
          <w:szCs w:val="16"/>
          <w:lang w:val="en-US"/>
        </w:rPr>
        <w:t xml:space="preserve">-uncertainty </w:t>
      </w:r>
      <w:proofErr w:type="spellStart"/>
      <w:r>
        <w:rPr>
          <w:rFonts w:ascii="Arial" w:eastAsia="Times New Roman" w:hAnsi="Arial" w:cs="Arial"/>
          <w:sz w:val="16"/>
          <w:szCs w:val="16"/>
          <w:lang w:val="en-US"/>
        </w:rPr>
        <w:t>etc</w:t>
      </w:r>
      <w:proofErr w:type="spellEnd"/>
      <w:r>
        <w:rPr>
          <w:rFonts w:ascii="Arial" w:eastAsia="Times New Roman" w:hAnsi="Arial" w:cs="Arial"/>
          <w:sz w:val="16"/>
          <w:szCs w:val="16"/>
          <w:lang w:val="en-US"/>
        </w:rPr>
        <w:t xml:space="preserve"> </w:t>
      </w:r>
      <w:r>
        <w:t xml:space="preserve">for DL-PRS and  </w:t>
      </w:r>
      <w:proofErr w:type="spellStart"/>
      <w:r>
        <w:rPr>
          <w:rFonts w:ascii="Arial" w:eastAsia="Times New Roman" w:hAnsi="Arial" w:cs="Arial"/>
          <w:sz w:val="16"/>
          <w:szCs w:val="16"/>
          <w:lang w:val="en-US"/>
        </w:rPr>
        <w:t>transmissionComb</w:t>
      </w:r>
      <w:proofErr w:type="spellEnd"/>
      <w:r>
        <w:rPr>
          <w:rFonts w:ascii="Arial" w:eastAsia="Times New Roman" w:hAnsi="Arial" w:cs="Arial"/>
          <w:sz w:val="16"/>
          <w:szCs w:val="16"/>
          <w:lang w:val="en-US"/>
        </w:rPr>
        <w:t xml:space="preserve">, SRS-Periodicity, </w:t>
      </w:r>
      <w:proofErr w:type="spellStart"/>
      <w:r>
        <w:rPr>
          <w:rFonts w:ascii="Arial" w:eastAsia="Times New Roman" w:hAnsi="Arial" w:cs="Arial"/>
          <w:sz w:val="16"/>
          <w:szCs w:val="16"/>
          <w:lang w:val="en-US"/>
        </w:rPr>
        <w:t>resourceType</w:t>
      </w:r>
      <w:proofErr w:type="spellEnd"/>
      <w:r>
        <w:rPr>
          <w:rFonts w:ascii="Arial" w:eastAsia="Times New Roman" w:hAnsi="Arial" w:cs="Arial"/>
          <w:sz w:val="16"/>
          <w:szCs w:val="16"/>
          <w:lang w:val="en-US"/>
        </w:rPr>
        <w:t xml:space="preserve">, P0 </w:t>
      </w:r>
      <w:r>
        <w:t>etc.</w:t>
      </w:r>
    </w:p>
    <w:p w14:paraId="499CFCAB" w14:textId="77777777" w:rsidR="006E1F2B" w:rsidRDefault="006E1F2B">
      <w:pPr>
        <w:jc w:val="both"/>
      </w:pPr>
    </w:p>
    <w:p w14:paraId="26960DE8" w14:textId="77777777" w:rsidR="006E1F2B" w:rsidRDefault="00324459">
      <w:pPr>
        <w:jc w:val="both"/>
      </w:pPr>
      <w:r>
        <w:rPr>
          <w:b/>
          <w:bCs/>
          <w:u w:val="single"/>
        </w:rPr>
        <w:t>Proposal 8</w:t>
      </w:r>
      <w:r>
        <w:rPr>
          <w:b/>
          <w:bCs/>
        </w:rPr>
        <w:t>: For uniform results across different sources, common parameters for DL-PRS and UL-SRS for positioning should be defined in evaluation methodologies of Rel 17 positioning enhancement.</w:t>
      </w:r>
    </w:p>
    <w:p w14:paraId="65A03254" w14:textId="77777777" w:rsidR="006E1F2B" w:rsidRDefault="006E1F2B">
      <w:pPr>
        <w:jc w:val="both"/>
      </w:pPr>
    </w:p>
    <w:p w14:paraId="4DB7B16F" w14:textId="77777777" w:rsidR="006E1F2B" w:rsidRDefault="00324459">
      <w:pPr>
        <w:pStyle w:val="Heading1"/>
        <w:numPr>
          <w:ilvl w:val="0"/>
          <w:numId w:val="2"/>
        </w:numPr>
        <w:jc w:val="both"/>
      </w:pPr>
      <w:r>
        <w:lastRenderedPageBreak/>
        <w:t xml:space="preserve"> Conclusion</w:t>
      </w:r>
    </w:p>
    <w:p w14:paraId="1B1EBEE7" w14:textId="77777777" w:rsidR="006E1F2B" w:rsidRDefault="00324459">
      <w:pPr>
        <w:pStyle w:val="3GPPText"/>
        <w:spacing w:before="0" w:after="0"/>
      </w:pPr>
      <w:r>
        <w:t xml:space="preserve">This contribution proposed the scenarios and parameters for positioning enhancement performance evaluation in Rel 17. Following proposals are present in the contribution. </w:t>
      </w:r>
    </w:p>
    <w:p w14:paraId="058E53A7" w14:textId="77777777" w:rsidR="006E1F2B" w:rsidRDefault="006E1F2B">
      <w:pPr>
        <w:pStyle w:val="3GPPText"/>
        <w:spacing w:before="0" w:after="0"/>
        <w:rPr>
          <w:u w:val="single"/>
        </w:rPr>
      </w:pPr>
    </w:p>
    <w:p w14:paraId="402BD5D4" w14:textId="77777777" w:rsidR="006E1F2B" w:rsidRDefault="00324459">
      <w:pPr>
        <w:pStyle w:val="3GPPText"/>
        <w:spacing w:before="0" w:after="0"/>
        <w:rPr>
          <w:b/>
          <w:bCs/>
        </w:rPr>
      </w:pPr>
      <w:r>
        <w:rPr>
          <w:b/>
          <w:bCs/>
          <w:u w:val="single"/>
        </w:rPr>
        <w:t>Proposal 1:</w:t>
      </w:r>
      <w:r>
        <w:rPr>
          <w:b/>
          <w:bCs/>
        </w:rPr>
        <w:t xml:space="preserve"> For Rel 17 positioning enhancement, InF-DL and InF-DH or mix of both in single scenario should be considered for evaluation of positioning for IIoT use cases.</w:t>
      </w:r>
    </w:p>
    <w:p w14:paraId="6CB70DA4" w14:textId="77777777" w:rsidR="006E1F2B" w:rsidRDefault="006E1F2B">
      <w:pPr>
        <w:pStyle w:val="3GPPText"/>
        <w:spacing w:before="0" w:after="0"/>
        <w:rPr>
          <w:rFonts w:eastAsia="SimSun;宋体"/>
          <w:b/>
          <w:bCs/>
          <w:u w:val="single"/>
          <w:lang w:eastAsia="ja-JP"/>
        </w:rPr>
      </w:pPr>
    </w:p>
    <w:p w14:paraId="45932E6F" w14:textId="77777777" w:rsidR="006E1F2B" w:rsidRDefault="00324459">
      <w:pPr>
        <w:pStyle w:val="3GPPText"/>
        <w:spacing w:before="0" w:after="0"/>
      </w:pPr>
      <w:r>
        <w:rPr>
          <w:b/>
          <w:bCs/>
          <w:u w:val="single"/>
        </w:rPr>
        <w:t>Proposal 2</w:t>
      </w:r>
      <w:r>
        <w:rPr>
          <w:b/>
          <w:bCs/>
        </w:rPr>
        <w:t xml:space="preserve">:   In Rel 17, </w:t>
      </w:r>
      <w:r>
        <w:rPr>
          <w:rFonts w:eastAsia="SimSun;宋体"/>
          <w:b/>
          <w:bCs/>
          <w:lang w:eastAsia="ja-JP"/>
        </w:rPr>
        <w:t>at least InH scenario should be considered along with InF scenarios.</w:t>
      </w:r>
    </w:p>
    <w:p w14:paraId="3A693ADB" w14:textId="77777777" w:rsidR="006E1F2B" w:rsidRDefault="006E1F2B">
      <w:pPr>
        <w:pStyle w:val="3GPPText"/>
        <w:spacing w:before="0" w:after="0"/>
        <w:rPr>
          <w:rFonts w:eastAsia="SimSun;宋体"/>
          <w:u w:val="single"/>
          <w:lang w:eastAsia="ja-JP"/>
        </w:rPr>
      </w:pPr>
    </w:p>
    <w:p w14:paraId="7203B7ED" w14:textId="77777777" w:rsidR="006E1F2B" w:rsidRDefault="00324459">
      <w:pPr>
        <w:pStyle w:val="3GPPText"/>
        <w:spacing w:before="0" w:after="0"/>
      </w:pPr>
      <w:r>
        <w:rPr>
          <w:b/>
          <w:bCs/>
          <w:u w:val="single"/>
        </w:rPr>
        <w:t>Proposal 3</w:t>
      </w:r>
      <w:r>
        <w:rPr>
          <w:b/>
          <w:bCs/>
        </w:rPr>
        <w:t>: In Rel 17 additional percentile value e.g. 95%, 99% can be considered as accuracy metric both for vertical and horizontal positioning.</w:t>
      </w:r>
    </w:p>
    <w:p w14:paraId="13B3ED2C" w14:textId="77777777" w:rsidR="006E1F2B" w:rsidRDefault="006E1F2B">
      <w:pPr>
        <w:pStyle w:val="3GPPText"/>
        <w:spacing w:before="0" w:after="0"/>
        <w:rPr>
          <w:b/>
          <w:bCs/>
        </w:rPr>
      </w:pPr>
    </w:p>
    <w:p w14:paraId="789E5E03" w14:textId="77777777" w:rsidR="006E1F2B" w:rsidRDefault="00324459">
      <w:pPr>
        <w:pStyle w:val="3GPPText"/>
        <w:spacing w:before="0" w:after="0"/>
      </w:pPr>
      <w:r>
        <w:rPr>
          <w:b/>
          <w:bCs/>
          <w:u w:val="single"/>
        </w:rPr>
        <w:t>Proposal 4</w:t>
      </w:r>
      <w:r>
        <w:rPr>
          <w:b/>
          <w:bCs/>
        </w:rPr>
        <w:t>: LOS link based achievable positioning accuracy should be used to compare the deviation of actual positioning accuracy.</w:t>
      </w:r>
    </w:p>
    <w:p w14:paraId="6E899FA9" w14:textId="77777777" w:rsidR="006E1F2B" w:rsidRDefault="006E1F2B">
      <w:pPr>
        <w:pStyle w:val="3GPPText"/>
        <w:spacing w:before="0" w:after="0"/>
      </w:pPr>
    </w:p>
    <w:p w14:paraId="30BEF8ED" w14:textId="77777777" w:rsidR="006E1F2B" w:rsidRDefault="00324459">
      <w:pPr>
        <w:pStyle w:val="3GPPText"/>
        <w:spacing w:before="0" w:after="0"/>
      </w:pPr>
      <w:r>
        <w:rPr>
          <w:b/>
          <w:bCs/>
          <w:u w:val="single"/>
        </w:rPr>
        <w:t>Proposal 5:</w:t>
      </w:r>
      <w:r>
        <w:rPr>
          <w:b/>
          <w:bCs/>
        </w:rPr>
        <w:t xml:space="preserve"> Quantification of Power consumption for performance evaluation of positioning should be introduced.</w:t>
      </w:r>
    </w:p>
    <w:p w14:paraId="2960708B" w14:textId="77777777" w:rsidR="006E1F2B" w:rsidRDefault="006E1F2B">
      <w:pPr>
        <w:jc w:val="both"/>
        <w:rPr>
          <w:u w:val="single"/>
        </w:rPr>
      </w:pPr>
    </w:p>
    <w:p w14:paraId="73CA532B" w14:textId="77777777" w:rsidR="006E1F2B" w:rsidRDefault="00324459">
      <w:pPr>
        <w:jc w:val="both"/>
      </w:pPr>
      <w:r>
        <w:rPr>
          <w:b/>
          <w:bCs/>
          <w:u w:val="single"/>
        </w:rPr>
        <w:t>Proposal 6</w:t>
      </w:r>
      <w:r>
        <w:rPr>
          <w:b/>
          <w:bCs/>
        </w:rPr>
        <w:t xml:space="preserve">: Table 1 should be agreed as </w:t>
      </w:r>
      <w:r>
        <w:rPr>
          <w:b/>
          <w:bCs/>
          <w:lang w:val="en-US"/>
        </w:rPr>
        <w:t>common scenario parameters.</w:t>
      </w:r>
    </w:p>
    <w:p w14:paraId="33E58E2F" w14:textId="77777777" w:rsidR="006E1F2B" w:rsidRDefault="006E1F2B">
      <w:pPr>
        <w:jc w:val="both"/>
        <w:rPr>
          <w:u w:val="single"/>
          <w:lang w:val="en-US"/>
        </w:rPr>
      </w:pPr>
    </w:p>
    <w:p w14:paraId="088C7AC4" w14:textId="77777777" w:rsidR="006E1F2B" w:rsidRDefault="00324459">
      <w:pPr>
        <w:jc w:val="both"/>
      </w:pPr>
      <w:r>
        <w:rPr>
          <w:b/>
          <w:bCs/>
          <w:u w:val="single"/>
        </w:rPr>
        <w:t>Proposal 7</w:t>
      </w:r>
      <w:r>
        <w:rPr>
          <w:b/>
          <w:bCs/>
        </w:rPr>
        <w:t xml:space="preserve">: Table 2 and 3 should be agreed as scenario specific </w:t>
      </w:r>
      <w:r>
        <w:rPr>
          <w:b/>
          <w:bCs/>
          <w:lang w:val="en-US"/>
        </w:rPr>
        <w:t>parameters.</w:t>
      </w:r>
    </w:p>
    <w:p w14:paraId="104E74F1" w14:textId="77777777" w:rsidR="006E1F2B" w:rsidRDefault="006E1F2B">
      <w:pPr>
        <w:jc w:val="both"/>
        <w:rPr>
          <w:u w:val="single"/>
          <w:lang w:val="en-US"/>
        </w:rPr>
      </w:pPr>
    </w:p>
    <w:p w14:paraId="2CE8FCD2" w14:textId="77777777" w:rsidR="006E1F2B" w:rsidRDefault="00324459">
      <w:pPr>
        <w:jc w:val="both"/>
      </w:pPr>
      <w:r>
        <w:rPr>
          <w:b/>
          <w:bCs/>
          <w:u w:val="single"/>
        </w:rPr>
        <w:t>Proposal 8</w:t>
      </w:r>
      <w:r>
        <w:rPr>
          <w:b/>
          <w:bCs/>
        </w:rPr>
        <w:t>: For uniform results across different sources, common parameters for DL-PRS and UL-SRS for positioning should be defined in evaluation methodologies of Rel 17 positioning enhancement.</w:t>
      </w:r>
    </w:p>
    <w:p w14:paraId="0137D1C5" w14:textId="77777777" w:rsidR="006E1F2B" w:rsidRDefault="00324459">
      <w:pPr>
        <w:pStyle w:val="Heading1"/>
        <w:numPr>
          <w:ilvl w:val="0"/>
          <w:numId w:val="2"/>
        </w:numPr>
        <w:jc w:val="both"/>
      </w:pPr>
      <w:r>
        <w:t xml:space="preserve"> References</w:t>
      </w:r>
    </w:p>
    <w:p w14:paraId="55771EFF" w14:textId="77777777" w:rsidR="006E1F2B" w:rsidRDefault="00324459">
      <w:pPr>
        <w:numPr>
          <w:ilvl w:val="0"/>
          <w:numId w:val="6"/>
        </w:numPr>
        <w:jc w:val="both"/>
      </w:pPr>
      <w:r>
        <w:t>TR38.901: Study on channel model for frequencies from 0.5 to 100 GHz</w:t>
      </w:r>
    </w:p>
    <w:p w14:paraId="55ED11D3" w14:textId="77777777" w:rsidR="006E1F2B" w:rsidRDefault="00324459">
      <w:pPr>
        <w:numPr>
          <w:ilvl w:val="0"/>
          <w:numId w:val="6"/>
        </w:numPr>
        <w:jc w:val="both"/>
      </w:pPr>
      <w:r>
        <w:t>TR38.855: Study on NR positioning support (Release 16)</w:t>
      </w:r>
    </w:p>
    <w:p w14:paraId="02D1B442" w14:textId="77777777" w:rsidR="006E1F2B" w:rsidRDefault="00324459">
      <w:pPr>
        <w:numPr>
          <w:ilvl w:val="0"/>
          <w:numId w:val="6"/>
        </w:numPr>
        <w:jc w:val="both"/>
      </w:pPr>
      <w:r>
        <w:t>TR 22.804: Study on Communication for Automation in Vertical Domains (Release 16)</w:t>
      </w:r>
    </w:p>
    <w:p w14:paraId="41FCEAF8" w14:textId="77777777" w:rsidR="006E1F2B" w:rsidRDefault="006E1F2B">
      <w:pPr>
        <w:ind w:left="720"/>
        <w:jc w:val="both"/>
      </w:pPr>
    </w:p>
    <w:p w14:paraId="1ECEFF45" w14:textId="77777777" w:rsidR="006E1F2B" w:rsidRDefault="006E1F2B">
      <w:pPr>
        <w:jc w:val="both"/>
        <w:sectPr w:rsidR="006E1F2B">
          <w:pgSz w:w="11906" w:h="16838"/>
          <w:pgMar w:top="1134" w:right="1134" w:bottom="1134" w:left="1134" w:header="0" w:footer="0" w:gutter="0"/>
          <w:cols w:space="720"/>
          <w:formProt w:val="0"/>
          <w:docGrid w:linePitch="312" w:charSpace="-6145"/>
        </w:sectPr>
      </w:pPr>
    </w:p>
    <w:p w14:paraId="0623B603" w14:textId="77777777" w:rsidR="006E1F2B" w:rsidRDefault="00324459">
      <w:pPr>
        <w:tabs>
          <w:tab w:val="left" w:pos="4939"/>
        </w:tabs>
        <w:jc w:val="both"/>
      </w:pPr>
      <w:r>
        <w:rPr>
          <w:color w:val="808080"/>
        </w:rPr>
        <w:lastRenderedPageBreak/>
        <w:t xml:space="preserve"> </w:t>
      </w:r>
    </w:p>
    <w:p w14:paraId="230A508E" w14:textId="77777777" w:rsidR="006E1F2B" w:rsidRDefault="006E1F2B">
      <w:pPr>
        <w:tabs>
          <w:tab w:val="left" w:pos="4939"/>
        </w:tabs>
        <w:jc w:val="both"/>
      </w:pPr>
    </w:p>
    <w:sectPr w:rsidR="006E1F2B">
      <w:pgSz w:w="11906" w:h="16838"/>
      <w:pgMar w:top="1134" w:right="1134" w:bottom="1134" w:left="1134" w:header="0" w:footer="0" w:gutter="0"/>
      <w:cols w:space="720"/>
      <w:formProt w:val="0"/>
      <w:docGrid w:linePitch="312"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SimSun;宋体">
    <w:panose1 w:val="00000000000000000000"/>
    <w:charset w:val="8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roman"/>
    <w:pitch w:val="variable"/>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512E3"/>
    <w:multiLevelType w:val="multilevel"/>
    <w:tmpl w:val="766ED83E"/>
    <w:lvl w:ilvl="0">
      <w:start w:val="1"/>
      <w:numFmt w:val="decimal"/>
      <w:lvlText w:val="%1."/>
      <w:lvlJc w:val="left"/>
      <w:pPr>
        <w:ind w:left="720" w:hanging="360"/>
      </w:pPr>
      <w:rPr>
        <w:rFonts w:eastAsia="SimSun;宋体"/>
        <w:lang w:val="en-US" w:eastAsia="ja-JP"/>
      </w:rPr>
    </w:lvl>
    <w:lvl w:ilvl="1">
      <w:start w:val="1"/>
      <w:numFmt w:val="lowerLetter"/>
      <w:lvlText w:val="%2."/>
      <w:lvlJc w:val="left"/>
      <w:pPr>
        <w:ind w:left="1440" w:hanging="360"/>
      </w:pPr>
      <w:rPr>
        <w:rFonts w:eastAsia="SimSun;宋体"/>
        <w:lang w:val="en-US" w:eastAsia="ja-JP"/>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3B5FB6"/>
    <w:multiLevelType w:val="multilevel"/>
    <w:tmpl w:val="09600F4E"/>
    <w:lvl w:ilvl="0">
      <w:start w:val="1"/>
      <w:numFmt w:val="low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2" w15:restartNumberingAfterBreak="0">
    <w:nsid w:val="248F3A7C"/>
    <w:multiLevelType w:val="multilevel"/>
    <w:tmpl w:val="E2AA4A5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70B69A0"/>
    <w:multiLevelType w:val="multilevel"/>
    <w:tmpl w:val="C2442970"/>
    <w:lvl w:ilvl="0">
      <w:start w:val="1"/>
      <w:numFmt w:val="decimal"/>
      <w:suff w:val="nothing"/>
      <w:lvlText w:val="%1"/>
      <w:lvlJc w:val="left"/>
      <w:pPr>
        <w:ind w:left="432" w:hanging="432"/>
      </w:pPr>
    </w:lvl>
    <w:lvl w:ilvl="1">
      <w:start w:val="1"/>
      <w:numFmt w:val="none"/>
      <w:suff w:val="nothing"/>
      <w:lvlText w:val=""/>
      <w:lvlJc w:val="left"/>
      <w:pPr>
        <w:ind w:left="576" w:hanging="576"/>
      </w:pPr>
    </w:lvl>
    <w:lvl w:ilvl="2">
      <w:start w:val="1"/>
      <w:numFmt w:val="decimal"/>
      <w:lvlText w:val="%1.%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52B821E6"/>
    <w:multiLevelType w:val="multilevel"/>
    <w:tmpl w:val="3A508854"/>
    <w:lvl w:ilvl="0">
      <w:start w:val="1"/>
      <w:numFmt w:val="decimal"/>
      <w:pStyle w:val="Heading1"/>
      <w:suff w:val="nothing"/>
      <w:lvlText w:val="%1"/>
      <w:lvlJc w:val="left"/>
      <w:pPr>
        <w:ind w:left="432" w:hanging="432"/>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7B9551E7"/>
    <w:multiLevelType w:val="multilevel"/>
    <w:tmpl w:val="A768CF3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F2B"/>
    <w:rsid w:val="0029359D"/>
    <w:rsid w:val="00324459"/>
    <w:rsid w:val="005905E3"/>
    <w:rsid w:val="00645EF6"/>
    <w:rsid w:val="006E1F2B"/>
    <w:rsid w:val="007A299D"/>
    <w:rsid w:val="00AF2200"/>
    <w:rsid w:val="00C55C0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FAF0D"/>
  <w15:docId w15:val="{9D684D11-236E-4999-848F-6EDD8A6A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oto Sans CJK SC Regular" w:hAnsi="Liberation Serif" w:cs="FreeSans"/>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A"/>
      <w:sz w:val="24"/>
    </w:rPr>
  </w:style>
  <w:style w:type="paragraph" w:styleId="Heading1">
    <w:name w:val="heading 1"/>
    <w:basedOn w:val="Heading"/>
    <w:next w:val="Normal"/>
    <w:uiPriority w:val="9"/>
    <w:qFormat/>
    <w:pPr>
      <w:keepLines/>
      <w:numPr>
        <w:numId w:val="1"/>
      </w:numPr>
      <w:pBdr>
        <w:top w:val="single" w:sz="12" w:space="3" w:color="00000A"/>
      </w:pBdr>
      <w:textAlignment w:val="baseline"/>
      <w:outlineLvl w:val="0"/>
    </w:pPr>
    <w:rPr>
      <w:rFonts w:ascii="Arial" w:eastAsia="SimSun" w:hAnsi="Arial" w:cs="Times New Roman"/>
      <w:sz w:val="36"/>
      <w:szCs w:val="20"/>
      <w:lang w:val="en-GB" w:eastAsia="en-US"/>
    </w:rPr>
  </w:style>
  <w:style w:type="paragraph" w:styleId="Heading3">
    <w:name w:val="heading 3"/>
    <w:basedOn w:val="Normal"/>
    <w:next w:val="Normal"/>
    <w:uiPriority w:val="9"/>
    <w:unhideWhenUsed/>
    <w:qFormat/>
    <w:pPr>
      <w:keepNext/>
      <w:numPr>
        <w:ilvl w:val="2"/>
        <w:numId w:val="1"/>
      </w:numPr>
      <w:spacing w:before="240" w:after="60"/>
      <w:outlineLvl w:val="2"/>
    </w:pPr>
    <w:rPr>
      <w:rFonts w:ascii="Arial" w:hAnsi="Arial" w:cs="Arial"/>
      <w:b/>
      <w:bCs/>
      <w:szCs w:val="26"/>
    </w:rPr>
  </w:style>
  <w:style w:type="paragraph" w:styleId="Heading4">
    <w:name w:val="heading 4"/>
    <w:basedOn w:val="Heading"/>
    <w:uiPriority w:val="9"/>
    <w:semiHidden/>
    <w:unhideWhenUsed/>
    <w:qFormat/>
    <w:pPr>
      <w:outlineLvl w:val="3"/>
    </w:pPr>
  </w:style>
  <w:style w:type="paragraph" w:styleId="Heading5">
    <w:name w:val="heading 5"/>
    <w:basedOn w:val="Heading"/>
    <w:uiPriority w:val="9"/>
    <w:semiHidden/>
    <w:unhideWhenUsed/>
    <w:qFormat/>
    <w:pPr>
      <w:outlineLvl w:val="4"/>
    </w:pPr>
  </w:style>
  <w:style w:type="paragraph" w:styleId="Heading6">
    <w:name w:val="heading 6"/>
    <w:basedOn w:val="Heading"/>
    <w:uiPriority w:val="9"/>
    <w:semiHidden/>
    <w:unhideWhenUsed/>
    <w:qFormat/>
    <w:pPr>
      <w:outlineLvl w:val="5"/>
    </w:pPr>
  </w:style>
  <w:style w:type="paragraph" w:styleId="Heading7">
    <w:name w:val="heading 7"/>
    <w:basedOn w:val="Heading"/>
    <w:qFormat/>
    <w:pPr>
      <w:outlineLvl w:val="6"/>
    </w:pPr>
  </w:style>
  <w:style w:type="paragraph" w:styleId="Heading8">
    <w:name w:val="heading 8"/>
    <w:basedOn w:val="Heading"/>
    <w:qFormat/>
    <w:pPr>
      <w:outlineLvl w:val="7"/>
    </w:pPr>
  </w:style>
  <w:style w:type="paragraph" w:styleId="Heading9">
    <w:name w:val="heading 9"/>
    <w:basedOn w:val="Heading"/>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
    <w:name w:val="ListLabel 1"/>
    <w:qFormat/>
    <w:rPr>
      <w:lang w:val="en-US"/>
    </w:rPr>
  </w:style>
  <w:style w:type="character" w:customStyle="1" w:styleId="ListLabel2">
    <w:name w:val="ListLabel 2"/>
    <w:qFormat/>
    <w:rPr>
      <w:i w:val="0"/>
      <w:sz w:val="32"/>
      <w:szCs w:val="32"/>
      <w:lang w:val="en-US"/>
    </w:rPr>
  </w:style>
  <w:style w:type="character" w:customStyle="1" w:styleId="ListLabel3">
    <w:name w:val="ListLabel 3"/>
    <w:qFormat/>
    <w:rPr>
      <w:lang w:val="en-US"/>
    </w:rPr>
  </w:style>
  <w:style w:type="character" w:customStyle="1" w:styleId="ListLabel4">
    <w:name w:val="ListLabel 4"/>
    <w:qFormat/>
    <w:rPr>
      <w:i w:val="0"/>
      <w:sz w:val="32"/>
      <w:szCs w:val="32"/>
      <w:lang w:val="en-US"/>
    </w:rPr>
  </w:style>
  <w:style w:type="character" w:customStyle="1" w:styleId="NumberingSymbols">
    <w:name w:val="Numbering Symbols"/>
    <w:qFormat/>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normaltextrun">
    <w:name w:val="normaltextrun"/>
    <w:qFormat/>
  </w:style>
  <w:style w:type="character" w:customStyle="1" w:styleId="spellingerror">
    <w:name w:val="spellingerror"/>
    <w:qFormat/>
  </w:style>
  <w:style w:type="character" w:customStyle="1" w:styleId="WW8Num4z0">
    <w:name w:val="WW8Num4z0"/>
    <w:qFormat/>
    <w:rPr>
      <w:rFonts w:eastAsia="SimSun;宋体"/>
      <w:lang w:val="en-US" w:eastAsia="ja-JP"/>
    </w:rPr>
  </w:style>
  <w:style w:type="character" w:customStyle="1" w:styleId="WW8Num4z1">
    <w:name w:val="WW8Num4z1"/>
    <w:qFormat/>
    <w:rPr>
      <w:rFonts w:eastAsia="SimSun;宋体"/>
      <w:lang w:val="en-US" w:eastAsia="ja-JP"/>
    </w:rPr>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eastAsia="SimSun;宋体"/>
      <w:lang w:val="en-US" w:eastAsia="ja-JP"/>
    </w:rPr>
  </w:style>
  <w:style w:type="character" w:customStyle="1" w:styleId="ListLabel35">
    <w:name w:val="ListLabel 35"/>
    <w:qFormat/>
    <w:rPr>
      <w:rFonts w:eastAsia="SimSun;宋体"/>
      <w:lang w:val="en-US" w:eastAsia="ja-JP"/>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cs="Symbol"/>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cs="Symbol"/>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eastAsia="SimSun;宋体"/>
      <w:lang w:val="en-US" w:eastAsia="ja-JP"/>
    </w:rPr>
  </w:style>
  <w:style w:type="character" w:customStyle="1" w:styleId="ListLabel46">
    <w:name w:val="ListLabel 46"/>
    <w:qFormat/>
    <w:rPr>
      <w:rFonts w:eastAsia="SimSun;宋体"/>
      <w:lang w:val="en-US" w:eastAsia="ja-JP"/>
    </w:rPr>
  </w:style>
  <w:style w:type="character" w:customStyle="1" w:styleId="BalloonTextChar">
    <w:name w:val="Balloon Text Char"/>
    <w:basedOn w:val="DefaultParagraphFont"/>
    <w:link w:val="BalloonText"/>
    <w:uiPriority w:val="99"/>
    <w:semiHidden/>
    <w:qFormat/>
    <w:rsid w:val="00B951AE"/>
    <w:rPr>
      <w:rFonts w:ascii="Segoe UI" w:hAnsi="Segoe UI" w:cs="Mangal"/>
      <w:color w:val="00000A"/>
      <w:sz w:val="18"/>
      <w:szCs w:val="16"/>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eastAsia="SimSun;宋体"/>
      <w:lang w:val="en-US" w:eastAsia="ja-JP"/>
    </w:rPr>
  </w:style>
  <w:style w:type="character" w:customStyle="1" w:styleId="ListLabel57">
    <w:name w:val="ListLabel 57"/>
    <w:qFormat/>
    <w:rPr>
      <w:rFonts w:eastAsia="SimSun;宋体"/>
      <w:lang w:val="en-US" w:eastAsia="ja-JP"/>
    </w:rPr>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TOC1">
    <w:name w:val="toc 1"/>
    <w:basedOn w:val="Index"/>
    <w:pPr>
      <w:keepNext/>
      <w:keepLines/>
      <w:widowControl w:val="0"/>
      <w:tabs>
        <w:tab w:val="right" w:leader="dot" w:pos="9639"/>
      </w:tabs>
      <w:spacing w:before="120" w:after="180"/>
      <w:ind w:left="567" w:right="425" w:hanging="567"/>
    </w:pPr>
    <w:rPr>
      <w:sz w:val="22"/>
      <w:lang w:eastAsia="en-US"/>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customStyle="1" w:styleId="3GPPText">
    <w:name w:val="3GPP Text"/>
    <w:basedOn w:val="Normal"/>
    <w:qFormat/>
    <w:pPr>
      <w:spacing w:before="120" w:after="120"/>
      <w:jc w:val="both"/>
    </w:pPr>
    <w:rPr>
      <w:lang w:val="en-US"/>
    </w:rPr>
  </w:style>
  <w:style w:type="paragraph" w:customStyle="1" w:styleId="TAH">
    <w:name w:val="TAH"/>
    <w:qFormat/>
    <w:pPr>
      <w:widowControl w:val="0"/>
    </w:pPr>
    <w:rPr>
      <w:b/>
      <w:color w:val="00000A"/>
      <w:sz w:val="24"/>
    </w:rPr>
  </w:style>
  <w:style w:type="paragraph" w:customStyle="1" w:styleId="TAL">
    <w:name w:val="TAL"/>
    <w:basedOn w:val="Normal"/>
    <w:qFormat/>
    <w:pPr>
      <w:keepNext/>
      <w:keepLines/>
    </w:pPr>
    <w:rPr>
      <w:rFonts w:ascii="Arial" w:eastAsia="Times New Roman" w:hAnsi="Arial"/>
      <w:sz w:val="18"/>
    </w:rPr>
  </w:style>
  <w:style w:type="paragraph" w:customStyle="1" w:styleId="B1">
    <w:name w:val="B1"/>
    <w:basedOn w:val="List"/>
    <w:qFormat/>
    <w:pPr>
      <w:spacing w:after="180"/>
      <w:ind w:left="568" w:hanging="284"/>
    </w:pPr>
    <w:rPr>
      <w:rFonts w:eastAsia="Times New Roman"/>
    </w:rPr>
  </w:style>
  <w:style w:type="paragraph" w:styleId="ListBullet3">
    <w:name w:val="List Bullet 3"/>
    <w:basedOn w:val="Normal"/>
    <w:qFormat/>
    <w:pPr>
      <w:spacing w:after="120"/>
      <w:ind w:left="566" w:hanging="283"/>
      <w:contextualSpacing/>
    </w:pPr>
  </w:style>
  <w:style w:type="paragraph" w:customStyle="1" w:styleId="B2">
    <w:name w:val="B2"/>
    <w:basedOn w:val="ListBullet3"/>
    <w:qFormat/>
    <w:pPr>
      <w:spacing w:after="180"/>
      <w:ind w:left="851" w:hanging="284"/>
    </w:pPr>
    <w:rPr>
      <w:rFonts w:eastAsia="Times New Roman"/>
    </w:rPr>
  </w:style>
  <w:style w:type="paragraph" w:customStyle="1" w:styleId="TAN">
    <w:name w:val="TAN"/>
    <w:basedOn w:val="TAL"/>
    <w:qFormat/>
    <w:pPr>
      <w:ind w:left="851" w:hanging="851"/>
    </w:pPr>
  </w:style>
  <w:style w:type="paragraph" w:customStyle="1" w:styleId="NO">
    <w:name w:val="NO"/>
    <w:basedOn w:val="Normal"/>
    <w:qFormat/>
    <w:pPr>
      <w:keepLines/>
      <w:ind w:left="1135" w:hanging="851"/>
    </w:pPr>
  </w:style>
  <w:style w:type="paragraph" w:customStyle="1" w:styleId="Heading10">
    <w:name w:val="Heading 10"/>
    <w:basedOn w:val="Heading"/>
    <w:qFormat/>
  </w:style>
  <w:style w:type="paragraph" w:customStyle="1" w:styleId="TableContents">
    <w:name w:val="Table Contents"/>
    <w:basedOn w:val="Normal"/>
    <w:qFormat/>
  </w:style>
  <w:style w:type="paragraph" w:customStyle="1" w:styleId="TableHeading">
    <w:name w:val="Table Heading"/>
    <w:basedOn w:val="TableContents"/>
    <w:qFormat/>
  </w:style>
  <w:style w:type="paragraph" w:styleId="BalloonText">
    <w:name w:val="Balloon Text"/>
    <w:basedOn w:val="Normal"/>
    <w:link w:val="BalloonTextChar"/>
    <w:uiPriority w:val="99"/>
    <w:semiHidden/>
    <w:unhideWhenUsed/>
    <w:qFormat/>
    <w:rsid w:val="00B951AE"/>
    <w:rPr>
      <w:rFonts w:ascii="Segoe UI" w:hAnsi="Segoe UI" w:cs="Mangal"/>
      <w:sz w:val="18"/>
      <w:szCs w:val="16"/>
    </w:rPr>
  </w:style>
  <w:style w:type="numbering" w:customStyle="1" w:styleId="WW8Num4">
    <w:name w:val="WW8Num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2658</Words>
  <Characters>15157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dc:creator>
  <dc:description/>
  <cp:lastModifiedBy>Abhijeet Masal</cp:lastModifiedBy>
  <cp:revision>2</cp:revision>
  <dcterms:created xsi:type="dcterms:W3CDTF">2020-05-15T23:19:00Z</dcterms:created>
  <dcterms:modified xsi:type="dcterms:W3CDTF">2020-05-15T23:19:00Z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