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C79DC9" w14:textId="0915DD38" w:rsidR="002C7218" w:rsidRPr="00CE0424" w:rsidRDefault="002C7218" w:rsidP="002C7218">
      <w:pPr>
        <w:pStyle w:val="3GPPHeader"/>
        <w:spacing w:after="60"/>
        <w:rPr>
          <w:sz w:val="32"/>
          <w:szCs w:val="32"/>
          <w:highlight w:val="yellow"/>
        </w:rPr>
      </w:pPr>
      <w:r w:rsidRPr="000A1D33">
        <w:t>3GPP TSG</w:t>
      </w:r>
      <w:r w:rsidR="008515CE">
        <w:t xml:space="preserve"> </w:t>
      </w:r>
      <w:r w:rsidRPr="000A1D33">
        <w:t>RAN WG1 #</w:t>
      </w:r>
      <w:r w:rsidR="008B3C0A">
        <w:t>101</w:t>
      </w:r>
      <w:r w:rsidRPr="00CE0424">
        <w:tab/>
      </w:r>
      <w:r w:rsidR="00CA6BF4" w:rsidRPr="00CA6BF4">
        <w:rPr>
          <w:sz w:val="32"/>
          <w:szCs w:val="32"/>
        </w:rPr>
        <w:t>R1-</w:t>
      </w:r>
      <w:r w:rsidR="008B3C0A" w:rsidRPr="00BA0F50">
        <w:rPr>
          <w:sz w:val="32"/>
          <w:szCs w:val="32"/>
        </w:rPr>
        <w:t>20</w:t>
      </w:r>
      <w:r w:rsidR="00BA0F50" w:rsidRPr="00BA0F50">
        <w:rPr>
          <w:sz w:val="32"/>
          <w:szCs w:val="32"/>
        </w:rPr>
        <w:t>04040</w:t>
      </w:r>
    </w:p>
    <w:p w14:paraId="7FFCEE60" w14:textId="15B136AB" w:rsidR="002C7218" w:rsidRPr="00CE0424" w:rsidRDefault="008B3C0A" w:rsidP="002C7218">
      <w:pPr>
        <w:pStyle w:val="3GPPHeader"/>
      </w:pPr>
      <w:proofErr w:type="gramStart"/>
      <w:r>
        <w:t>e-Meeting</w:t>
      </w:r>
      <w:proofErr w:type="gramEnd"/>
      <w:r w:rsidR="002C7218">
        <w:t>,</w:t>
      </w:r>
      <w:r w:rsidR="002C7218" w:rsidRPr="000A1D33">
        <w:t xml:space="preserve"> </w:t>
      </w:r>
      <w:r>
        <w:t xml:space="preserve">May </w:t>
      </w:r>
      <w:r w:rsidR="002C7218">
        <w:t>2</w:t>
      </w:r>
      <w:r>
        <w:t>5</w:t>
      </w:r>
      <w:r w:rsidR="002C7218" w:rsidRPr="002C5BA4">
        <w:rPr>
          <w:vertAlign w:val="superscript"/>
        </w:rPr>
        <w:t>th</w:t>
      </w:r>
      <w:r w:rsidR="002C7218">
        <w:t xml:space="preserve"> – </w:t>
      </w:r>
      <w:r>
        <w:t>June 5</w:t>
      </w:r>
      <w:r w:rsidRPr="008B3C0A">
        <w:rPr>
          <w:vertAlign w:val="superscript"/>
        </w:rPr>
        <w:t>th</w:t>
      </w:r>
      <w:r>
        <w:t xml:space="preserve">, </w:t>
      </w:r>
      <w:r w:rsidR="002C7218" w:rsidRPr="000A1D33">
        <w:t>20</w:t>
      </w:r>
      <w:r>
        <w:t>20</w:t>
      </w:r>
    </w:p>
    <w:p w14:paraId="4190D553" w14:textId="77777777" w:rsidR="00E90E49" w:rsidRPr="00CE0424" w:rsidRDefault="00E90E49" w:rsidP="00357380">
      <w:pPr>
        <w:pStyle w:val="3GPPHeader"/>
      </w:pPr>
    </w:p>
    <w:p w14:paraId="126A5E11" w14:textId="47DB533D" w:rsidR="002C7218" w:rsidRPr="002C7218" w:rsidRDefault="008B3C0A" w:rsidP="002C7218">
      <w:pPr>
        <w:pStyle w:val="3GPPHeader"/>
        <w:rPr>
          <w:sz w:val="22"/>
          <w:szCs w:val="22"/>
        </w:rPr>
      </w:pPr>
      <w:r>
        <w:rPr>
          <w:sz w:val="22"/>
          <w:szCs w:val="22"/>
        </w:rPr>
        <w:t>Agenda Item:</w:t>
      </w:r>
      <w:r>
        <w:rPr>
          <w:sz w:val="22"/>
          <w:szCs w:val="22"/>
        </w:rPr>
        <w:tab/>
        <w:t>8</w:t>
      </w:r>
      <w:r w:rsidR="002C7218" w:rsidRPr="002C7218">
        <w:rPr>
          <w:sz w:val="22"/>
          <w:szCs w:val="22"/>
        </w:rPr>
        <w:t>.</w:t>
      </w:r>
      <w:r>
        <w:rPr>
          <w:sz w:val="22"/>
          <w:szCs w:val="22"/>
        </w:rPr>
        <w:t>1</w:t>
      </w:r>
      <w:r w:rsidR="002C7218" w:rsidRPr="002C7218">
        <w:rPr>
          <w:sz w:val="22"/>
          <w:szCs w:val="22"/>
        </w:rPr>
        <w:t>.</w:t>
      </w:r>
      <w:r>
        <w:rPr>
          <w:sz w:val="22"/>
          <w:szCs w:val="22"/>
        </w:rPr>
        <w:t>3</w:t>
      </w:r>
    </w:p>
    <w:p w14:paraId="088F542C" w14:textId="58B3DBCE" w:rsidR="00E90E49" w:rsidRPr="00CE0424" w:rsidRDefault="003D3C45" w:rsidP="00F64C2B">
      <w:pPr>
        <w:pStyle w:val="3GPPHeader"/>
        <w:rPr>
          <w:sz w:val="22"/>
          <w:szCs w:val="22"/>
        </w:rPr>
      </w:pPr>
      <w:r>
        <w:rPr>
          <w:sz w:val="22"/>
          <w:szCs w:val="22"/>
        </w:rPr>
        <w:t>Source:</w:t>
      </w:r>
      <w:r w:rsidR="00E90E49" w:rsidRPr="00CE0424">
        <w:rPr>
          <w:sz w:val="22"/>
          <w:szCs w:val="22"/>
        </w:rPr>
        <w:tab/>
      </w:r>
      <w:r w:rsidR="008B3C0A">
        <w:rPr>
          <w:sz w:val="22"/>
          <w:szCs w:val="22"/>
        </w:rPr>
        <w:t>LG Electronics</w:t>
      </w:r>
    </w:p>
    <w:p w14:paraId="7D9CCAF6" w14:textId="26D45043" w:rsidR="00E90E49" w:rsidRPr="00CE0424" w:rsidRDefault="003D3C45" w:rsidP="00311702">
      <w:pPr>
        <w:pStyle w:val="3GPPHeader"/>
        <w:rPr>
          <w:sz w:val="22"/>
          <w:szCs w:val="22"/>
        </w:rPr>
      </w:pPr>
      <w:r>
        <w:rPr>
          <w:sz w:val="22"/>
          <w:szCs w:val="22"/>
        </w:rPr>
        <w:t>Title:</w:t>
      </w:r>
      <w:r w:rsidR="00E90E49" w:rsidRPr="00CE0424">
        <w:rPr>
          <w:sz w:val="22"/>
          <w:szCs w:val="22"/>
        </w:rPr>
        <w:tab/>
      </w:r>
      <w:r w:rsidR="008B3C0A">
        <w:rPr>
          <w:sz w:val="22"/>
          <w:szCs w:val="22"/>
        </w:rPr>
        <w:t xml:space="preserve">Consideration on </w:t>
      </w:r>
      <w:r w:rsidR="00C145DC">
        <w:rPr>
          <w:sz w:val="22"/>
          <w:szCs w:val="22"/>
        </w:rPr>
        <w:t>multi-</w:t>
      </w:r>
      <w:r w:rsidR="008B3C0A">
        <w:rPr>
          <w:sz w:val="22"/>
          <w:szCs w:val="22"/>
        </w:rPr>
        <w:t>carrier operation for NR above 52.6 GHz</w:t>
      </w:r>
    </w:p>
    <w:p w14:paraId="79A6BD3B" w14:textId="1BEAB1BC" w:rsidR="00E90E49" w:rsidRPr="00B519BD" w:rsidRDefault="00E90E49" w:rsidP="00B519BD">
      <w:pPr>
        <w:pStyle w:val="3GPPHeader"/>
        <w:rPr>
          <w:sz w:val="22"/>
          <w:szCs w:val="22"/>
        </w:rPr>
      </w:pPr>
      <w:r w:rsidRPr="00291F26">
        <w:rPr>
          <w:sz w:val="22"/>
          <w:szCs w:val="22"/>
        </w:rPr>
        <w:t>Document for:</w:t>
      </w:r>
      <w:r w:rsidRPr="00291F26">
        <w:rPr>
          <w:sz w:val="22"/>
          <w:szCs w:val="22"/>
        </w:rPr>
        <w:tab/>
      </w:r>
      <w:r w:rsidRPr="00B519BD">
        <w:rPr>
          <w:b w:val="0"/>
          <w:bCs/>
          <w:sz w:val="22"/>
          <w:szCs w:val="22"/>
        </w:rPr>
        <w:t>Discussion</w:t>
      </w:r>
      <w:r w:rsidR="001F3BAB">
        <w:rPr>
          <w:b w:val="0"/>
          <w:bCs/>
          <w:sz w:val="22"/>
          <w:szCs w:val="22"/>
        </w:rPr>
        <w:t xml:space="preserve"> and</w:t>
      </w:r>
      <w:r w:rsidRPr="00B519BD">
        <w:rPr>
          <w:b w:val="0"/>
          <w:bCs/>
          <w:sz w:val="22"/>
          <w:szCs w:val="22"/>
        </w:rPr>
        <w:t xml:space="preserve"> </w:t>
      </w:r>
      <w:r w:rsidR="001F3BAB">
        <w:rPr>
          <w:b w:val="0"/>
          <w:bCs/>
          <w:sz w:val="22"/>
          <w:szCs w:val="22"/>
        </w:rPr>
        <w:t>d</w:t>
      </w:r>
      <w:r w:rsidRPr="00B519BD">
        <w:rPr>
          <w:b w:val="0"/>
          <w:bCs/>
          <w:sz w:val="22"/>
          <w:szCs w:val="22"/>
        </w:rPr>
        <w:t>ecision</w:t>
      </w:r>
    </w:p>
    <w:p w14:paraId="0CB66C7C" w14:textId="1F6EA96A" w:rsidR="00C24345" w:rsidRDefault="00E90E49" w:rsidP="00A2052C">
      <w:pPr>
        <w:pStyle w:val="1"/>
      </w:pPr>
      <w:r w:rsidRPr="00CE0424">
        <w:t>Introduction</w:t>
      </w:r>
    </w:p>
    <w:p w14:paraId="3076EB27" w14:textId="51B4A4A0" w:rsidR="009620B3" w:rsidRPr="00097904" w:rsidRDefault="0005115F" w:rsidP="009A7274">
      <w:pPr>
        <w:pStyle w:val="ab"/>
        <w:ind w:firstLineChars="100" w:firstLine="200"/>
        <w:rPr>
          <w:rFonts w:ascii="Times New Roman" w:hAnsi="Times New Roman"/>
          <w:lang w:val="en-US" w:eastAsia="en-US"/>
        </w:rPr>
      </w:pPr>
      <w:r>
        <w:t xml:space="preserve">NR system in frequency range from </w:t>
      </w:r>
      <w:r w:rsidR="0098529D">
        <w:t>52.6</w:t>
      </w:r>
      <w:r>
        <w:t>GHz</w:t>
      </w:r>
      <w:r w:rsidR="00097904">
        <w:t xml:space="preserve"> </w:t>
      </w:r>
      <w:r w:rsidR="0098529D">
        <w:t>to 71</w:t>
      </w:r>
      <w:r>
        <w:t xml:space="preserve">GHz will operate over unlicensed spectrum potentially coexisting with multiple other systems which can be any combination of other NR systems or </w:t>
      </w:r>
      <w:proofErr w:type="spellStart"/>
      <w:r>
        <w:t>WiGig</w:t>
      </w:r>
      <w:proofErr w:type="spellEnd"/>
      <w:r>
        <w:t xml:space="preserve"> systems (IEEE 802.11ad/</w:t>
      </w:r>
      <w:proofErr w:type="spellStart"/>
      <w:r>
        <w:t>ay</w:t>
      </w:r>
      <w:proofErr w:type="spellEnd"/>
      <w:r>
        <w:t xml:space="preserve">). Although it is desirable to reuse the current NR specification to minimize changes with respect to NR, some changes </w:t>
      </w:r>
      <w:r w:rsidR="006A0A20">
        <w:rPr>
          <w:lang w:eastAsia="ko-KR"/>
        </w:rPr>
        <w:t>would</w:t>
      </w:r>
      <w:r>
        <w:t xml:space="preserve"> </w:t>
      </w:r>
      <w:r w:rsidR="00D973D0">
        <w:t xml:space="preserve">be needed </w:t>
      </w:r>
      <w:r w:rsidR="006A0A20">
        <w:t>with consideration of</w:t>
      </w:r>
      <w:r w:rsidR="00D973D0">
        <w:t xml:space="preserve"> coexistence issue on larger bandwidth</w:t>
      </w:r>
      <w:r w:rsidR="006A0A20">
        <w:t xml:space="preserve"> in the frequency range from 52.6GHz to 71GHz</w:t>
      </w:r>
      <w:r w:rsidR="00D973D0">
        <w:t>. In this contribution</w:t>
      </w:r>
      <w:r w:rsidR="006A0A20">
        <w:t>,</w:t>
      </w:r>
      <w:r w:rsidR="00D973D0">
        <w:t xml:space="preserve"> we </w:t>
      </w:r>
      <w:r w:rsidR="006A0A20">
        <w:t xml:space="preserve">discuss and </w:t>
      </w:r>
      <w:r w:rsidR="00D973D0">
        <w:t>provide an option for NR</w:t>
      </w:r>
      <w:r w:rsidR="002262CF">
        <w:t xml:space="preserve"> operation</w:t>
      </w:r>
      <w:r w:rsidR="00D973D0">
        <w:t xml:space="preserve"> on this </w:t>
      </w:r>
      <w:r w:rsidR="006A0A20">
        <w:t xml:space="preserve">high frequency </w:t>
      </w:r>
      <w:r w:rsidR="00D973D0">
        <w:t>band.</w:t>
      </w:r>
    </w:p>
    <w:p w14:paraId="141091B9" w14:textId="3B6177DC" w:rsidR="00A56357" w:rsidRDefault="005F5209" w:rsidP="00CE0424">
      <w:pPr>
        <w:pStyle w:val="1"/>
      </w:pPr>
      <w:bookmarkStart w:id="0" w:name="_Ref178064866"/>
      <w:r>
        <w:t xml:space="preserve">Discussions </w:t>
      </w:r>
    </w:p>
    <w:bookmarkEnd w:id="0"/>
    <w:p w14:paraId="63CEA415" w14:textId="4C512F94" w:rsidR="00273B26" w:rsidRDefault="00344E25" w:rsidP="009A7274">
      <w:pPr>
        <w:pStyle w:val="ab"/>
        <w:ind w:firstLineChars="100" w:firstLine="200"/>
        <w:rPr>
          <w:lang w:eastAsia="ko-KR"/>
        </w:rPr>
      </w:pPr>
      <w:r>
        <w:t xml:space="preserve">Current </w:t>
      </w:r>
      <w:r w:rsidR="00045698">
        <w:t>NR specification supports s</w:t>
      </w:r>
      <w:r w:rsidR="002A2E7C">
        <w:t>calable sub</w:t>
      </w:r>
      <w:r w:rsidR="00045698">
        <w:t xml:space="preserve">carrier spacing of </w:t>
      </w:r>
      <m:oMath>
        <m:r>
          <w:rPr>
            <w:rFonts w:ascii="Cambria Math" w:hAnsi="Cambria Math"/>
          </w:rPr>
          <m:t>15×</m:t>
        </m:r>
        <m:sSup>
          <m:sSupPr>
            <m:ctrlPr>
              <w:rPr>
                <w:rFonts w:ascii="Cambria Math" w:hAnsi="Cambria Math"/>
                <w:i/>
              </w:rPr>
            </m:ctrlPr>
          </m:sSupPr>
          <m:e>
            <m:r>
              <w:rPr>
                <w:rFonts w:ascii="Cambria Math" w:hAnsi="Cambria Math"/>
              </w:rPr>
              <m:t>2</m:t>
            </m:r>
          </m:e>
          <m:sup>
            <m:r>
              <w:rPr>
                <w:rFonts w:ascii="Cambria Math" w:hAnsi="Cambria Math"/>
              </w:rPr>
              <m:t>k</m:t>
            </m:r>
          </m:sup>
        </m:sSup>
      </m:oMath>
      <w:r w:rsidR="00045698">
        <w:rPr>
          <w:rFonts w:hint="eastAsia"/>
          <w:lang w:eastAsia="ko-KR"/>
        </w:rPr>
        <w:t>kHz.</w:t>
      </w:r>
      <w:r w:rsidR="00045698">
        <w:rPr>
          <w:lang w:eastAsia="ko-KR"/>
        </w:rPr>
        <w:t xml:space="preserve"> With </w:t>
      </w:r>
      <w:r>
        <w:rPr>
          <w:lang w:eastAsia="ko-KR"/>
        </w:rPr>
        <w:t xml:space="preserve">FFT size of </w:t>
      </w:r>
      <w:r w:rsidR="00045698">
        <w:rPr>
          <w:lang w:eastAsia="ko-KR"/>
        </w:rPr>
        <w:t>4096, this can support up to</w:t>
      </w:r>
      <w:r w:rsidR="00550DBC">
        <w:rPr>
          <w:lang w:eastAsia="ko-KR"/>
        </w:rPr>
        <w:t xml:space="preserve"> </w:t>
      </w:r>
      <w:r w:rsidR="00550DBC">
        <w:t>4</w:t>
      </w:r>
      <w:r w:rsidR="00045698">
        <w:t>00MHz</w:t>
      </w:r>
      <w:r w:rsidR="00045698">
        <w:rPr>
          <w:lang w:eastAsia="ko-KR"/>
        </w:rPr>
        <w:t xml:space="preserve"> channel bandwidth which is sufficient for most potential spectrum candidates in </w:t>
      </w:r>
      <w:r>
        <w:rPr>
          <w:lang w:eastAsia="ko-KR"/>
        </w:rPr>
        <w:t>up to FR2</w:t>
      </w:r>
      <w:r w:rsidR="00045698">
        <w:rPr>
          <w:lang w:eastAsia="ko-KR"/>
        </w:rPr>
        <w:t>. However, for high</w:t>
      </w:r>
      <w:r>
        <w:rPr>
          <w:lang w:eastAsia="ko-KR"/>
        </w:rPr>
        <w:t>er</w:t>
      </w:r>
      <w:r w:rsidR="00045698">
        <w:rPr>
          <w:lang w:eastAsia="ko-KR"/>
        </w:rPr>
        <w:t xml:space="preserve"> frequency band than </w:t>
      </w:r>
      <w:r>
        <w:rPr>
          <w:lang w:eastAsia="ko-KR"/>
        </w:rPr>
        <w:t>the FR2</w:t>
      </w:r>
      <w:r w:rsidR="00045698">
        <w:rPr>
          <w:lang w:eastAsia="ko-KR"/>
        </w:rPr>
        <w:t>, larger</w:t>
      </w:r>
      <w:r w:rsidR="002A2E7C">
        <w:rPr>
          <w:lang w:eastAsia="ko-KR"/>
        </w:rPr>
        <w:t xml:space="preserve"> sub</w:t>
      </w:r>
      <w:r w:rsidR="00045698">
        <w:rPr>
          <w:lang w:eastAsia="ko-KR"/>
        </w:rPr>
        <w:t xml:space="preserve">carrier spacing </w:t>
      </w:r>
      <w:r>
        <w:rPr>
          <w:lang w:eastAsia="ko-KR"/>
        </w:rPr>
        <w:t xml:space="preserve">might </w:t>
      </w:r>
      <w:r w:rsidR="00045698">
        <w:rPr>
          <w:lang w:eastAsia="ko-KR"/>
        </w:rPr>
        <w:t>be needed to</w:t>
      </w:r>
      <w:r w:rsidR="009A7274">
        <w:rPr>
          <w:lang w:eastAsia="ko-KR"/>
        </w:rPr>
        <w:t xml:space="preserve"> </w:t>
      </w:r>
      <w:r w:rsidR="00045698">
        <w:rPr>
          <w:lang w:eastAsia="ko-KR"/>
        </w:rPr>
        <w:t xml:space="preserve">compensate </w:t>
      </w:r>
      <w:r>
        <w:rPr>
          <w:lang w:eastAsia="ko-KR"/>
        </w:rPr>
        <w:t xml:space="preserve">potential </w:t>
      </w:r>
      <w:r w:rsidR="00045698">
        <w:rPr>
          <w:lang w:eastAsia="ko-KR"/>
        </w:rPr>
        <w:t xml:space="preserve">phase noise effects on this frequency region. </w:t>
      </w:r>
      <w:r w:rsidR="002A2E7C">
        <w:rPr>
          <w:lang w:eastAsia="ko-KR"/>
        </w:rPr>
        <w:t>It is well known that larger subcarrier spacing leads to larger carrier bandwidth size and smaller symbol duration for a given FFT</w:t>
      </w:r>
      <w:r>
        <w:rPr>
          <w:lang w:eastAsia="ko-KR"/>
        </w:rPr>
        <w:t xml:space="preserve"> size</w:t>
      </w:r>
      <w:r w:rsidR="002A2E7C">
        <w:rPr>
          <w:lang w:eastAsia="ko-KR"/>
        </w:rPr>
        <w:t xml:space="preserve">. In addition, operation with large carrier bandwidth may require high sampling frequency on transmitter and receiver </w:t>
      </w:r>
      <w:r w:rsidR="00E31D14">
        <w:rPr>
          <w:lang w:eastAsia="ko-KR"/>
        </w:rPr>
        <w:t>implementation</w:t>
      </w:r>
      <w:r w:rsidR="002A2E7C">
        <w:rPr>
          <w:lang w:eastAsia="ko-KR"/>
        </w:rPr>
        <w:t xml:space="preserve"> which </w:t>
      </w:r>
      <w:r w:rsidR="00E31D14">
        <w:rPr>
          <w:lang w:eastAsia="ko-KR"/>
        </w:rPr>
        <w:t>can increase the hardware complexity</w:t>
      </w:r>
      <w:r>
        <w:rPr>
          <w:lang w:eastAsia="ko-KR"/>
        </w:rPr>
        <w:t xml:space="preserve">, </w:t>
      </w:r>
      <w:r w:rsidR="002A2E7C">
        <w:rPr>
          <w:lang w:eastAsia="ko-KR"/>
        </w:rPr>
        <w:t xml:space="preserve">especially </w:t>
      </w:r>
      <w:r>
        <w:rPr>
          <w:lang w:eastAsia="ko-KR"/>
        </w:rPr>
        <w:t xml:space="preserve">in the </w:t>
      </w:r>
      <w:r w:rsidR="002A2E7C">
        <w:rPr>
          <w:lang w:eastAsia="ko-KR"/>
        </w:rPr>
        <w:t>UE</w:t>
      </w:r>
      <w:r>
        <w:rPr>
          <w:lang w:eastAsia="ko-KR"/>
        </w:rPr>
        <w:t xml:space="preserve"> side</w:t>
      </w:r>
      <w:r w:rsidR="002A2E7C">
        <w:rPr>
          <w:lang w:eastAsia="ko-KR"/>
        </w:rPr>
        <w:t>.</w:t>
      </w:r>
      <w:r w:rsidR="00E31D14">
        <w:rPr>
          <w:lang w:eastAsia="ko-KR"/>
        </w:rPr>
        <w:t xml:space="preserve"> </w:t>
      </w:r>
      <w:r>
        <w:rPr>
          <w:lang w:eastAsia="ko-KR"/>
        </w:rPr>
        <w:t>Thus</w:t>
      </w:r>
      <w:r w:rsidR="00E258EF" w:rsidRPr="0007784E">
        <w:rPr>
          <w:lang w:eastAsia="ko-KR"/>
        </w:rPr>
        <w:t>, several aspects should be carefully considered to determine the carrier bandwidth and/or subcarrier spacing.</w:t>
      </w:r>
      <w:r w:rsidR="00E258EF">
        <w:rPr>
          <w:lang w:eastAsia="ko-KR"/>
        </w:rPr>
        <w:t xml:space="preserve"> </w:t>
      </w:r>
      <w:r w:rsidR="00E31D14">
        <w:rPr>
          <w:lang w:eastAsia="ko-KR"/>
        </w:rPr>
        <w:t xml:space="preserve">In our companion paper [1], which </w:t>
      </w:r>
      <w:r w:rsidR="000719C3">
        <w:rPr>
          <w:lang w:eastAsia="ko-KR"/>
        </w:rPr>
        <w:t>provides</w:t>
      </w:r>
      <w:r w:rsidR="00E31D14">
        <w:rPr>
          <w:lang w:eastAsia="ko-KR"/>
        </w:rPr>
        <w:t xml:space="preserve"> </w:t>
      </w:r>
      <w:r>
        <w:rPr>
          <w:lang w:eastAsia="ko-KR"/>
        </w:rPr>
        <w:t xml:space="preserve">initial </w:t>
      </w:r>
      <w:r w:rsidR="00695126">
        <w:rPr>
          <w:lang w:eastAsia="ko-KR"/>
        </w:rPr>
        <w:t>view</w:t>
      </w:r>
      <w:r>
        <w:rPr>
          <w:lang w:eastAsia="ko-KR"/>
        </w:rPr>
        <w:t>s</w:t>
      </w:r>
      <w:r w:rsidR="00695126">
        <w:rPr>
          <w:lang w:eastAsia="ko-KR"/>
        </w:rPr>
        <w:t xml:space="preserve"> </w:t>
      </w:r>
      <w:r>
        <w:rPr>
          <w:lang w:eastAsia="ko-KR"/>
        </w:rPr>
        <w:t xml:space="preserve">on </w:t>
      </w:r>
      <w:r w:rsidR="00E31D14">
        <w:rPr>
          <w:lang w:eastAsia="ko-KR"/>
        </w:rPr>
        <w:t xml:space="preserve">the </w:t>
      </w:r>
      <w:r w:rsidR="00695126">
        <w:rPr>
          <w:lang w:eastAsia="ko-KR"/>
        </w:rPr>
        <w:t xml:space="preserve">required changes to support NR above 52.6GHz, </w:t>
      </w:r>
      <w:r w:rsidR="0098529D">
        <w:rPr>
          <w:lang w:eastAsia="ko-KR"/>
        </w:rPr>
        <w:t>the use</w:t>
      </w:r>
      <w:r w:rsidR="00550DBC">
        <w:rPr>
          <w:lang w:eastAsia="ko-KR"/>
        </w:rPr>
        <w:t xml:space="preserve"> of </w:t>
      </w:r>
      <w:r w:rsidR="0098529D">
        <w:rPr>
          <w:lang w:eastAsia="ko-KR"/>
        </w:rPr>
        <w:t xml:space="preserve">new subcarrier spacing </w:t>
      </w:r>
      <w:r>
        <w:rPr>
          <w:lang w:eastAsia="ko-KR"/>
        </w:rPr>
        <w:t xml:space="preserve">240kHz or </w:t>
      </w:r>
      <w:r w:rsidR="0098529D">
        <w:rPr>
          <w:lang w:eastAsia="ko-KR"/>
        </w:rPr>
        <w:t>480</w:t>
      </w:r>
      <w:r w:rsidR="00550DBC">
        <w:rPr>
          <w:lang w:eastAsia="ko-KR"/>
        </w:rPr>
        <w:t>kHz</w:t>
      </w:r>
      <w:r>
        <w:rPr>
          <w:lang w:eastAsia="ko-KR"/>
        </w:rPr>
        <w:t xml:space="preserve"> </w:t>
      </w:r>
      <w:r w:rsidR="00550DBC">
        <w:rPr>
          <w:lang w:eastAsia="ko-KR"/>
        </w:rPr>
        <w:t xml:space="preserve">and </w:t>
      </w:r>
      <w:r w:rsidR="0098529D">
        <w:rPr>
          <w:lang w:eastAsia="ko-KR"/>
        </w:rPr>
        <w:t xml:space="preserve">the </w:t>
      </w:r>
      <w:r w:rsidR="00550DBC">
        <w:rPr>
          <w:lang w:eastAsia="ko-KR"/>
        </w:rPr>
        <w:t xml:space="preserve">corresponding carrier bandwidth </w:t>
      </w:r>
      <w:r w:rsidR="0098529D">
        <w:rPr>
          <w:lang w:eastAsia="ko-KR"/>
        </w:rPr>
        <w:t xml:space="preserve">up to </w:t>
      </w:r>
      <w:r>
        <w:rPr>
          <w:lang w:eastAsia="ko-KR"/>
        </w:rPr>
        <w:t>800MHz</w:t>
      </w:r>
      <w:r w:rsidR="006004B0">
        <w:rPr>
          <w:lang w:eastAsia="ko-KR"/>
        </w:rPr>
        <w:t xml:space="preserve"> (considering sampling frequency/complexity)</w:t>
      </w:r>
      <w:r>
        <w:rPr>
          <w:lang w:eastAsia="ko-KR"/>
        </w:rPr>
        <w:t xml:space="preserve"> or </w:t>
      </w:r>
      <w:r w:rsidR="00550DBC">
        <w:rPr>
          <w:lang w:eastAsia="ko-KR"/>
        </w:rPr>
        <w:t xml:space="preserve">1600MHz are considered </w:t>
      </w:r>
      <w:r>
        <w:rPr>
          <w:lang w:eastAsia="ko-KR"/>
        </w:rPr>
        <w:t>for the NR operation</w:t>
      </w:r>
      <w:r w:rsidR="0098529D">
        <w:rPr>
          <w:lang w:eastAsia="ko-KR"/>
        </w:rPr>
        <w:t xml:space="preserve"> on this frequency band</w:t>
      </w:r>
      <w:r w:rsidR="0098529D" w:rsidRPr="0007784E">
        <w:rPr>
          <w:lang w:eastAsia="ko-KR"/>
        </w:rPr>
        <w:t xml:space="preserve">. </w:t>
      </w:r>
    </w:p>
    <w:p w14:paraId="174C2A48" w14:textId="77777777" w:rsidR="006A0A20" w:rsidRDefault="006A0A20" w:rsidP="009A7274">
      <w:pPr>
        <w:pStyle w:val="ab"/>
        <w:ind w:firstLineChars="100" w:firstLine="200"/>
        <w:rPr>
          <w:lang w:eastAsia="ko-KR"/>
        </w:rPr>
      </w:pPr>
    </w:p>
    <w:p w14:paraId="1B0759CE" w14:textId="1985F962" w:rsidR="00460C54" w:rsidRDefault="006004B0" w:rsidP="00B519BD">
      <w:pPr>
        <w:pStyle w:val="Observation"/>
      </w:pPr>
      <w:r>
        <w:t xml:space="preserve">By adopting new SCS values of </w:t>
      </w:r>
      <w:proofErr w:type="gramStart"/>
      <w:r>
        <w:t>240</w:t>
      </w:r>
      <w:r>
        <w:rPr>
          <w:rFonts w:hint="eastAsia"/>
          <w:lang w:eastAsia="ko-KR"/>
        </w:rPr>
        <w:t>kHz</w:t>
      </w:r>
      <w:proofErr w:type="gramEnd"/>
      <w:r>
        <w:t xml:space="preserve"> or 480kHz to handle phase noise effects with consideration of potential UE complexity, </w:t>
      </w:r>
      <w:r w:rsidR="009F113F">
        <w:t xml:space="preserve">maximum </w:t>
      </w:r>
      <w:r>
        <w:t xml:space="preserve">carrier bandwidth of 800 MHz </w:t>
      </w:r>
      <w:r w:rsidR="00273B26">
        <w:t xml:space="preserve">can be </w:t>
      </w:r>
      <w:r>
        <w:t xml:space="preserve">considered </w:t>
      </w:r>
      <w:r w:rsidR="003A7A59">
        <w:t>for NR in frequency ranges above 52.6GHz.</w:t>
      </w:r>
    </w:p>
    <w:p w14:paraId="5FFED702" w14:textId="77777777" w:rsidR="006A0A20" w:rsidRDefault="006A0A20" w:rsidP="009A7274">
      <w:pPr>
        <w:pStyle w:val="ab"/>
        <w:ind w:firstLineChars="100" w:firstLine="200"/>
        <w:rPr>
          <w:lang w:eastAsia="ko-KR"/>
        </w:rPr>
      </w:pPr>
    </w:p>
    <w:p w14:paraId="182E7010" w14:textId="070D1740" w:rsidR="00521C79" w:rsidRDefault="00173ECA" w:rsidP="009A7274">
      <w:pPr>
        <w:pStyle w:val="ab"/>
        <w:ind w:firstLineChars="100" w:firstLine="200"/>
      </w:pPr>
      <w:r>
        <w:rPr>
          <w:lang w:eastAsia="ko-KR"/>
        </w:rPr>
        <w:t xml:space="preserve">In unlicensed </w:t>
      </w:r>
      <w:r>
        <w:t>spectrum</w:t>
      </w:r>
      <w:r>
        <w:rPr>
          <w:lang w:eastAsia="ko-KR"/>
        </w:rPr>
        <w:t xml:space="preserve"> above 52.6GHz, multiple </w:t>
      </w:r>
      <w:r w:rsidR="006004B0">
        <w:rPr>
          <w:lang w:eastAsia="ko-KR"/>
        </w:rPr>
        <w:t xml:space="preserve">NR </w:t>
      </w:r>
      <w:r>
        <w:rPr>
          <w:lang w:eastAsia="ko-KR"/>
        </w:rPr>
        <w:t>carriers may coexist w</w:t>
      </w:r>
      <w:r>
        <w:rPr>
          <w:rFonts w:hint="eastAsia"/>
          <w:lang w:eastAsia="ko-KR"/>
        </w:rPr>
        <w:t xml:space="preserve">ithin </w:t>
      </w:r>
      <w:r w:rsidR="005261DA">
        <w:rPr>
          <w:lang w:eastAsia="ko-KR"/>
        </w:rPr>
        <w:t>a single</w:t>
      </w:r>
      <w:r w:rsidR="005261DA">
        <w:rPr>
          <w:rFonts w:hint="eastAsia"/>
          <w:lang w:eastAsia="ko-KR"/>
        </w:rPr>
        <w:t xml:space="preserve"> </w:t>
      </w:r>
      <w:r>
        <w:rPr>
          <w:lang w:eastAsia="ko-KR"/>
        </w:rPr>
        <w:t>nominal channel bandwidth</w:t>
      </w:r>
      <w:r>
        <w:rPr>
          <w:rFonts w:hint="eastAsia"/>
          <w:lang w:eastAsia="ko-KR"/>
        </w:rPr>
        <w:t xml:space="preserve"> of </w:t>
      </w:r>
      <w:r>
        <w:rPr>
          <w:lang w:eastAsia="ko-KR"/>
        </w:rPr>
        <w:t xml:space="preserve">other </w:t>
      </w:r>
      <w:r>
        <w:rPr>
          <w:rFonts w:hint="eastAsia"/>
          <w:lang w:eastAsia="ko-KR"/>
        </w:rPr>
        <w:t xml:space="preserve">incumbent </w:t>
      </w:r>
      <w:r>
        <w:rPr>
          <w:lang w:eastAsia="ko-KR"/>
        </w:rPr>
        <w:t xml:space="preserve">RATs, e.g., </w:t>
      </w:r>
      <w:proofErr w:type="spellStart"/>
      <w:r>
        <w:rPr>
          <w:lang w:eastAsia="ko-KR"/>
        </w:rPr>
        <w:t>WiGig</w:t>
      </w:r>
      <w:proofErr w:type="spellEnd"/>
      <w:r>
        <w:rPr>
          <w:lang w:eastAsia="ko-KR"/>
        </w:rPr>
        <w:t xml:space="preserve"> </w:t>
      </w:r>
      <w:r w:rsidR="006004B0">
        <w:rPr>
          <w:lang w:eastAsia="ko-KR"/>
        </w:rPr>
        <w:t xml:space="preserve">operating </w:t>
      </w:r>
      <w:r>
        <w:rPr>
          <w:lang w:eastAsia="ko-KR"/>
        </w:rPr>
        <w:t xml:space="preserve">in corresponding unlicensed band. </w:t>
      </w:r>
      <w:r w:rsidR="006303D7">
        <w:rPr>
          <w:lang w:eastAsia="ko-KR"/>
        </w:rPr>
        <w:t>Access</w:t>
      </w:r>
      <w:r w:rsidR="006303D7">
        <w:rPr>
          <w:rFonts w:hint="eastAsia"/>
          <w:lang w:eastAsia="ko-KR"/>
        </w:rPr>
        <w:t xml:space="preserve"> on </w:t>
      </w:r>
      <w:r>
        <w:rPr>
          <w:lang w:eastAsia="ko-KR"/>
        </w:rPr>
        <w:t>this spectrum</w:t>
      </w:r>
      <w:r w:rsidR="006303D7">
        <w:rPr>
          <w:rFonts w:hint="eastAsia"/>
          <w:lang w:eastAsia="ko-KR"/>
        </w:rPr>
        <w:t xml:space="preserve"> is required to ensure fair coexistence with </w:t>
      </w:r>
      <w:r w:rsidR="006303D7">
        <w:rPr>
          <w:lang w:eastAsia="ko-KR"/>
        </w:rPr>
        <w:t>other</w:t>
      </w:r>
      <w:r w:rsidR="006303D7">
        <w:rPr>
          <w:rFonts w:hint="eastAsia"/>
          <w:lang w:eastAsia="ko-KR"/>
        </w:rPr>
        <w:t xml:space="preserve"> </w:t>
      </w:r>
      <w:r w:rsidR="006303D7">
        <w:rPr>
          <w:lang w:eastAsia="ko-KR"/>
        </w:rPr>
        <w:t>incumbent RATs according to the regulatory requirements in the corresponding bands</w:t>
      </w:r>
      <w:r w:rsidR="009F113F">
        <w:rPr>
          <w:lang w:eastAsia="ko-KR"/>
        </w:rPr>
        <w:t xml:space="preserve"> [2]</w:t>
      </w:r>
      <w:r w:rsidR="006303D7">
        <w:rPr>
          <w:lang w:eastAsia="ko-KR"/>
        </w:rPr>
        <w:t>. An appropriate channel access design, including LBT, is the key to allow a fair coexistence in all the NR deployment scenarios on unlicensed band.</w:t>
      </w:r>
      <w:r>
        <w:rPr>
          <w:rFonts w:hint="eastAsia"/>
          <w:lang w:eastAsia="ko-KR"/>
        </w:rPr>
        <w:t xml:space="preserve"> </w:t>
      </w:r>
      <w:r w:rsidRPr="00173ECA">
        <w:t xml:space="preserve">Within </w:t>
      </w:r>
      <w:r w:rsidR="005261DA">
        <w:t>a single</w:t>
      </w:r>
      <w:r w:rsidRPr="00173ECA">
        <w:t xml:space="preserve"> nominal channel bandwidth of other RAT which coexists with NR over above 52.6GHz band, </w:t>
      </w:r>
      <w:r w:rsidR="00291F3B">
        <w:t>some metrics for the channel availability</w:t>
      </w:r>
      <w:r w:rsidR="00521C79">
        <w:t xml:space="preserve"> such as COT or LBT results</w:t>
      </w:r>
      <w:r w:rsidR="00291F3B">
        <w:t xml:space="preserve"> can be identical </w:t>
      </w:r>
      <w:r w:rsidR="00D1334F">
        <w:t xml:space="preserve">over </w:t>
      </w:r>
      <w:r w:rsidR="005261DA">
        <w:t xml:space="preserve">the </w:t>
      </w:r>
      <w:r w:rsidR="00D1334F">
        <w:t xml:space="preserve">multiple </w:t>
      </w:r>
      <w:r w:rsidR="005261DA">
        <w:t xml:space="preserve">NR </w:t>
      </w:r>
      <w:r w:rsidR="00D1334F">
        <w:t>carriers</w:t>
      </w:r>
      <w:r w:rsidR="00521C79">
        <w:t xml:space="preserve"> </w:t>
      </w:r>
      <w:r w:rsidR="005261DA">
        <w:t xml:space="preserve">belonging to the </w:t>
      </w:r>
      <w:r w:rsidR="005261DA">
        <w:rPr>
          <w:lang w:eastAsia="ko-KR"/>
        </w:rPr>
        <w:t>nominal channel bandwidth</w:t>
      </w:r>
      <w:r w:rsidR="005261DA">
        <w:rPr>
          <w:rFonts w:hint="eastAsia"/>
          <w:lang w:eastAsia="ko-KR"/>
        </w:rPr>
        <w:t xml:space="preserve"> of </w:t>
      </w:r>
      <w:r w:rsidR="005261DA">
        <w:rPr>
          <w:lang w:eastAsia="ko-KR"/>
        </w:rPr>
        <w:t xml:space="preserve">other </w:t>
      </w:r>
      <w:r w:rsidR="005261DA">
        <w:rPr>
          <w:rFonts w:hint="eastAsia"/>
          <w:lang w:eastAsia="ko-KR"/>
        </w:rPr>
        <w:t xml:space="preserve">incumbent </w:t>
      </w:r>
      <w:r w:rsidR="005261DA">
        <w:rPr>
          <w:lang w:eastAsia="ko-KR"/>
        </w:rPr>
        <w:t>RATs</w:t>
      </w:r>
      <w:r w:rsidR="00291F3B">
        <w:t xml:space="preserve">. </w:t>
      </w:r>
    </w:p>
    <w:p w14:paraId="5202AAF5" w14:textId="77777777" w:rsidR="006A0A20" w:rsidRDefault="006A0A20" w:rsidP="009A7274">
      <w:pPr>
        <w:pStyle w:val="ab"/>
        <w:ind w:firstLineChars="100" w:firstLine="200"/>
      </w:pPr>
    </w:p>
    <w:p w14:paraId="05D68EF1" w14:textId="1C41A175" w:rsidR="007A4140" w:rsidRPr="00FE2B0D" w:rsidRDefault="00E3661C" w:rsidP="007A4140">
      <w:pPr>
        <w:spacing w:before="120"/>
        <w:ind w:left="258" w:hangingChars="129" w:hanging="258"/>
        <w:jc w:val="center"/>
        <w:rPr>
          <w:sz w:val="22"/>
          <w:szCs w:val="22"/>
          <w:lang w:eastAsia="ko-KR"/>
        </w:rPr>
      </w:pPr>
      <w:r w:rsidRPr="00E3661C">
        <w:rPr>
          <w:noProof/>
          <w:lang w:val="en-US" w:eastAsia="ko-KR"/>
        </w:rPr>
        <w:lastRenderedPageBreak/>
        <w:t xml:space="preserve"> </w:t>
      </w:r>
      <w:r w:rsidR="009B2394" w:rsidRPr="009B2394">
        <w:rPr>
          <w:noProof/>
          <w:lang w:val="en-US" w:eastAsia="ko-KR"/>
        </w:rPr>
        <mc:AlternateContent>
          <mc:Choice Requires="wpg">
            <w:drawing>
              <wp:inline distT="0" distB="0" distL="0" distR="0" wp14:anchorId="23323CA6" wp14:editId="76DABDC6">
                <wp:extent cx="5030304" cy="1079500"/>
                <wp:effectExtent l="0" t="0" r="18415" b="6350"/>
                <wp:docPr id="55" name="그룹 54"/>
                <wp:cNvGraphicFramePr/>
                <a:graphic xmlns:a="http://schemas.openxmlformats.org/drawingml/2006/main">
                  <a:graphicData uri="http://schemas.microsoft.com/office/word/2010/wordprocessingGroup">
                    <wpg:wgp>
                      <wpg:cNvGrpSpPr/>
                      <wpg:grpSpPr>
                        <a:xfrm>
                          <a:off x="0" y="0"/>
                          <a:ext cx="5030304" cy="1079500"/>
                          <a:chOff x="0" y="0"/>
                          <a:chExt cx="5030304" cy="1079500"/>
                        </a:xfrm>
                      </wpg:grpSpPr>
                      <wps:wsp>
                        <wps:cNvPr id="2" name="TextBox 40"/>
                        <wps:cNvSpPr txBox="1"/>
                        <wps:spPr>
                          <a:xfrm>
                            <a:off x="141833" y="271481"/>
                            <a:ext cx="736600" cy="222885"/>
                          </a:xfrm>
                          <a:prstGeom prst="rect">
                            <a:avLst/>
                          </a:prstGeom>
                          <a:solidFill>
                            <a:schemeClr val="bg1"/>
                          </a:solidFill>
                          <a:ln>
                            <a:solidFill>
                              <a:schemeClr val="tx1"/>
                            </a:solidFill>
                          </a:ln>
                        </wps:spPr>
                        <wps:txbx>
                          <w:txbxContent>
                            <w:p w14:paraId="68A58D3B" w14:textId="77777777" w:rsidR="009B2394" w:rsidRDefault="009B2394" w:rsidP="009B2394">
                              <w:pPr>
                                <w:pStyle w:val="af7"/>
                                <w:wordWrap w:val="0"/>
                                <w:spacing w:before="0" w:beforeAutospacing="0" w:after="0" w:afterAutospacing="0"/>
                                <w:jc w:val="center"/>
                              </w:pPr>
                              <w:r>
                                <w:rPr>
                                  <w:rFonts w:ascii="Arial Narrow" w:eastAsiaTheme="minorEastAsia" w:hAnsi="Arial Narrow" w:cs="Arial"/>
                                  <w:color w:val="000000" w:themeColor="text1"/>
                                  <w:kern w:val="24"/>
                                  <w:sz w:val="18"/>
                                  <w:szCs w:val="18"/>
                                </w:rPr>
                                <w:t>NR carrier</w:t>
                              </w:r>
                            </w:p>
                          </w:txbxContent>
                        </wps:txbx>
                        <wps:bodyPr wrap="square" rtlCol="0">
                          <a:spAutoFit/>
                        </wps:bodyPr>
                      </wps:wsp>
                      <wps:wsp>
                        <wps:cNvPr id="3" name="TextBox 41"/>
                        <wps:cNvSpPr txBox="1"/>
                        <wps:spPr>
                          <a:xfrm>
                            <a:off x="872818" y="271481"/>
                            <a:ext cx="735965" cy="222885"/>
                          </a:xfrm>
                          <a:prstGeom prst="rect">
                            <a:avLst/>
                          </a:prstGeom>
                          <a:solidFill>
                            <a:schemeClr val="bg1"/>
                          </a:solidFill>
                          <a:ln>
                            <a:solidFill>
                              <a:schemeClr val="tx1"/>
                            </a:solidFill>
                          </a:ln>
                        </wps:spPr>
                        <wps:txbx>
                          <w:txbxContent>
                            <w:p w14:paraId="3227F883" w14:textId="77777777" w:rsidR="009B2394" w:rsidRDefault="009B2394" w:rsidP="009B2394">
                              <w:pPr>
                                <w:pStyle w:val="af7"/>
                                <w:wordWrap w:val="0"/>
                                <w:spacing w:before="0" w:beforeAutospacing="0" w:after="0" w:afterAutospacing="0"/>
                                <w:jc w:val="center"/>
                              </w:pPr>
                              <w:r>
                                <w:rPr>
                                  <w:rFonts w:ascii="Arial Narrow" w:eastAsiaTheme="minorEastAsia" w:hAnsi="Arial Narrow" w:cs="Arial"/>
                                  <w:color w:val="000000" w:themeColor="text1"/>
                                  <w:kern w:val="24"/>
                                  <w:sz w:val="18"/>
                                  <w:szCs w:val="18"/>
                                </w:rPr>
                                <w:t>NR carrier</w:t>
                              </w:r>
                            </w:p>
                          </w:txbxContent>
                        </wps:txbx>
                        <wps:bodyPr wrap="square" rtlCol="0">
                          <a:spAutoFit/>
                        </wps:bodyPr>
                      </wps:wsp>
                      <wps:wsp>
                        <wps:cNvPr id="4" name="TextBox 42"/>
                        <wps:cNvSpPr txBox="1"/>
                        <wps:spPr>
                          <a:xfrm>
                            <a:off x="1603803" y="271481"/>
                            <a:ext cx="735965" cy="222885"/>
                          </a:xfrm>
                          <a:prstGeom prst="rect">
                            <a:avLst/>
                          </a:prstGeom>
                          <a:solidFill>
                            <a:schemeClr val="bg1"/>
                          </a:solidFill>
                          <a:ln>
                            <a:solidFill>
                              <a:schemeClr val="tx1"/>
                            </a:solidFill>
                          </a:ln>
                        </wps:spPr>
                        <wps:txbx>
                          <w:txbxContent>
                            <w:p w14:paraId="42757888" w14:textId="77777777" w:rsidR="009B2394" w:rsidRDefault="009B2394" w:rsidP="009B2394">
                              <w:pPr>
                                <w:pStyle w:val="af7"/>
                                <w:wordWrap w:val="0"/>
                                <w:spacing w:before="0" w:beforeAutospacing="0" w:after="0" w:afterAutospacing="0"/>
                                <w:jc w:val="center"/>
                              </w:pPr>
                              <w:r>
                                <w:rPr>
                                  <w:rFonts w:ascii="Arial Narrow" w:eastAsiaTheme="minorEastAsia" w:hAnsi="Arial Narrow" w:cs="Arial"/>
                                  <w:color w:val="000000" w:themeColor="text1"/>
                                  <w:kern w:val="24"/>
                                  <w:sz w:val="18"/>
                                  <w:szCs w:val="18"/>
                                </w:rPr>
                                <w:t>NR carrier</w:t>
                              </w:r>
                            </w:p>
                          </w:txbxContent>
                        </wps:txbx>
                        <wps:bodyPr wrap="square" rtlCol="0">
                          <a:spAutoFit/>
                        </wps:bodyPr>
                      </wps:wsp>
                      <wps:wsp>
                        <wps:cNvPr id="5" name="TextBox 43"/>
                        <wps:cNvSpPr txBox="1"/>
                        <wps:spPr>
                          <a:xfrm>
                            <a:off x="87929" y="557107"/>
                            <a:ext cx="2299970" cy="222885"/>
                          </a:xfrm>
                          <a:prstGeom prst="rect">
                            <a:avLst/>
                          </a:prstGeom>
                          <a:solidFill>
                            <a:schemeClr val="bg1"/>
                          </a:solidFill>
                          <a:ln>
                            <a:solidFill>
                              <a:schemeClr val="tx1"/>
                            </a:solidFill>
                          </a:ln>
                        </wps:spPr>
                        <wps:txbx>
                          <w:txbxContent>
                            <w:p w14:paraId="2F9DC310" w14:textId="77777777" w:rsidR="009B2394" w:rsidRDefault="009B2394" w:rsidP="009B2394">
                              <w:pPr>
                                <w:pStyle w:val="af7"/>
                                <w:wordWrap w:val="0"/>
                                <w:spacing w:before="0" w:beforeAutospacing="0" w:after="0" w:afterAutospacing="0"/>
                                <w:jc w:val="center"/>
                              </w:pPr>
                              <w:proofErr w:type="spellStart"/>
                              <w:r>
                                <w:rPr>
                                  <w:rFonts w:ascii="Arial Narrow" w:eastAsiaTheme="minorEastAsia" w:hAnsi="Arial Narrow" w:cs="Arial"/>
                                  <w:color w:val="000000" w:themeColor="text1"/>
                                  <w:kern w:val="24"/>
                                  <w:sz w:val="18"/>
                                  <w:szCs w:val="18"/>
                                </w:rPr>
                                <w:t>WiGig</w:t>
                              </w:r>
                              <w:proofErr w:type="spellEnd"/>
                            </w:p>
                          </w:txbxContent>
                        </wps:txbx>
                        <wps:bodyPr wrap="square" rtlCol="0">
                          <a:spAutoFit/>
                        </wps:bodyPr>
                      </wps:wsp>
                      <wps:wsp>
                        <wps:cNvPr id="6" name="TextBox 44"/>
                        <wps:cNvSpPr txBox="1"/>
                        <wps:spPr>
                          <a:xfrm>
                            <a:off x="2524424" y="271481"/>
                            <a:ext cx="736600" cy="222885"/>
                          </a:xfrm>
                          <a:prstGeom prst="rect">
                            <a:avLst/>
                          </a:prstGeom>
                          <a:solidFill>
                            <a:schemeClr val="bg1"/>
                          </a:solidFill>
                          <a:ln>
                            <a:solidFill>
                              <a:schemeClr val="tx1"/>
                            </a:solidFill>
                          </a:ln>
                        </wps:spPr>
                        <wps:txbx>
                          <w:txbxContent>
                            <w:p w14:paraId="5251057E" w14:textId="77777777" w:rsidR="009B2394" w:rsidRDefault="009B2394" w:rsidP="009B2394">
                              <w:pPr>
                                <w:pStyle w:val="af7"/>
                                <w:wordWrap w:val="0"/>
                                <w:spacing w:before="0" w:beforeAutospacing="0" w:after="0" w:afterAutospacing="0"/>
                                <w:jc w:val="center"/>
                              </w:pPr>
                              <w:r>
                                <w:rPr>
                                  <w:rFonts w:ascii="Arial Narrow" w:eastAsiaTheme="minorEastAsia" w:hAnsi="Arial Narrow" w:cs="Arial"/>
                                  <w:color w:val="000000" w:themeColor="text1"/>
                                  <w:kern w:val="24"/>
                                  <w:sz w:val="18"/>
                                  <w:szCs w:val="18"/>
                                </w:rPr>
                                <w:t>NR carrier</w:t>
                              </w:r>
                            </w:p>
                          </w:txbxContent>
                        </wps:txbx>
                        <wps:bodyPr wrap="square" rtlCol="0">
                          <a:spAutoFit/>
                        </wps:bodyPr>
                      </wps:wsp>
                      <wps:wsp>
                        <wps:cNvPr id="7" name="TextBox 45"/>
                        <wps:cNvSpPr txBox="1"/>
                        <wps:spPr>
                          <a:xfrm>
                            <a:off x="3255409" y="271481"/>
                            <a:ext cx="735965" cy="222885"/>
                          </a:xfrm>
                          <a:prstGeom prst="rect">
                            <a:avLst/>
                          </a:prstGeom>
                          <a:solidFill>
                            <a:schemeClr val="bg1"/>
                          </a:solidFill>
                          <a:ln>
                            <a:solidFill>
                              <a:schemeClr val="tx1"/>
                            </a:solidFill>
                          </a:ln>
                        </wps:spPr>
                        <wps:txbx>
                          <w:txbxContent>
                            <w:p w14:paraId="094C93F6" w14:textId="77777777" w:rsidR="009B2394" w:rsidRDefault="009B2394" w:rsidP="009B2394">
                              <w:pPr>
                                <w:pStyle w:val="af7"/>
                                <w:wordWrap w:val="0"/>
                                <w:spacing w:before="0" w:beforeAutospacing="0" w:after="0" w:afterAutospacing="0"/>
                                <w:jc w:val="center"/>
                              </w:pPr>
                              <w:r>
                                <w:rPr>
                                  <w:rFonts w:ascii="Arial Narrow" w:eastAsiaTheme="minorEastAsia" w:hAnsi="Arial Narrow" w:cs="Arial"/>
                                  <w:color w:val="000000" w:themeColor="text1"/>
                                  <w:kern w:val="24"/>
                                  <w:sz w:val="18"/>
                                  <w:szCs w:val="18"/>
                                </w:rPr>
                                <w:t>NR carrier</w:t>
                              </w:r>
                            </w:p>
                          </w:txbxContent>
                        </wps:txbx>
                        <wps:bodyPr wrap="square" rtlCol="0">
                          <a:spAutoFit/>
                        </wps:bodyPr>
                      </wps:wsp>
                      <wps:wsp>
                        <wps:cNvPr id="8" name="TextBox 46"/>
                        <wps:cNvSpPr txBox="1"/>
                        <wps:spPr>
                          <a:xfrm>
                            <a:off x="3986395" y="271481"/>
                            <a:ext cx="736600" cy="222885"/>
                          </a:xfrm>
                          <a:prstGeom prst="rect">
                            <a:avLst/>
                          </a:prstGeom>
                          <a:solidFill>
                            <a:schemeClr val="bg1"/>
                          </a:solidFill>
                          <a:ln>
                            <a:solidFill>
                              <a:schemeClr val="tx1"/>
                            </a:solidFill>
                          </a:ln>
                        </wps:spPr>
                        <wps:txbx>
                          <w:txbxContent>
                            <w:p w14:paraId="59D4E808" w14:textId="77777777" w:rsidR="009B2394" w:rsidRDefault="009B2394" w:rsidP="009B2394">
                              <w:pPr>
                                <w:pStyle w:val="af7"/>
                                <w:wordWrap w:val="0"/>
                                <w:spacing w:before="0" w:beforeAutospacing="0" w:after="0" w:afterAutospacing="0"/>
                                <w:jc w:val="center"/>
                              </w:pPr>
                              <w:r>
                                <w:rPr>
                                  <w:rFonts w:ascii="Arial Narrow" w:eastAsiaTheme="minorEastAsia" w:hAnsi="Arial Narrow" w:cs="Arial"/>
                                  <w:color w:val="000000" w:themeColor="text1"/>
                                  <w:kern w:val="24"/>
                                  <w:sz w:val="18"/>
                                  <w:szCs w:val="18"/>
                                </w:rPr>
                                <w:t>NR carrier</w:t>
                              </w:r>
                            </w:p>
                          </w:txbxContent>
                        </wps:txbx>
                        <wps:bodyPr wrap="square" rtlCol="0">
                          <a:spAutoFit/>
                        </wps:bodyPr>
                      </wps:wsp>
                      <wps:wsp>
                        <wps:cNvPr id="9" name="TextBox 47"/>
                        <wps:cNvSpPr txBox="1"/>
                        <wps:spPr>
                          <a:xfrm>
                            <a:off x="2470520" y="557107"/>
                            <a:ext cx="2299970" cy="222885"/>
                          </a:xfrm>
                          <a:prstGeom prst="rect">
                            <a:avLst/>
                          </a:prstGeom>
                          <a:solidFill>
                            <a:schemeClr val="bg1"/>
                          </a:solidFill>
                          <a:ln>
                            <a:solidFill>
                              <a:schemeClr val="tx1"/>
                            </a:solidFill>
                          </a:ln>
                        </wps:spPr>
                        <wps:txbx>
                          <w:txbxContent>
                            <w:p w14:paraId="57D6666D" w14:textId="77777777" w:rsidR="009B2394" w:rsidRDefault="009B2394" w:rsidP="009B2394">
                              <w:pPr>
                                <w:pStyle w:val="af7"/>
                                <w:wordWrap w:val="0"/>
                                <w:spacing w:before="0" w:beforeAutospacing="0" w:after="0" w:afterAutospacing="0"/>
                                <w:jc w:val="center"/>
                              </w:pPr>
                              <w:proofErr w:type="spellStart"/>
                              <w:r>
                                <w:rPr>
                                  <w:rFonts w:ascii="Arial Narrow" w:eastAsiaTheme="minorEastAsia" w:hAnsi="Arial Narrow" w:cs="Arial"/>
                                  <w:color w:val="000000" w:themeColor="text1"/>
                                  <w:kern w:val="24"/>
                                  <w:sz w:val="18"/>
                                  <w:szCs w:val="18"/>
                                </w:rPr>
                                <w:t>WiGig</w:t>
                              </w:r>
                              <w:proofErr w:type="spellEnd"/>
                            </w:p>
                          </w:txbxContent>
                        </wps:txbx>
                        <wps:bodyPr wrap="square" rtlCol="0">
                          <a:spAutoFit/>
                        </wps:bodyPr>
                      </wps:wsp>
                      <wps:wsp>
                        <wps:cNvPr id="10" name="직선 화살표 연결선 10"/>
                        <wps:cNvCnPr/>
                        <wps:spPr>
                          <a:xfrm>
                            <a:off x="0" y="836955"/>
                            <a:ext cx="4955060" cy="0"/>
                          </a:xfrm>
                          <a:prstGeom prst="straightConnector1">
                            <a:avLst/>
                          </a:prstGeom>
                          <a:ln>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1" name="직선 화살표 연결선 11"/>
                        <wps:cNvCnPr/>
                        <wps:spPr>
                          <a:xfrm>
                            <a:off x="84687" y="970308"/>
                            <a:ext cx="2293852"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 name="직선 화살표 연결선 12"/>
                        <wps:cNvCnPr/>
                        <wps:spPr>
                          <a:xfrm>
                            <a:off x="132317" y="213068"/>
                            <a:ext cx="736514"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 name="TextBox 51"/>
                        <wps:cNvSpPr txBox="1"/>
                        <wps:spPr>
                          <a:xfrm>
                            <a:off x="186211" y="0"/>
                            <a:ext cx="621030" cy="222885"/>
                          </a:xfrm>
                          <a:prstGeom prst="rect">
                            <a:avLst/>
                          </a:prstGeom>
                          <a:noFill/>
                        </wps:spPr>
                        <wps:txbx>
                          <w:txbxContent>
                            <w:p w14:paraId="57245689" w14:textId="77777777" w:rsidR="009B2394" w:rsidRDefault="009B2394" w:rsidP="009B2394">
                              <w:pPr>
                                <w:pStyle w:val="af7"/>
                                <w:wordWrap w:val="0"/>
                                <w:spacing w:before="0" w:beforeAutospacing="0" w:after="0" w:afterAutospacing="0"/>
                              </w:pPr>
                              <w:r>
                                <w:rPr>
                                  <w:rFonts w:ascii="Arial Narrow" w:eastAsiaTheme="minorEastAsia" w:hAnsi="Arial Narrow" w:cstheme="minorBidi"/>
                                  <w:color w:val="000000" w:themeColor="text1"/>
                                  <w:kern w:val="24"/>
                                  <w:sz w:val="18"/>
                                  <w:szCs w:val="18"/>
                                </w:rPr>
                                <w:t>≤ 800MHz</w:t>
                              </w:r>
                            </w:p>
                          </w:txbxContent>
                        </wps:txbx>
                        <wps:bodyPr wrap="none" rtlCol="0">
                          <a:spAutoFit/>
                        </wps:bodyPr>
                      </wps:wsp>
                      <wps:wsp>
                        <wps:cNvPr id="14" name="TextBox 52"/>
                        <wps:cNvSpPr txBox="1"/>
                        <wps:spPr>
                          <a:xfrm>
                            <a:off x="383266" y="856615"/>
                            <a:ext cx="1386840" cy="222885"/>
                          </a:xfrm>
                          <a:prstGeom prst="rect">
                            <a:avLst/>
                          </a:prstGeom>
                          <a:solidFill>
                            <a:schemeClr val="bg1"/>
                          </a:solidFill>
                        </wps:spPr>
                        <wps:txbx>
                          <w:txbxContent>
                            <w:p w14:paraId="2818B809" w14:textId="0DDF8C3D" w:rsidR="009B2394" w:rsidRDefault="009B2394" w:rsidP="009B2394">
                              <w:pPr>
                                <w:pStyle w:val="af7"/>
                                <w:wordWrap w:val="0"/>
                                <w:spacing w:before="0" w:beforeAutospacing="0" w:after="0" w:afterAutospacing="0"/>
                                <w:jc w:val="center"/>
                              </w:pPr>
                              <w:proofErr w:type="gramStart"/>
                              <w:r>
                                <w:rPr>
                                  <w:rFonts w:ascii="Arial Narrow" w:eastAsiaTheme="minorEastAsia" w:hAnsi="Arial Narrow" w:cs="Arial"/>
                                  <w:color w:val="000000" w:themeColor="text1"/>
                                  <w:kern w:val="24"/>
                                  <w:sz w:val="18"/>
                                  <w:szCs w:val="18"/>
                                </w:rPr>
                                <w:t>channel</w:t>
                              </w:r>
                              <w:proofErr w:type="gramEnd"/>
                              <w:r>
                                <w:rPr>
                                  <w:rFonts w:ascii="Arial Narrow" w:eastAsiaTheme="minorEastAsia" w:hAnsi="Arial Narrow" w:cs="Arial"/>
                                  <w:color w:val="000000" w:themeColor="text1"/>
                                  <w:kern w:val="24"/>
                                  <w:sz w:val="18"/>
                                  <w:szCs w:val="18"/>
                                </w:rPr>
                                <w:t xml:space="preserve"> bandwidth: 2.16GHz</w:t>
                              </w:r>
                            </w:p>
                          </w:txbxContent>
                        </wps:txbx>
                        <wps:bodyPr wrap="none" rtlCol="0">
                          <a:spAutoFit/>
                        </wps:bodyPr>
                      </wps:wsp>
                      <wps:wsp>
                        <wps:cNvPr id="15" name="TextBox 53"/>
                        <wps:cNvSpPr txBox="1"/>
                        <wps:spPr>
                          <a:xfrm>
                            <a:off x="4685499" y="831771"/>
                            <a:ext cx="344805" cy="222885"/>
                          </a:xfrm>
                          <a:prstGeom prst="rect">
                            <a:avLst/>
                          </a:prstGeom>
                          <a:noFill/>
                        </wps:spPr>
                        <wps:txbx>
                          <w:txbxContent>
                            <w:p w14:paraId="57590B2F" w14:textId="77777777" w:rsidR="009B2394" w:rsidRDefault="009B2394" w:rsidP="009B2394">
                              <w:pPr>
                                <w:pStyle w:val="af7"/>
                                <w:wordWrap w:val="0"/>
                                <w:spacing w:before="0" w:beforeAutospacing="0" w:after="0" w:afterAutospacing="0"/>
                                <w:jc w:val="center"/>
                              </w:pPr>
                              <w:proofErr w:type="spellStart"/>
                              <w:proofErr w:type="gramStart"/>
                              <w:r>
                                <w:rPr>
                                  <w:rFonts w:ascii="Arial Narrow" w:eastAsiaTheme="minorEastAsia" w:hAnsi="Arial Narrow" w:cs="Arial"/>
                                  <w:color w:val="000000" w:themeColor="text1"/>
                                  <w:kern w:val="24"/>
                                  <w:sz w:val="18"/>
                                  <w:szCs w:val="18"/>
                                </w:rPr>
                                <w:t>freq</w:t>
                              </w:r>
                              <w:proofErr w:type="spellEnd"/>
                              <w:proofErr w:type="gramEnd"/>
                            </w:p>
                          </w:txbxContent>
                        </wps:txbx>
                        <wps:bodyPr wrap="none" rtlCol="0">
                          <a:spAutoFit/>
                        </wps:bodyPr>
                      </wps:wsp>
                    </wpg:wgp>
                  </a:graphicData>
                </a:graphic>
              </wp:inline>
            </w:drawing>
          </mc:Choice>
          <mc:Fallback>
            <w:pict>
              <v:group w14:anchorId="23323CA6" id="그룹 54" o:spid="_x0000_s1026" style="width:396.1pt;height:85pt;mso-position-horizontal-relative:char;mso-position-vertical-relative:line" coordsize="50303,1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2pg9AQAAAQgAAAOAAAAZHJzL2Uyb0RvYy54bWzsWdtu2zYYvh+wdyB0v1iiDqaMOMWWNrkZ&#10;tqLtHoCRKFuAJGokEzuXG/YCBQYMA3YxoBe7LYYB216pS99hPymJqg852AuyOA0COBbNg/7/+48f&#10;95/MywKdMSFzXo0db891EKsSnubVZOx88+roM+IgqWiV0oJXbOycM+k8Ofj0k/1ZPWKYT3mRMoFg&#10;k0qOZvXYmSpVjwYDmUxZSeUer1kFP2ZclFTBo5gMUkFnsHtZDLDrRoMZF2kteMKkhNGnzY/Ogdk/&#10;y1iivs4yyRQqxg68mzKfwnye6M/BwT4dTQStp3nSvgbd4i1KmldwqN3qKVUUnYp8ZasyTwSXPFN7&#10;CS8HPMvyhBkZQBrPXZLmWPDT2sgyGc0mtVUTqHZJT1tvm3x19lygPB07YeigipaA0bs///rnzd8o&#10;DLR2ZvVkBJOORf2yfi7agUnzpAWeZ6LU/0EUNDd6Pbd6ZXOFEhgMXR/+Agcl8JvnDuPQbTWfTAGe&#10;lXXJ9Nk1KwfdwQP9fvZ1ZjVYkewVJf+bol5Oac2M/qXWQaso3OnpFcj3BZ+jwAijz4ZJWktIzWEc&#10;RG0UKEcSBtcoyws84vsOAq3goRcQM5+OOrUN/SgCRRmtYYwJCfV+VnQ6qoVUx4yXSH8ZOwKs3Rgh&#10;PftSqmZqN0WfLnmRp0d5UZgH7WHssBDojIJvnEzM4bD5wqyium6hmq9ZCNvolQBOJ7v+puYnc2NA&#10;cnTC03PQ0wwcb+zIb0+pYA4Sqjjkxk/NofXnp4of5UYQvbxZ0+4KKGvbvAO4AZ/GLSzcFtYN4SZD&#10;TDyIh5fCHcYROKF2kocCt4ksVl87hDoEqyXUcefMG6LuRa5P3Ku8/IHCbhW2Q7DbHGid3d8SdjKM&#10;cWx8PQyHkPP0Nn1oxziO4+EDi+3G2a2+dgj1aMXZ29Jn44yOQxwEGILHpTH+4aV0A7tV2A7BPlyB&#10;3RRYuqrYMMb7OAwDt3H39ZXcA43xVmE7BDtUYEupPdoyxvsxifwYcsbH5u1WYTsEO3jnEuwmJ2/h&#10;7TgYuiGG5A2wf1zJ3Wpsh3D3AKgG+Ivfvrv44Vf0/ucfL77/4/3rX9DFT2/f/f5Wj8GktjOFyH9Y&#10;tURH17x2ZMMSy0H8KAbWZKGwC2DEjdrCzmx6eb8ulaD5ZKoOeVVB686Fd1X3vmUrTkdTRtNnVYrU&#10;eQ3kTgU0nINmY6dkqYMKBqyd/maEUDQv+plUCD5bP3V9fy/VecF0lVtUL1gGZYGhQEwvv0g20CRh&#10;lep4AzNbz8qAmrALXaMLwwP2LMXiwna+qasN1bfJYtatMCfzStnFZV5xse70nurImvkdw9HI3XMU&#10;oExDfdwdSeF5NzFy24jfyMhJEBEokSDIQafiu2TR0KGD8UkIXJimK+6joSuR02pS3NDYr579aO/G&#10;P+6RvVsS9qqgbhmIG9m752Pfawwee74bLRk8sLGh13LYj/b+GN8b7vmOSGhvhYUOPwzmG106kAjr&#10;dNGF7Z6UgnGI87dHQFfA3hdFlwybOxCdJPU9gCENjIf1abO9DmgqlPt5GaADwGIXASkQJNyii/CJ&#10;jyNgngAHEkaRt1RIej6JCNws/X/XAWtubwxqcSfwQhNwr1FboXVDS1NuyPRATRQGccP0EEgXQ+OG&#10;vQ/5QUBcOO62LnGu9aG+c7kNOMx1Klw1Q6ZfuMv+8NlUAf3l/cG/AAAA//8DAFBLAwQUAAYACAAA&#10;ACEAHO8RotwAAAAFAQAADwAAAGRycy9kb3ducmV2LnhtbEyPQUvDQBCF74L/YRnBm91NRKsxm1KK&#10;eiqCrVB6m2anSWh2N2S3SfrvHb3o5cHwHu99ky8m24qB+tB4pyGZKRDkSm8aV2n42r7dPYEIEZ3B&#10;1jvScKEAi+L6KsfM+NF90rCJleASFzLUUMfYZVKGsiaLYeY7cuwdfW8x8tlX0vQ4crltZarUo7TY&#10;OF6osaNVTeVpc7Ya3kccl/fJ67A+HVeX/fbhY7dOSOvbm2n5AiLSFP/C8IPP6FAw08GfnQmi1cCP&#10;xF9lb/6cpiAOHJorBbLI5X/64hsAAP//AwBQSwECLQAUAAYACAAAACEAtoM4kv4AAADhAQAAEwAA&#10;AAAAAAAAAAAAAAAAAAAAW0NvbnRlbnRfVHlwZXNdLnhtbFBLAQItABQABgAIAAAAIQA4/SH/1gAA&#10;AJQBAAALAAAAAAAAAAAAAAAAAC8BAABfcmVscy8ucmVsc1BLAQItABQABgAIAAAAIQAgk2pg9AQA&#10;AAQgAAAOAAAAAAAAAAAAAAAAAC4CAABkcnMvZTJvRG9jLnhtbFBLAQItABQABgAIAAAAIQAc7xGi&#10;3AAAAAUBAAAPAAAAAAAAAAAAAAAAAE4HAABkcnMvZG93bnJldi54bWxQSwUGAAAAAAQABADzAAAA&#10;VwgAAAAA&#10;">
                <v:shapetype id="_x0000_t202" coordsize="21600,21600" o:spt="202" path="m,l,21600r21600,l21600,xe">
                  <v:stroke joinstyle="miter"/>
                  <v:path gradientshapeok="t" o:connecttype="rect"/>
                </v:shapetype>
                <v:shape id="TextBox 40" o:spid="_x0000_s1027" type="#_x0000_t202" style="position:absolute;left:1418;top:2714;width:7366;height:2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qGzsIA&#10;AADaAAAADwAAAGRycy9kb3ducmV2LnhtbESPzWrDMBCE74W+g9hAbrWcH0pxrRhTMCSHQprkARZr&#10;/UOslbEUR3n7qlDIcZiZb5i8CGYQM02ut6xglaQgiGure24VXM7V2wcI55E1DpZJwYMcFLvXlxwz&#10;be/8Q/PJtyJC2GWooPN+zKR0dUcGXWJH4ug1djLoo5xaqSe8R7gZ5DpN36XBnuNChyN9dVRfTzej&#10;YDOYY1mZbf89Xw+tb6pwHNOg1HIRyk8QnoJ/hv/be61gDX9X4g2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eobOwgAAANoAAAAPAAAAAAAAAAAAAAAAAJgCAABkcnMvZG93&#10;bnJldi54bWxQSwUGAAAAAAQABAD1AAAAhwMAAAAA&#10;" fillcolor="white [3212]" strokecolor="black [3213]">
                  <v:textbox style="mso-fit-shape-to-text:t">
                    <w:txbxContent>
                      <w:p w14:paraId="68A58D3B" w14:textId="77777777" w:rsidR="009B2394" w:rsidRDefault="009B2394" w:rsidP="009B2394">
                        <w:pPr>
                          <w:pStyle w:val="af7"/>
                          <w:wordWrap w:val="0"/>
                          <w:spacing w:before="0" w:beforeAutospacing="0" w:after="0" w:afterAutospacing="0"/>
                          <w:jc w:val="center"/>
                        </w:pPr>
                        <w:r>
                          <w:rPr>
                            <w:rFonts w:ascii="Arial Narrow" w:eastAsiaTheme="minorEastAsia" w:hAnsi="Arial Narrow" w:cs="Arial"/>
                            <w:color w:val="000000" w:themeColor="text1"/>
                            <w:kern w:val="24"/>
                            <w:sz w:val="18"/>
                            <w:szCs w:val="18"/>
                          </w:rPr>
                          <w:t>NR carrier</w:t>
                        </w:r>
                      </w:p>
                    </w:txbxContent>
                  </v:textbox>
                </v:shape>
                <v:shape id="TextBox 41" o:spid="_x0000_s1028" type="#_x0000_t202" style="position:absolute;left:8728;top:2714;width:7359;height:2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YjVcEA&#10;AADaAAAADwAAAGRycy9kb3ducmV2LnhtbESPzWrDMBCE74G8g9hAb7GcNpTiWDEmYGgPhTTpAyzW&#10;+odYK2Mpjvr2VSCQ4zDzzTB5EcwgZppcb1nBJklBENdW99wq+D1X6w8QziNrHCyTgj9yUOyXixwz&#10;bW/8Q/PJtyKWsMtQQef9mEnp6o4MusSOxNFr7GTQRzm1Uk94i+VmkK9p+i4N9hwXOhzp0FF9OV2N&#10;grfBHMvKbPvv+fLV+qYKxzENSr2sQrkD4Sn4Z/hBf+rIwf1KvAFy/w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A2I1XBAAAA2gAAAA8AAAAAAAAAAAAAAAAAmAIAAGRycy9kb3du&#10;cmV2LnhtbFBLBQYAAAAABAAEAPUAAACGAwAAAAA=&#10;" fillcolor="white [3212]" strokecolor="black [3213]">
                  <v:textbox style="mso-fit-shape-to-text:t">
                    <w:txbxContent>
                      <w:p w14:paraId="3227F883" w14:textId="77777777" w:rsidR="009B2394" w:rsidRDefault="009B2394" w:rsidP="009B2394">
                        <w:pPr>
                          <w:pStyle w:val="af7"/>
                          <w:wordWrap w:val="0"/>
                          <w:spacing w:before="0" w:beforeAutospacing="0" w:after="0" w:afterAutospacing="0"/>
                          <w:jc w:val="center"/>
                        </w:pPr>
                        <w:r>
                          <w:rPr>
                            <w:rFonts w:ascii="Arial Narrow" w:eastAsiaTheme="minorEastAsia" w:hAnsi="Arial Narrow" w:cs="Arial"/>
                            <w:color w:val="000000" w:themeColor="text1"/>
                            <w:kern w:val="24"/>
                            <w:sz w:val="18"/>
                            <w:szCs w:val="18"/>
                          </w:rPr>
                          <w:t>NR carrier</w:t>
                        </w:r>
                      </w:p>
                    </w:txbxContent>
                  </v:textbox>
                </v:shape>
                <v:shape id="TextBox 42" o:spid="_x0000_s1029" type="#_x0000_t202" style="position:absolute;left:16038;top:2714;width:7359;height:2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7IcEA&#10;AADaAAAADwAAAGRycy9kb3ducmV2LnhtbESP0YrCMBRE3wX/IVxh32zqKiLVVEQo6IOg7n7Apbm2&#10;pc1NabI1/v1GWNjHYWbOMLt9MJ0YaXCNZQWLJAVBXFrdcKXg+6uYb0A4j6yxs0wKXuRgn08nO8y0&#10;ffKNxruvRISwy1BB7X2fSenKmgy6xPbE0XvYwaCPcqikHvAZ4aaTn2m6lgYbjgs19nSsqWzvP0bB&#10;sjPXQ2FWzWVsz5V/FOHap0Gpj1k4bEF4Cv4//Nc+aQUreF+JN0Dm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fuyHBAAAA2gAAAA8AAAAAAAAAAAAAAAAAmAIAAGRycy9kb3du&#10;cmV2LnhtbFBLBQYAAAAABAAEAPUAAACGAwAAAAA=&#10;" fillcolor="white [3212]" strokecolor="black [3213]">
                  <v:textbox style="mso-fit-shape-to-text:t">
                    <w:txbxContent>
                      <w:p w14:paraId="42757888" w14:textId="77777777" w:rsidR="009B2394" w:rsidRDefault="009B2394" w:rsidP="009B2394">
                        <w:pPr>
                          <w:pStyle w:val="af7"/>
                          <w:wordWrap w:val="0"/>
                          <w:spacing w:before="0" w:beforeAutospacing="0" w:after="0" w:afterAutospacing="0"/>
                          <w:jc w:val="center"/>
                        </w:pPr>
                        <w:r>
                          <w:rPr>
                            <w:rFonts w:ascii="Arial Narrow" w:eastAsiaTheme="minorEastAsia" w:hAnsi="Arial Narrow" w:cs="Arial"/>
                            <w:color w:val="000000" w:themeColor="text1"/>
                            <w:kern w:val="24"/>
                            <w:sz w:val="18"/>
                            <w:szCs w:val="18"/>
                          </w:rPr>
                          <w:t>NR carrier</w:t>
                        </w:r>
                      </w:p>
                    </w:txbxContent>
                  </v:textbox>
                </v:shape>
                <v:shape id="TextBox 43" o:spid="_x0000_s1030" type="#_x0000_t202" style="position:absolute;left:879;top:5571;width:22999;height:2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MeusEA&#10;AADaAAAADwAAAGRycy9kb3ducmV2LnhtbESP3YrCMBSE7xd8h3AE79bUnxWppiJCwb0QXPUBDs2x&#10;LW1OShNrfHuzsLCXw8x8w2x3wbRioN7VlhXMpgkI4sLqmksFt2v+uQbhPLLG1jIpeJGDXTb62GKq&#10;7ZN/aLj4UkQIuxQVVN53qZSuqMigm9qOOHp32xv0Ufal1D0+I9y0cp4kK2mw5rhQYUeHiorm8jAK&#10;Fq0573OzrE9D8136ex7OXRKUmozDfgPCU/D/4b/2USv4gt8r8QbI7A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THrrBAAAA2gAAAA8AAAAAAAAAAAAAAAAAmAIAAGRycy9kb3du&#10;cmV2LnhtbFBLBQYAAAAABAAEAPUAAACGAwAAAAA=&#10;" fillcolor="white [3212]" strokecolor="black [3213]">
                  <v:textbox style="mso-fit-shape-to-text:t">
                    <w:txbxContent>
                      <w:p w14:paraId="2F9DC310" w14:textId="77777777" w:rsidR="009B2394" w:rsidRDefault="009B2394" w:rsidP="009B2394">
                        <w:pPr>
                          <w:pStyle w:val="af7"/>
                          <w:wordWrap w:val="0"/>
                          <w:spacing w:before="0" w:beforeAutospacing="0" w:after="0" w:afterAutospacing="0"/>
                          <w:jc w:val="center"/>
                        </w:pPr>
                        <w:proofErr w:type="spellStart"/>
                        <w:r>
                          <w:rPr>
                            <w:rFonts w:ascii="Arial Narrow" w:eastAsiaTheme="minorEastAsia" w:hAnsi="Arial Narrow" w:cs="Arial"/>
                            <w:color w:val="000000" w:themeColor="text1"/>
                            <w:kern w:val="24"/>
                            <w:sz w:val="18"/>
                            <w:szCs w:val="18"/>
                          </w:rPr>
                          <w:t>WiGig</w:t>
                        </w:r>
                        <w:proofErr w:type="spellEnd"/>
                      </w:p>
                    </w:txbxContent>
                  </v:textbox>
                </v:shape>
                <v:shape id="TextBox 44" o:spid="_x0000_s1031" type="#_x0000_t202" style="position:absolute;left:25244;top:2714;width:7366;height:2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GAzcEA&#10;AADaAAAADwAAAGRycy9kb3ducmV2LnhtbESP0YrCMBRE3xf8h3CFfdum6iJSTUWEgj4I6u4HXJpr&#10;W9rclCbW+PcbYcHHYWbOMJttMJ0YaXCNZQWzJAVBXFrdcKXg96f4WoFwHlljZ5kUPMnBNp98bDDT&#10;9sEXGq++EhHCLkMFtfd9JqUrazLoEtsTR+9mB4M+yqGSesBHhJtOztN0KQ02HBdq7GlfU9le70bB&#10;ojPnXWG+m9PYHit/K8K5T4NSn9OwW4PwFPw7/N8+aAVLeF2JN0D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BgM3BAAAA2gAAAA8AAAAAAAAAAAAAAAAAmAIAAGRycy9kb3du&#10;cmV2LnhtbFBLBQYAAAAABAAEAPUAAACGAwAAAAA=&#10;" fillcolor="white [3212]" strokecolor="black [3213]">
                  <v:textbox style="mso-fit-shape-to-text:t">
                    <w:txbxContent>
                      <w:p w14:paraId="5251057E" w14:textId="77777777" w:rsidR="009B2394" w:rsidRDefault="009B2394" w:rsidP="009B2394">
                        <w:pPr>
                          <w:pStyle w:val="af7"/>
                          <w:wordWrap w:val="0"/>
                          <w:spacing w:before="0" w:beforeAutospacing="0" w:after="0" w:afterAutospacing="0"/>
                          <w:jc w:val="center"/>
                        </w:pPr>
                        <w:r>
                          <w:rPr>
                            <w:rFonts w:ascii="Arial Narrow" w:eastAsiaTheme="minorEastAsia" w:hAnsi="Arial Narrow" w:cs="Arial"/>
                            <w:color w:val="000000" w:themeColor="text1"/>
                            <w:kern w:val="24"/>
                            <w:sz w:val="18"/>
                            <w:szCs w:val="18"/>
                          </w:rPr>
                          <w:t>NR carrier</w:t>
                        </w:r>
                      </w:p>
                    </w:txbxContent>
                  </v:textbox>
                </v:shape>
                <v:shape id="TextBox 45" o:spid="_x0000_s1032" type="#_x0000_t202" style="position:absolute;left:32554;top:2714;width:7359;height:2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0lVsEA&#10;AADaAAAADwAAAGRycy9kb3ducmV2LnhtbESP3YrCMBSE7xd8h3AE79bUH1appiJCwb0QXPUBDs2x&#10;LW1OShNrfHuzsLCXw8x8w2x3wbRioN7VlhXMpgkI4sLqmksFt2v+uQbhPLLG1jIpeJGDXTb62GKq&#10;7ZN/aLj4UkQIuxQVVN53qZSuqMigm9qOOHp32xv0Ufal1D0+I9y0cp4kX9JgzXGhwo4OFRXN5WEU&#10;LFpz3udmWZ+G5rv09zycuyQoNRmH/QaEp+D/w3/to1awgt8r8QbI7A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8NJVbBAAAA2gAAAA8AAAAAAAAAAAAAAAAAmAIAAGRycy9kb3du&#10;cmV2LnhtbFBLBQYAAAAABAAEAPUAAACGAwAAAAA=&#10;" fillcolor="white [3212]" strokecolor="black [3213]">
                  <v:textbox style="mso-fit-shape-to-text:t">
                    <w:txbxContent>
                      <w:p w14:paraId="094C93F6" w14:textId="77777777" w:rsidR="009B2394" w:rsidRDefault="009B2394" w:rsidP="009B2394">
                        <w:pPr>
                          <w:pStyle w:val="af7"/>
                          <w:wordWrap w:val="0"/>
                          <w:spacing w:before="0" w:beforeAutospacing="0" w:after="0" w:afterAutospacing="0"/>
                          <w:jc w:val="center"/>
                        </w:pPr>
                        <w:r>
                          <w:rPr>
                            <w:rFonts w:ascii="Arial Narrow" w:eastAsiaTheme="minorEastAsia" w:hAnsi="Arial Narrow" w:cs="Arial"/>
                            <w:color w:val="000000" w:themeColor="text1"/>
                            <w:kern w:val="24"/>
                            <w:sz w:val="18"/>
                            <w:szCs w:val="18"/>
                          </w:rPr>
                          <w:t>NR carrier</w:t>
                        </w:r>
                      </w:p>
                    </w:txbxContent>
                  </v:textbox>
                </v:shape>
                <v:shape id="TextBox 46" o:spid="_x0000_s1033" type="#_x0000_t202" style="position:absolute;left:39863;top:2714;width:7366;height:2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xJLsA&#10;AADaAAAADwAAAGRycy9kb3ducmV2LnhtbERPSwrCMBDdC94hjOBOUz+IVKOIUNCF4O8AQzO2xWZS&#10;mljj7c1CcPl4//U2mFp01LrKsoLJOAFBnFtdcaHgfstGSxDOI2usLZOCDznYbvq9NabavvlC3dUX&#10;IoawS1FB6X2TSunykgy6sW2II/ewrUEfYVtI3eI7hptaTpNkIQ1WHBtKbGhfUv68voyCWW3Ou8zM&#10;q1P3PBb+kYVzkwSlhoOwW4HwFPxf/HMftIK4NV6JN0Buvg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P6SsSS7AAAA2gAAAA8AAAAAAAAAAAAAAAAAmAIAAGRycy9kb3ducmV2Lnht&#10;bFBLBQYAAAAABAAEAPUAAACAAwAAAAA=&#10;" fillcolor="white [3212]" strokecolor="black [3213]">
                  <v:textbox style="mso-fit-shape-to-text:t">
                    <w:txbxContent>
                      <w:p w14:paraId="59D4E808" w14:textId="77777777" w:rsidR="009B2394" w:rsidRDefault="009B2394" w:rsidP="009B2394">
                        <w:pPr>
                          <w:pStyle w:val="af7"/>
                          <w:wordWrap w:val="0"/>
                          <w:spacing w:before="0" w:beforeAutospacing="0" w:after="0" w:afterAutospacing="0"/>
                          <w:jc w:val="center"/>
                        </w:pPr>
                        <w:r>
                          <w:rPr>
                            <w:rFonts w:ascii="Arial Narrow" w:eastAsiaTheme="minorEastAsia" w:hAnsi="Arial Narrow" w:cs="Arial"/>
                            <w:color w:val="000000" w:themeColor="text1"/>
                            <w:kern w:val="24"/>
                            <w:sz w:val="18"/>
                            <w:szCs w:val="18"/>
                          </w:rPr>
                          <w:t>NR carrier</w:t>
                        </w:r>
                      </w:p>
                    </w:txbxContent>
                  </v:textbox>
                </v:shape>
                <v:shape id="TextBox 47" o:spid="_x0000_s1034" type="#_x0000_t202" style="position:absolute;left:24705;top:5571;width:22999;height:2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4Uv8EA&#10;AADaAAAADwAAAGRycy9kb3ducmV2LnhtbESP3YrCMBSE7xd8h3AE79bUHxatpiJCwb0QXPUBDs2x&#10;LW1OShNrfHuzsLCXw8x8w2x3wbRioN7VlhXMpgkI4sLqmksFt2v+uQLhPLLG1jIpeJGDXTb62GKq&#10;7ZN/aLj4UkQIuxQVVN53qZSuqMigm9qOOHp32xv0Ufal1D0+I9y0cp4kX9JgzXGhwo4OFRXN5WEU&#10;LFpz3udmWZ+G5rv09zycuyQoNRmH/QaEp+D/w3/to1awht8r8QbI7A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HeFL/BAAAA2gAAAA8AAAAAAAAAAAAAAAAAmAIAAGRycy9kb3du&#10;cmV2LnhtbFBLBQYAAAAABAAEAPUAAACGAwAAAAA=&#10;" fillcolor="white [3212]" strokecolor="black [3213]">
                  <v:textbox style="mso-fit-shape-to-text:t">
                    <w:txbxContent>
                      <w:p w14:paraId="57D6666D" w14:textId="77777777" w:rsidR="009B2394" w:rsidRDefault="009B2394" w:rsidP="009B2394">
                        <w:pPr>
                          <w:pStyle w:val="af7"/>
                          <w:wordWrap w:val="0"/>
                          <w:spacing w:before="0" w:beforeAutospacing="0" w:after="0" w:afterAutospacing="0"/>
                          <w:jc w:val="center"/>
                        </w:pPr>
                        <w:proofErr w:type="spellStart"/>
                        <w:r>
                          <w:rPr>
                            <w:rFonts w:ascii="Arial Narrow" w:eastAsiaTheme="minorEastAsia" w:hAnsi="Arial Narrow" w:cs="Arial"/>
                            <w:color w:val="000000" w:themeColor="text1"/>
                            <w:kern w:val="24"/>
                            <w:sz w:val="18"/>
                            <w:szCs w:val="18"/>
                          </w:rPr>
                          <w:t>WiGig</w:t>
                        </w:r>
                        <w:proofErr w:type="spellEnd"/>
                      </w:p>
                    </w:txbxContent>
                  </v:textbox>
                </v:shape>
                <v:shapetype id="_x0000_t32" coordsize="21600,21600" o:spt="32" o:oned="t" path="m,l21600,21600e" filled="f">
                  <v:path arrowok="t" fillok="f" o:connecttype="none"/>
                  <o:lock v:ext="edit" shapetype="t"/>
                </v:shapetype>
                <v:shape id="직선 화살표 연결선 10" o:spid="_x0000_s1035" type="#_x0000_t32" style="position:absolute;top:8369;width:4955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OCsMYAAADbAAAADwAAAGRycy9kb3ducmV2LnhtbESPQWsCQQyF7wX/wxDBi9TZCpWyOkot&#10;SqUgpbYHe0t30t3VncwyM9X135uD0FvCe3nvy2zRuUadKMTas4GHUQaKuPC25tLA1+f6/glUTMgW&#10;G89k4EIRFvPe3Qxz68/8QaddKpWEcMzRQJVSm2sdi4ocxpFviUX79cFhkjWU2gY8S7hr9DjLJtph&#10;zdJQYUsvFRXH3Z8zMFzG/eX4enj8+V5t43t4481WszGDfvc8BZWoS//m2/XGCr7Qyy8ygJ5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kDgrDGAAAA2wAAAA8AAAAAAAAA&#10;AAAAAAAAoQIAAGRycy9kb3ducmV2LnhtbFBLBQYAAAAABAAEAPkAAACUAwAAAAA=&#10;" strokecolor="black [3213]" strokeweight=".5pt">
                  <v:stroke endarrow="open" joinstyle="miter"/>
                </v:shape>
                <v:shape id="직선 화살표 연결선 11" o:spid="_x0000_s1036" type="#_x0000_t32" style="position:absolute;left:846;top:9703;width:2293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itLMIAAADbAAAADwAAAGRycy9kb3ducmV2LnhtbERPTWuDQBC9F/Iflgn01qwpEorNRtpA&#10;iRQpaHvIcXCnKrqzxt1E8++zgUJv83ifs01n04sLja61rGC9ikAQV1a3XCv4+f54egHhPLLG3jIp&#10;uJKDdLd42GKi7cQFXUpfixDCLkEFjfdDIqWrGjLoVnYgDtyvHQ36AMda6hGnEG56+RxFG2mw5dDQ&#10;4ED7hqquPBsF2ZCX73F8PHTnk/k8fLmcj0Wu1ONyfnsF4Wn2/+I/d6bD/DXcfwkHyN0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kitLMIAAADbAAAADwAAAAAAAAAAAAAA&#10;AAChAgAAZHJzL2Rvd25yZXYueG1sUEsFBgAAAAAEAAQA+QAAAJADAAAAAA==&#10;" strokecolor="black [3213]" strokeweight=".5pt">
                  <v:stroke startarrow="block" endarrow="block" joinstyle="miter"/>
                </v:shape>
                <v:shape id="직선 화살표 연결선 12" o:spid="_x0000_s1037" type="#_x0000_t32" style="position:absolute;left:1323;top:2130;width:736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ozW8AAAADbAAAADwAAAGRycy9kb3ducmV2LnhtbERPTYvCMBC9L/gfwgje1lQRkWoUFRZF&#10;imD14HFoxrbYTLpN1PrvjSB4m8f7nNmiNZW4U+NKywoG/QgEcWZ1ybmC0/HvdwLCeWSNlWVS8CQH&#10;i3nnZ4axtg8+0D31uQgh7GJUUHhfx1K6rCCDrm9r4sBdbGPQB9jkUjf4COGmksMoGkuDJYeGAmta&#10;F5Rd05tRsK2TdDUanTfX27/ZbfYu4fMhUarXbZdTEJ5a/xV/3Fsd5g/h/Us4QM5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6aM1vAAAAA2wAAAA8AAAAAAAAAAAAAAAAA&#10;oQIAAGRycy9kb3ducmV2LnhtbFBLBQYAAAAABAAEAPkAAACOAwAAAAA=&#10;" strokecolor="black [3213]" strokeweight=".5pt">
                  <v:stroke startarrow="block" endarrow="block" joinstyle="miter"/>
                </v:shape>
                <v:shape id="TextBox 51" o:spid="_x0000_s1038" type="#_x0000_t202" style="position:absolute;left:1862;width:6210;height:22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JkrMEA&#10;AADbAAAADwAAAGRycy9kb3ducmV2LnhtbERPyW7CMBC9V+IfrEHiBg5LEU0xCLFI3NpCP2AUT+OQ&#10;eBzFBgJfj5GQepunt8582dpKXKjxhWMFw0ECgjhzuuBcwe9x15+B8AFZY+WYFNzIw3LReZtjqt2V&#10;f+hyCLmIIexTVGBCqFMpfWbIoh+4mjhyf66xGCJscqkbvMZwW8lRkkylxYJjg8Ga1oay8nC2CmaJ&#10;/SrLj9G3t5P78N2sN25bn5TqddvVJ4hAbfgXv9x7HeeP4flLPE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GSZKzBAAAA2wAAAA8AAAAAAAAAAAAAAAAAmAIAAGRycy9kb3du&#10;cmV2LnhtbFBLBQYAAAAABAAEAPUAAACGAwAAAAA=&#10;" filled="f" stroked="f">
                  <v:textbox style="mso-fit-shape-to-text:t">
                    <w:txbxContent>
                      <w:p w14:paraId="57245689" w14:textId="77777777" w:rsidR="009B2394" w:rsidRDefault="009B2394" w:rsidP="009B2394">
                        <w:pPr>
                          <w:pStyle w:val="af7"/>
                          <w:wordWrap w:val="0"/>
                          <w:spacing w:before="0" w:beforeAutospacing="0" w:after="0" w:afterAutospacing="0"/>
                        </w:pPr>
                        <w:r>
                          <w:rPr>
                            <w:rFonts w:ascii="Arial Narrow" w:eastAsiaTheme="minorEastAsia" w:hAnsi="Arial Narrow" w:cstheme="minorBidi"/>
                            <w:color w:val="000000" w:themeColor="text1"/>
                            <w:kern w:val="24"/>
                            <w:sz w:val="18"/>
                            <w:szCs w:val="18"/>
                          </w:rPr>
                          <w:t>≤ 800MHz</w:t>
                        </w:r>
                      </w:p>
                    </w:txbxContent>
                  </v:textbox>
                </v:shape>
                <v:shape id="TextBox 52" o:spid="_x0000_s1039" type="#_x0000_t202" style="position:absolute;left:3832;top:8566;width:13869;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MHsAA&#10;AADbAAAADwAAAGRycy9kb3ducmV2LnhtbERPTWsCMRC9F/wPYYTealapRVejiFDai2BXQY/DZtwN&#10;bibLJjXbf98Igrd5vM9ZrnvbiBt13jhWMB5lIIhLpw1XCo6Hz7cZCB+QNTaOScEfeVivBi9LzLWL&#10;/EO3IlQihbDPUUEdQptL6cuaLPqRa4kTd3GdxZBgV0ndYUzhtpGTLPuQFg2nhhpb2tZUXotfqyDu&#10;5ztz+TqbWFg7kaep4xDPSr0O+80CRKA+PMUP97dO89/h/ks6QK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BMHsAAAADbAAAADwAAAAAAAAAAAAAAAACYAgAAZHJzL2Rvd25y&#10;ZXYueG1sUEsFBgAAAAAEAAQA9QAAAIUDAAAAAA==&#10;" fillcolor="white [3212]" stroked="f">
                  <v:textbox style="mso-fit-shape-to-text:t">
                    <w:txbxContent>
                      <w:p w14:paraId="2818B809" w14:textId="0DDF8C3D" w:rsidR="009B2394" w:rsidRDefault="009B2394" w:rsidP="009B2394">
                        <w:pPr>
                          <w:pStyle w:val="af7"/>
                          <w:wordWrap w:val="0"/>
                          <w:spacing w:before="0" w:beforeAutospacing="0" w:after="0" w:afterAutospacing="0"/>
                          <w:jc w:val="center"/>
                        </w:pPr>
                        <w:proofErr w:type="gramStart"/>
                        <w:r>
                          <w:rPr>
                            <w:rFonts w:ascii="Arial Narrow" w:eastAsiaTheme="minorEastAsia" w:hAnsi="Arial Narrow" w:cs="Arial"/>
                            <w:color w:val="000000" w:themeColor="text1"/>
                            <w:kern w:val="24"/>
                            <w:sz w:val="18"/>
                            <w:szCs w:val="18"/>
                          </w:rPr>
                          <w:t>channel</w:t>
                        </w:r>
                        <w:proofErr w:type="gramEnd"/>
                        <w:r>
                          <w:rPr>
                            <w:rFonts w:ascii="Arial Narrow" w:eastAsiaTheme="minorEastAsia" w:hAnsi="Arial Narrow" w:cs="Arial"/>
                            <w:color w:val="000000" w:themeColor="text1"/>
                            <w:kern w:val="24"/>
                            <w:sz w:val="18"/>
                            <w:szCs w:val="18"/>
                          </w:rPr>
                          <w:t xml:space="preserve"> bandwidth: 2.16GHz</w:t>
                        </w:r>
                      </w:p>
                    </w:txbxContent>
                  </v:textbox>
                </v:shape>
                <v:shape id="TextBox 53" o:spid="_x0000_s1040" type="#_x0000_t202" style="position:absolute;left:46854;top:8317;width:3449;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dZQ8EA&#10;AADbAAAADwAAAGRycy9kb3ducmV2LnhtbERPzWrCQBC+F3yHZYTemo1SRaOriLbQWzX6AEN2mk2T&#10;nQ3ZbZL26buFgrf5+H5nux9tI3rqfOVYwSxJQRAXTldcKrhdX59WIHxA1tg4JgXf5GG/mzxsMdNu&#10;4Av1eShFDGGfoQITQptJ6QtDFn3iWuLIfbjOYoiwK6XucIjhtpHzNF1KixXHBoMtHQ0Vdf5lFaxS&#10;+17X6/nZ2+ef2cIcT+6l/VTqcToeNiACjeEu/ne/6Th/AX+/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3WUPBAAAA2wAAAA8AAAAAAAAAAAAAAAAAmAIAAGRycy9kb3du&#10;cmV2LnhtbFBLBQYAAAAABAAEAPUAAACGAwAAAAA=&#10;" filled="f" stroked="f">
                  <v:textbox style="mso-fit-shape-to-text:t">
                    <w:txbxContent>
                      <w:p w14:paraId="57590B2F" w14:textId="77777777" w:rsidR="009B2394" w:rsidRDefault="009B2394" w:rsidP="009B2394">
                        <w:pPr>
                          <w:pStyle w:val="af7"/>
                          <w:wordWrap w:val="0"/>
                          <w:spacing w:before="0" w:beforeAutospacing="0" w:after="0" w:afterAutospacing="0"/>
                          <w:jc w:val="center"/>
                        </w:pPr>
                        <w:proofErr w:type="spellStart"/>
                        <w:proofErr w:type="gramStart"/>
                        <w:r>
                          <w:rPr>
                            <w:rFonts w:ascii="Arial Narrow" w:eastAsiaTheme="minorEastAsia" w:hAnsi="Arial Narrow" w:cs="Arial"/>
                            <w:color w:val="000000" w:themeColor="text1"/>
                            <w:kern w:val="24"/>
                            <w:sz w:val="18"/>
                            <w:szCs w:val="18"/>
                          </w:rPr>
                          <w:t>freq</w:t>
                        </w:r>
                        <w:proofErr w:type="spellEnd"/>
                        <w:proofErr w:type="gramEnd"/>
                      </w:p>
                    </w:txbxContent>
                  </v:textbox>
                </v:shape>
                <w10:anchorlock/>
              </v:group>
            </w:pict>
          </mc:Fallback>
        </mc:AlternateContent>
      </w:r>
    </w:p>
    <w:p w14:paraId="1336623C" w14:textId="01AB1F5B" w:rsidR="007A4140" w:rsidRPr="00936B03" w:rsidRDefault="007A4140" w:rsidP="007A4140">
      <w:pPr>
        <w:spacing w:before="120"/>
        <w:jc w:val="center"/>
        <w:rPr>
          <w:b/>
          <w:sz w:val="22"/>
          <w:szCs w:val="22"/>
          <w:lang w:eastAsia="ko-KR"/>
        </w:rPr>
      </w:pPr>
      <w:r w:rsidRPr="00936B03">
        <w:rPr>
          <w:rFonts w:hint="eastAsia"/>
          <w:b/>
          <w:sz w:val="22"/>
          <w:szCs w:val="22"/>
          <w:lang w:eastAsia="ko-KR"/>
        </w:rPr>
        <w:t xml:space="preserve">Figure 1. Example </w:t>
      </w:r>
      <w:bookmarkStart w:id="1" w:name="_GoBack"/>
      <w:bookmarkEnd w:id="1"/>
      <w:r w:rsidR="00266C25">
        <w:rPr>
          <w:b/>
          <w:sz w:val="22"/>
          <w:szCs w:val="22"/>
          <w:lang w:eastAsia="ko-KR"/>
        </w:rPr>
        <w:t>of the</w:t>
      </w:r>
      <w:r w:rsidRPr="00936B03">
        <w:rPr>
          <w:rFonts w:hint="eastAsia"/>
          <w:b/>
          <w:sz w:val="22"/>
          <w:szCs w:val="22"/>
          <w:lang w:eastAsia="ko-KR"/>
        </w:rPr>
        <w:t xml:space="preserve"> </w:t>
      </w:r>
      <w:r w:rsidR="00266C25">
        <w:rPr>
          <w:b/>
          <w:sz w:val="22"/>
          <w:szCs w:val="22"/>
          <w:lang w:eastAsia="ko-KR"/>
        </w:rPr>
        <w:t xml:space="preserve">coexistence </w:t>
      </w:r>
      <w:r w:rsidR="005261DA">
        <w:rPr>
          <w:b/>
          <w:sz w:val="22"/>
          <w:szCs w:val="22"/>
          <w:lang w:eastAsia="ko-KR"/>
        </w:rPr>
        <w:t xml:space="preserve">between </w:t>
      </w:r>
      <w:r w:rsidR="00266C25">
        <w:rPr>
          <w:b/>
          <w:sz w:val="22"/>
          <w:szCs w:val="22"/>
          <w:lang w:eastAsia="ko-KR"/>
        </w:rPr>
        <w:t xml:space="preserve">NR and </w:t>
      </w:r>
      <w:proofErr w:type="spellStart"/>
      <w:r w:rsidR="00266C25">
        <w:rPr>
          <w:b/>
          <w:sz w:val="22"/>
          <w:szCs w:val="22"/>
          <w:lang w:eastAsia="ko-KR"/>
        </w:rPr>
        <w:t>WiGig</w:t>
      </w:r>
      <w:proofErr w:type="spellEnd"/>
    </w:p>
    <w:p w14:paraId="4B654907" w14:textId="77777777" w:rsidR="006A0A20" w:rsidRDefault="006A0A20" w:rsidP="009A7274">
      <w:pPr>
        <w:pStyle w:val="ab"/>
        <w:ind w:firstLineChars="100" w:firstLine="200"/>
      </w:pPr>
    </w:p>
    <w:p w14:paraId="79C4E764" w14:textId="262A87D0" w:rsidR="00266C25" w:rsidRDefault="00266C25" w:rsidP="009A7274">
      <w:pPr>
        <w:pStyle w:val="ab"/>
        <w:ind w:firstLineChars="100" w:firstLine="200"/>
      </w:pPr>
      <w:r>
        <w:t xml:space="preserve">For example, when NR coexists with </w:t>
      </w:r>
      <w:proofErr w:type="spellStart"/>
      <w:r>
        <w:t>WiGig</w:t>
      </w:r>
      <w:proofErr w:type="spellEnd"/>
      <w:r>
        <w:t xml:space="preserve"> having 2.16 GHz nominal channel bandwidth, more than two carriers of NR (its channel bandwidth is configured to 800 MHz or less than</w:t>
      </w:r>
      <w:r w:rsidR="005261DA">
        <w:t xml:space="preserve"> that</w:t>
      </w:r>
      <w:r>
        <w:t xml:space="preserve">) may be aligned to 2.16 GHz as shown in Figure 1. </w:t>
      </w:r>
      <w:r w:rsidR="009F113F">
        <w:t>In this example,</w:t>
      </w:r>
      <w:r>
        <w:t xml:space="preserve"> the channel availability for </w:t>
      </w:r>
      <w:r w:rsidR="005261DA">
        <w:t xml:space="preserve">NR </w:t>
      </w:r>
      <w:r>
        <w:t>carriers</w:t>
      </w:r>
      <w:r w:rsidR="009F113F">
        <w:t xml:space="preserve"> within a </w:t>
      </w:r>
      <w:proofErr w:type="spellStart"/>
      <w:r w:rsidR="009F113F">
        <w:t>WiGig</w:t>
      </w:r>
      <w:proofErr w:type="spellEnd"/>
      <w:r w:rsidR="009F113F">
        <w:t xml:space="preserve"> bandwidth</w:t>
      </w:r>
      <w:r>
        <w:t xml:space="preserve"> </w:t>
      </w:r>
      <w:r w:rsidR="009F113F">
        <w:t xml:space="preserve">may </w:t>
      </w:r>
      <w:r>
        <w:t xml:space="preserve">be the same in a certain instance and </w:t>
      </w:r>
      <w:r w:rsidR="009F113F">
        <w:t xml:space="preserve">the corresponding </w:t>
      </w:r>
      <w:r>
        <w:t>control signals for them can be seen as a duplicate.</w:t>
      </w:r>
    </w:p>
    <w:p w14:paraId="07AF6B16" w14:textId="77777777" w:rsidR="006A0A20" w:rsidRDefault="006A0A20" w:rsidP="009A7274">
      <w:pPr>
        <w:pStyle w:val="ab"/>
        <w:ind w:firstLineChars="100" w:firstLine="200"/>
      </w:pPr>
    </w:p>
    <w:p w14:paraId="7058E018" w14:textId="1757DF2F" w:rsidR="00266C25" w:rsidRDefault="00266C25" w:rsidP="00266C25">
      <w:pPr>
        <w:pStyle w:val="Observation"/>
      </w:pPr>
      <w:r>
        <w:t xml:space="preserve">Within </w:t>
      </w:r>
      <w:r w:rsidR="005261DA">
        <w:t xml:space="preserve">the </w:t>
      </w:r>
      <w:r>
        <w:t xml:space="preserve">frequency </w:t>
      </w:r>
      <w:r w:rsidR="005261DA">
        <w:t xml:space="preserve">band </w:t>
      </w:r>
      <w:r>
        <w:t xml:space="preserve">corresponding to the nominal channel bandwidth of other RAT which coexists with NR above 52.6GHz, some control information (e.g., data scheduling availability) for </w:t>
      </w:r>
      <w:r w:rsidR="005261DA">
        <w:t xml:space="preserve">multiple NR </w:t>
      </w:r>
      <w:r>
        <w:t xml:space="preserve">carriers may be identical. </w:t>
      </w:r>
    </w:p>
    <w:p w14:paraId="6FABE0CA" w14:textId="77777777" w:rsidR="006A0A20" w:rsidRDefault="006A0A20" w:rsidP="009A7274">
      <w:pPr>
        <w:pStyle w:val="ab"/>
        <w:ind w:firstLineChars="100" w:firstLine="200"/>
      </w:pPr>
    </w:p>
    <w:p w14:paraId="1D494A74" w14:textId="29AD2A32" w:rsidR="007376BA" w:rsidRDefault="00173ECA" w:rsidP="009A7274">
      <w:pPr>
        <w:pStyle w:val="ab"/>
        <w:ind w:firstLineChars="100" w:firstLine="200"/>
      </w:pPr>
      <w:r>
        <w:t xml:space="preserve">In </w:t>
      </w:r>
      <w:r w:rsidR="005261DA">
        <w:t xml:space="preserve">Rel-16 </w:t>
      </w:r>
      <w:r>
        <w:t xml:space="preserve">NR-U, </w:t>
      </w:r>
      <w:r w:rsidR="005261DA">
        <w:t xml:space="preserve">the </w:t>
      </w:r>
      <w:r>
        <w:t xml:space="preserve">UE is expected to receive the control signals related to COT and/or data transmission availability </w:t>
      </w:r>
      <w:r w:rsidR="005261DA">
        <w:t>(</w:t>
      </w:r>
      <w:r>
        <w:t>based on LBT results</w:t>
      </w:r>
      <w:r w:rsidR="005261DA">
        <w:t>)</w:t>
      </w:r>
      <w:r>
        <w:t xml:space="preserve"> by DCI </w:t>
      </w:r>
      <w:r w:rsidR="009637D9">
        <w:t xml:space="preserve">format </w:t>
      </w:r>
      <w:r>
        <w:t xml:space="preserve">2_0. For </w:t>
      </w:r>
      <w:r w:rsidR="005261DA">
        <w:t xml:space="preserve">the </w:t>
      </w:r>
      <w:r>
        <w:t xml:space="preserve">NR on unlicensed band above 52.6GHz, the same control </w:t>
      </w:r>
      <w:r w:rsidR="001E7C5B">
        <w:t xml:space="preserve">mechanism and </w:t>
      </w:r>
      <w:r>
        <w:t>signal</w:t>
      </w:r>
      <w:r w:rsidR="001E7C5B">
        <w:t>ling</w:t>
      </w:r>
      <w:r>
        <w:t xml:space="preserve"> </w:t>
      </w:r>
      <w:r w:rsidR="001E7C5B">
        <w:t xml:space="preserve">would be expected to </w:t>
      </w:r>
      <w:r>
        <w:t xml:space="preserve">be used. </w:t>
      </w:r>
      <w:r w:rsidR="0007784E">
        <w:t>Meanwhile, f</w:t>
      </w:r>
      <w:r w:rsidR="00F46ADB">
        <w:t xml:space="preserve">or multiple NR carriers aligned to wider </w:t>
      </w:r>
      <w:r w:rsidR="001E7C5B">
        <w:t xml:space="preserve">channel </w:t>
      </w:r>
      <w:r w:rsidR="00F46ADB">
        <w:t xml:space="preserve">bandwidth of other RAT, e.g., </w:t>
      </w:r>
      <w:proofErr w:type="spellStart"/>
      <w:r w:rsidR="00F46ADB">
        <w:t>WiGig</w:t>
      </w:r>
      <w:proofErr w:type="spellEnd"/>
      <w:r w:rsidR="00F46ADB">
        <w:t xml:space="preserve">, </w:t>
      </w:r>
      <w:r w:rsidR="001E7C5B">
        <w:t>the</w:t>
      </w:r>
      <w:r w:rsidR="0007784E">
        <w:t xml:space="preserve"> </w:t>
      </w:r>
      <w:r w:rsidR="00F46ADB">
        <w:t>control signal</w:t>
      </w:r>
      <w:r w:rsidR="001E7C5B">
        <w:t>ling</w:t>
      </w:r>
      <w:r w:rsidR="00F46ADB">
        <w:t xml:space="preserve"> </w:t>
      </w:r>
      <w:r w:rsidR="0007784E">
        <w:t xml:space="preserve">may not be required </w:t>
      </w:r>
      <w:r w:rsidR="001E7C5B">
        <w:t xml:space="preserve">per each of the NR carriers </w:t>
      </w:r>
      <w:r w:rsidR="0007784E">
        <w:t>as described.</w:t>
      </w:r>
      <w:r w:rsidR="0007784E">
        <w:rPr>
          <w:rFonts w:eastAsia="맑은 고딕" w:hint="eastAsia"/>
          <w:lang w:eastAsia="ko-KR"/>
        </w:rPr>
        <w:t xml:space="preserve"> </w:t>
      </w:r>
      <w:r w:rsidR="009C1C59">
        <w:rPr>
          <w:lang w:eastAsia="ko-KR"/>
        </w:rPr>
        <w:t xml:space="preserve">Therefore, </w:t>
      </w:r>
      <w:r w:rsidR="001E7C5B">
        <w:t>potential</w:t>
      </w:r>
      <w:r w:rsidR="00E3629A">
        <w:t xml:space="preserve"> reduction of </w:t>
      </w:r>
      <w:r w:rsidR="000A09E6">
        <w:t>such duplicated</w:t>
      </w:r>
      <w:r w:rsidR="00E3629A">
        <w:t xml:space="preserve"> control signal</w:t>
      </w:r>
      <w:r w:rsidR="001E7C5B">
        <w:t>ling</w:t>
      </w:r>
      <w:r w:rsidR="00E3629A">
        <w:t xml:space="preserve"> </w:t>
      </w:r>
      <w:r w:rsidR="001E7C5B">
        <w:t xml:space="preserve">overhead </w:t>
      </w:r>
      <w:r w:rsidR="00E3629A">
        <w:t xml:space="preserve">would </w:t>
      </w:r>
      <w:r w:rsidR="009C1C59">
        <w:t>need</w:t>
      </w:r>
      <w:r w:rsidR="001E7C5B">
        <w:t xml:space="preserve"> to be </w:t>
      </w:r>
      <w:r w:rsidR="001E7C5B">
        <w:rPr>
          <w:lang w:eastAsia="ko-KR"/>
        </w:rPr>
        <w:t>s</w:t>
      </w:r>
      <w:r w:rsidR="001E7C5B">
        <w:t>tudied</w:t>
      </w:r>
      <w:r w:rsidR="0007784E">
        <w:t xml:space="preserve"> </w:t>
      </w:r>
      <w:r w:rsidR="0007784E">
        <w:rPr>
          <w:lang w:eastAsia="ko-KR"/>
        </w:rPr>
        <w:t>for better spectrum utilization of NR</w:t>
      </w:r>
      <w:r w:rsidR="00E3629A">
        <w:t xml:space="preserve">. </w:t>
      </w:r>
      <w:r w:rsidR="001E7C5B">
        <w:t xml:space="preserve">As one </w:t>
      </w:r>
      <w:r w:rsidR="000A09E6">
        <w:t xml:space="preserve">of the candidates, </w:t>
      </w:r>
      <w:r w:rsidR="001E7C5B">
        <w:t xml:space="preserve">it can be </w:t>
      </w:r>
      <w:r w:rsidR="000A09E6">
        <w:t>consider</w:t>
      </w:r>
      <w:r w:rsidR="001E7C5B">
        <w:t>ed to introduce</w:t>
      </w:r>
      <w:r w:rsidR="00E00768">
        <w:t xml:space="preserve"> </w:t>
      </w:r>
      <w:r w:rsidR="001E7C5B">
        <w:t xml:space="preserve">a </w:t>
      </w:r>
      <w:r w:rsidR="00E00768">
        <w:t>concept of carrier-</w:t>
      </w:r>
      <w:r w:rsidR="000A09E6">
        <w:t xml:space="preserve">group </w:t>
      </w:r>
      <w:r w:rsidR="0016755A">
        <w:t>compos</w:t>
      </w:r>
      <w:r w:rsidR="000A09E6">
        <w:t xml:space="preserve">ed of multiple </w:t>
      </w:r>
      <w:r w:rsidR="001E7C5B">
        <w:t xml:space="preserve">NR </w:t>
      </w:r>
      <w:r w:rsidR="000A09E6">
        <w:t>carriers</w:t>
      </w:r>
      <w:r w:rsidR="001E7C5B">
        <w:t xml:space="preserve"> (desirably belonging to a same channel bandwidth of other RAT), which </w:t>
      </w:r>
      <w:r w:rsidR="000A09E6">
        <w:t>share the control information such as COT, LBT related results, and data scheduling availability</w:t>
      </w:r>
      <w:r w:rsidR="003D122B">
        <w:t xml:space="preserve">. </w:t>
      </w:r>
      <w:r w:rsidR="001E7C5B">
        <w:t>With this carrier grouping</w:t>
      </w:r>
      <w:r w:rsidR="003D122B">
        <w:t xml:space="preserve">, it is </w:t>
      </w:r>
      <w:r w:rsidR="001E7C5B">
        <w:t xml:space="preserve">sufficient </w:t>
      </w:r>
      <w:r w:rsidR="003D122B">
        <w:t xml:space="preserve">to receive the control information by one </w:t>
      </w:r>
      <w:r w:rsidR="001E7C5B">
        <w:t xml:space="preserve">of the </w:t>
      </w:r>
      <w:r w:rsidR="003D122B">
        <w:t>carrier</w:t>
      </w:r>
      <w:r w:rsidR="001E7C5B">
        <w:t>s within a same carrier-group,</w:t>
      </w:r>
      <w:r w:rsidR="007A4140">
        <w:t xml:space="preserve"> and as a result</w:t>
      </w:r>
      <w:r w:rsidR="001E7C5B">
        <w:t>,</w:t>
      </w:r>
      <w:r w:rsidR="003D122B">
        <w:t xml:space="preserve"> the amount of control signal</w:t>
      </w:r>
      <w:r w:rsidR="001E7C5B">
        <w:t>ling overhead</w:t>
      </w:r>
      <w:r w:rsidR="007A4140">
        <w:t xml:space="preserve"> can be reduced</w:t>
      </w:r>
      <w:r w:rsidR="003D122B">
        <w:t>.</w:t>
      </w:r>
      <w:r w:rsidR="007D7176">
        <w:t xml:space="preserve"> </w:t>
      </w:r>
    </w:p>
    <w:p w14:paraId="2FDB8F42" w14:textId="77777777" w:rsidR="006A0A20" w:rsidRDefault="006A0A20" w:rsidP="009A7274">
      <w:pPr>
        <w:pStyle w:val="ab"/>
        <w:ind w:firstLineChars="100" w:firstLine="200"/>
      </w:pPr>
    </w:p>
    <w:p w14:paraId="2165CFBE" w14:textId="2C260DC5" w:rsidR="00E3629A" w:rsidRDefault="00AC372C" w:rsidP="009A7274">
      <w:pPr>
        <w:pStyle w:val="ab"/>
        <w:ind w:firstLineChars="100" w:firstLine="200"/>
      </w:pPr>
      <w:r>
        <w:t xml:space="preserve">It is noted that there is no need to restrict the configuration for the carrier-group to the case </w:t>
      </w:r>
      <w:r w:rsidR="00AF2C58">
        <w:t xml:space="preserve">of </w:t>
      </w:r>
      <w:r>
        <w:t>coexist</w:t>
      </w:r>
      <w:r w:rsidR="00AF2C58">
        <w:t>ence</w:t>
      </w:r>
      <w:r>
        <w:t xml:space="preserve"> with </w:t>
      </w:r>
      <w:proofErr w:type="spellStart"/>
      <w:r>
        <w:t>WiGig</w:t>
      </w:r>
      <w:proofErr w:type="spellEnd"/>
      <w:r>
        <w:t xml:space="preserve">. </w:t>
      </w:r>
      <w:r w:rsidR="00666C20">
        <w:t>For the NR</w:t>
      </w:r>
      <w:r w:rsidR="0016755A">
        <w:t xml:space="preserve"> operation</w:t>
      </w:r>
      <w:r w:rsidR="00666C20">
        <w:t xml:space="preserve"> with</w:t>
      </w:r>
      <w:r w:rsidR="00AF2C58">
        <w:t xml:space="preserve"> multiple carriers</w:t>
      </w:r>
      <w:r w:rsidR="00666C20">
        <w:t xml:space="preserve">, </w:t>
      </w:r>
      <w:r w:rsidR="00296D0D">
        <w:t>for example, DL/UL data</w:t>
      </w:r>
      <w:r w:rsidR="0016755A">
        <w:t xml:space="preserve"> scheduling</w:t>
      </w:r>
      <w:r w:rsidR="00296D0D">
        <w:t xml:space="preserve"> </w:t>
      </w:r>
      <w:r w:rsidR="001E7C5B">
        <w:t xml:space="preserve">with </w:t>
      </w:r>
      <w:r w:rsidR="00296D0D">
        <w:t xml:space="preserve">unit of </w:t>
      </w:r>
      <w:r w:rsidR="001E7C5B">
        <w:t xml:space="preserve">the </w:t>
      </w:r>
      <w:r w:rsidR="00296D0D">
        <w:t>carrier-</w:t>
      </w:r>
      <w:r w:rsidR="0016755A">
        <w:t xml:space="preserve">group </w:t>
      </w:r>
      <w:r w:rsidR="001E7C5B">
        <w:t xml:space="preserve">could </w:t>
      </w:r>
      <w:r w:rsidR="0016755A">
        <w:t>be</w:t>
      </w:r>
      <w:r w:rsidR="00296D0D">
        <w:t xml:space="preserve"> beneficial</w:t>
      </w:r>
      <w:r w:rsidR="001E7C5B">
        <w:t xml:space="preserve"> in terms of reducing control overhead as well</w:t>
      </w:r>
      <w:r w:rsidR="00296D0D">
        <w:t xml:space="preserve">. Therefore, </w:t>
      </w:r>
      <w:r w:rsidR="00EB31C6">
        <w:t xml:space="preserve">this </w:t>
      </w:r>
      <w:r>
        <w:t xml:space="preserve">carrier-group based operation </w:t>
      </w:r>
      <w:r w:rsidR="00EB31C6">
        <w:t xml:space="preserve">would </w:t>
      </w:r>
      <w:r w:rsidR="009637D9">
        <w:t xml:space="preserve">have advantages with respect to the controllability of channel access or DL/UL data scheduling for NR unlicensed </w:t>
      </w:r>
      <w:r w:rsidR="00EB31C6">
        <w:t>band operation coexisting with multiple other systems in frequency range above 52.6GHz</w:t>
      </w:r>
      <w:r w:rsidR="009637D9">
        <w:t xml:space="preserve">. </w:t>
      </w:r>
    </w:p>
    <w:p w14:paraId="6C177466" w14:textId="77777777" w:rsidR="006A0A20" w:rsidRDefault="006A0A20" w:rsidP="009A7274">
      <w:pPr>
        <w:pStyle w:val="ab"/>
        <w:ind w:firstLineChars="100" w:firstLine="200"/>
      </w:pPr>
    </w:p>
    <w:p w14:paraId="49A2022C" w14:textId="054D2B5F" w:rsidR="000D423F" w:rsidRDefault="00EB31C6" w:rsidP="009A7274">
      <w:pPr>
        <w:pStyle w:val="Proposal"/>
        <w:numPr>
          <w:ilvl w:val="0"/>
          <w:numId w:val="38"/>
        </w:numPr>
        <w:tabs>
          <w:tab w:val="clear" w:pos="1304"/>
        </w:tabs>
      </w:pPr>
      <w:r>
        <w:t xml:space="preserve">Consider </w:t>
      </w:r>
      <w:r w:rsidR="00296D0D">
        <w:t>c</w:t>
      </w:r>
      <w:r w:rsidR="0032567F">
        <w:t>arrier-</w:t>
      </w:r>
      <w:r w:rsidR="008F787E">
        <w:t>group based operation</w:t>
      </w:r>
      <w:r w:rsidR="0032567F">
        <w:t xml:space="preserve"> </w:t>
      </w:r>
      <w:r w:rsidR="00EF1132">
        <w:t xml:space="preserve">for NR unlicensed </w:t>
      </w:r>
      <w:r>
        <w:t xml:space="preserve">band in frequency range </w:t>
      </w:r>
      <w:r w:rsidR="00EF1132">
        <w:t>above 52.6GHz</w:t>
      </w:r>
      <w:r>
        <w:t>, with consideration of multi-RAT coexistence as well as control signalling efficiency</w:t>
      </w:r>
      <w:r w:rsidR="00296D0D">
        <w:t>.</w:t>
      </w:r>
    </w:p>
    <w:p w14:paraId="26E3A801" w14:textId="77777777" w:rsidR="00C01F33" w:rsidRPr="00CE0424" w:rsidRDefault="00C01F33" w:rsidP="00CE0424">
      <w:pPr>
        <w:pStyle w:val="1"/>
      </w:pPr>
      <w:r w:rsidRPr="00CE0424">
        <w:t>Conclusion</w:t>
      </w:r>
    </w:p>
    <w:p w14:paraId="70CC4F1F" w14:textId="7E7ADF12" w:rsidR="00311702" w:rsidRDefault="00DA243C" w:rsidP="00AB0BC8">
      <w:r>
        <w:t xml:space="preserve">In this contribution, </w:t>
      </w:r>
      <w:r w:rsidR="00E3629A">
        <w:t xml:space="preserve">we </w:t>
      </w:r>
      <w:r w:rsidR="00EF1132">
        <w:t xml:space="preserve">briefly </w:t>
      </w:r>
      <w:r w:rsidR="00E3629A">
        <w:t>discussed</w:t>
      </w:r>
      <w:r w:rsidR="00311D53">
        <w:t xml:space="preserve"> some aspects to </w:t>
      </w:r>
      <w:r w:rsidR="00E3629A">
        <w:t>NR</w:t>
      </w:r>
      <w:r w:rsidR="00311D53">
        <w:t xml:space="preserve"> operation with multiple carriers</w:t>
      </w:r>
      <w:r w:rsidR="00E3629A">
        <w:t xml:space="preserve"> in unlicensed</w:t>
      </w:r>
      <w:r w:rsidR="009F113F">
        <w:t xml:space="preserve"> </w:t>
      </w:r>
      <w:r w:rsidR="00E3629A">
        <w:t>spectrum above 52.6GHz</w:t>
      </w:r>
      <w:r w:rsidR="00EB31C6">
        <w:t xml:space="preserve">, and </w:t>
      </w:r>
      <w:r w:rsidR="00E3629A">
        <w:t>the following observations</w:t>
      </w:r>
      <w:r w:rsidR="00EB31C6">
        <w:t xml:space="preserve"> and proposal are provided</w:t>
      </w:r>
      <w:r w:rsidR="00E3629A">
        <w:t>:</w:t>
      </w:r>
      <w:r w:rsidR="00311D53">
        <w:t xml:space="preserve"> </w:t>
      </w:r>
    </w:p>
    <w:p w14:paraId="5AD95E45" w14:textId="77777777" w:rsidR="006A0A20" w:rsidRPr="00EB31C6" w:rsidRDefault="006A0A20" w:rsidP="00AB0BC8"/>
    <w:p w14:paraId="13CCBDBC" w14:textId="2BEBFA2F" w:rsidR="002C7218" w:rsidRDefault="00EB31C6" w:rsidP="002C7218">
      <w:pPr>
        <w:pStyle w:val="Observation"/>
        <w:numPr>
          <w:ilvl w:val="0"/>
          <w:numId w:val="37"/>
        </w:numPr>
      </w:pPr>
      <w:bookmarkStart w:id="2" w:name="_In-sequence_SDU_delivery"/>
      <w:bookmarkEnd w:id="2"/>
      <w:r>
        <w:t xml:space="preserve">By adopting new SCS values of </w:t>
      </w:r>
      <w:proofErr w:type="gramStart"/>
      <w:r>
        <w:t>240</w:t>
      </w:r>
      <w:r>
        <w:rPr>
          <w:rFonts w:hint="eastAsia"/>
          <w:lang w:eastAsia="ko-KR"/>
        </w:rPr>
        <w:t>kHz</w:t>
      </w:r>
      <w:proofErr w:type="gramEnd"/>
      <w:r>
        <w:t xml:space="preserve"> or 480kHz to handle phase noise effects with consideration of potential UE complexity, </w:t>
      </w:r>
      <w:r w:rsidR="009F113F">
        <w:t xml:space="preserve">maximum </w:t>
      </w:r>
      <w:r>
        <w:t>carrier bandwidth of 800 MHz can be considered for NR in frequency ranges above 52.6GHz.</w:t>
      </w:r>
    </w:p>
    <w:p w14:paraId="3FC096F5" w14:textId="3470208D" w:rsidR="002C7218" w:rsidRDefault="00EB31C6" w:rsidP="002C7218">
      <w:pPr>
        <w:pStyle w:val="Observation"/>
      </w:pPr>
      <w:r>
        <w:t>Within the frequency band corresponding to the nominal channel bandwidth of other RAT which coexists with NR above 52.6GHz, some control information (e.g., data scheduling availability) for multiple NR carriers may be identical.</w:t>
      </w:r>
    </w:p>
    <w:p w14:paraId="30978B06" w14:textId="513C358F" w:rsidR="002C7218" w:rsidRDefault="00EB31C6" w:rsidP="009A7274">
      <w:pPr>
        <w:pStyle w:val="Proposal"/>
        <w:numPr>
          <w:ilvl w:val="0"/>
          <w:numId w:val="41"/>
        </w:numPr>
      </w:pPr>
      <w:r>
        <w:lastRenderedPageBreak/>
        <w:t>Consider carrier-group based operation for NR unlicensed band in frequency range above 52.6GHz, with consideration of multi-RAT coexistence as well as control signalling efficiency</w:t>
      </w:r>
      <w:r w:rsidR="00EF1132">
        <w:t>.</w:t>
      </w:r>
    </w:p>
    <w:p w14:paraId="647DF919" w14:textId="77777777" w:rsidR="00F507D1" w:rsidRPr="00CE0424" w:rsidRDefault="00F507D1" w:rsidP="00CE0424">
      <w:pPr>
        <w:pStyle w:val="1"/>
      </w:pPr>
      <w:r w:rsidRPr="00CE0424">
        <w:t>References</w:t>
      </w:r>
    </w:p>
    <w:p w14:paraId="3DA76A29" w14:textId="2C16E75E" w:rsidR="002C7218" w:rsidRPr="00BA0F50" w:rsidRDefault="00204B4A" w:rsidP="00BA0F50">
      <w:pPr>
        <w:pStyle w:val="Reference"/>
        <w:numPr>
          <w:ilvl w:val="0"/>
          <w:numId w:val="39"/>
        </w:numPr>
        <w:overflowPunct/>
        <w:autoSpaceDE/>
        <w:autoSpaceDN/>
        <w:adjustRightInd/>
        <w:spacing w:after="160" w:line="256" w:lineRule="auto"/>
        <w:jc w:val="left"/>
        <w:textAlignment w:val="auto"/>
        <w:rPr>
          <w:rFonts w:asciiTheme="minorHAnsi" w:hAnsiTheme="minorHAnsi"/>
          <w:lang w:val="en-US" w:eastAsia="en-US"/>
        </w:rPr>
      </w:pPr>
      <w:bookmarkStart w:id="3" w:name="_Ref505697448"/>
      <w:bookmarkStart w:id="4" w:name="_Ref174151459"/>
      <w:bookmarkStart w:id="5" w:name="_Ref189809556"/>
      <w:r w:rsidRPr="00BA0F50">
        <w:rPr>
          <w:bCs/>
        </w:rPr>
        <w:t>R1</w:t>
      </w:r>
      <w:r w:rsidR="002C7218" w:rsidRPr="00BA0F50">
        <w:rPr>
          <w:bCs/>
        </w:rPr>
        <w:t>-</w:t>
      </w:r>
      <w:r w:rsidRPr="00BA0F50">
        <w:rPr>
          <w:bCs/>
        </w:rPr>
        <w:t>20</w:t>
      </w:r>
      <w:r w:rsidR="00BA0F50" w:rsidRPr="00BA0F50">
        <w:rPr>
          <w:bCs/>
        </w:rPr>
        <w:t>04038</w:t>
      </w:r>
      <w:r w:rsidR="002C7218" w:rsidRPr="00BA0F50">
        <w:rPr>
          <w:bCs/>
        </w:rPr>
        <w:t>,</w:t>
      </w:r>
      <w:bookmarkEnd w:id="3"/>
      <w:r w:rsidRPr="00BA0F50">
        <w:rPr>
          <w:bCs/>
        </w:rPr>
        <w:t xml:space="preserve"> </w:t>
      </w:r>
      <w:r w:rsidR="001F3BAB">
        <w:rPr>
          <w:bCs/>
        </w:rPr>
        <w:t>“</w:t>
      </w:r>
      <w:r w:rsidR="00BA0F50" w:rsidRPr="00BA0F50">
        <w:rPr>
          <w:bCs/>
        </w:rPr>
        <w:t>Consideration on required physical layer changes to support NR above 52.6 GHz</w:t>
      </w:r>
      <w:r w:rsidR="001F3BAB">
        <w:rPr>
          <w:bCs/>
        </w:rPr>
        <w:t>”, LG Electronics.</w:t>
      </w:r>
    </w:p>
    <w:p w14:paraId="5ADD00A6" w14:textId="05B6BA53" w:rsidR="00204B4A" w:rsidRPr="00E3629A" w:rsidRDefault="00204B4A" w:rsidP="00E3629A">
      <w:pPr>
        <w:pStyle w:val="Reference"/>
        <w:numPr>
          <w:ilvl w:val="0"/>
          <w:numId w:val="39"/>
        </w:numPr>
        <w:overflowPunct/>
        <w:autoSpaceDE/>
        <w:autoSpaceDN/>
        <w:adjustRightInd/>
        <w:spacing w:after="160" w:line="256" w:lineRule="auto"/>
        <w:jc w:val="left"/>
        <w:textAlignment w:val="auto"/>
        <w:rPr>
          <w:rFonts w:asciiTheme="minorHAnsi" w:hAnsiTheme="minorHAnsi"/>
          <w:lang w:val="en-US" w:eastAsia="en-US"/>
        </w:rPr>
      </w:pPr>
      <w:r w:rsidRPr="00BA0F50">
        <w:rPr>
          <w:bCs/>
        </w:rPr>
        <w:t>R1-20</w:t>
      </w:r>
      <w:r w:rsidR="00BA0F50" w:rsidRPr="00BA0F50">
        <w:rPr>
          <w:bCs/>
        </w:rPr>
        <w:t>04039</w:t>
      </w:r>
      <w:r w:rsidRPr="00BA0F50">
        <w:rPr>
          <w:bCs/>
        </w:rPr>
        <w:t xml:space="preserve">, </w:t>
      </w:r>
      <w:r w:rsidR="001F3BAB">
        <w:rPr>
          <w:bCs/>
        </w:rPr>
        <w:t>“</w:t>
      </w:r>
      <w:r w:rsidR="00BA0F50" w:rsidRPr="00BA0F50">
        <w:rPr>
          <w:bCs/>
        </w:rPr>
        <w:t>Considerations on channel access mechanism to support NR above 52.6 GHz</w:t>
      </w:r>
      <w:r w:rsidR="001F3BAB">
        <w:rPr>
          <w:bCs/>
        </w:rPr>
        <w:t>”, LG Electronics.</w:t>
      </w:r>
    </w:p>
    <w:bookmarkEnd w:id="4"/>
    <w:bookmarkEnd w:id="5"/>
    <w:p w14:paraId="573AC884" w14:textId="77777777" w:rsidR="003A7EF3" w:rsidRPr="00E3629A" w:rsidRDefault="003A7EF3" w:rsidP="00CE0424">
      <w:pPr>
        <w:pStyle w:val="ab"/>
        <w:rPr>
          <w:lang w:val="en-US"/>
        </w:rPr>
      </w:pPr>
    </w:p>
    <w:sectPr w:rsidR="003A7EF3" w:rsidRPr="00E3629A">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8A596C" w14:textId="77777777" w:rsidR="006D4C77" w:rsidRDefault="006D4C77">
      <w:r>
        <w:separator/>
      </w:r>
    </w:p>
  </w:endnote>
  <w:endnote w:type="continuationSeparator" w:id="0">
    <w:p w14:paraId="6577AE60" w14:textId="77777777" w:rsidR="006D4C77" w:rsidRDefault="006D4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alibri"/>
    <w:charset w:val="00"/>
    <w:family w:val="auto"/>
    <w:pitch w:val="variable"/>
    <w:sig w:usb0="00000001" w:usb1="4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Arial Unicode MS"/>
    <w:charset w:val="86"/>
    <w:family w:val="auto"/>
    <w:pitch w:val="variable"/>
    <w:sig w:usb0="00000000"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9673A" w14:textId="7B5A0DA8" w:rsidR="00920BF2" w:rsidRDefault="00920BF2"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9A7274">
      <w:rPr>
        <w:rStyle w:val="ae"/>
      </w:rPr>
      <w:t>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9A7274">
      <w:rPr>
        <w:rStyle w:val="ae"/>
      </w:rPr>
      <w:t>3</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4DE571" w14:textId="77777777" w:rsidR="006D4C77" w:rsidRDefault="006D4C77">
      <w:r>
        <w:separator/>
      </w:r>
    </w:p>
  </w:footnote>
  <w:footnote w:type="continuationSeparator" w:id="0">
    <w:p w14:paraId="4F99C99C" w14:textId="77777777" w:rsidR="006D4C77" w:rsidRDefault="006D4C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64FD03"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056531CA"/>
    <w:multiLevelType w:val="hybridMultilevel"/>
    <w:tmpl w:val="A1EC54AE"/>
    <w:lvl w:ilvl="0" w:tplc="2FD462C2">
      <w:start w:val="1"/>
      <w:numFmt w:val="bullet"/>
      <w:lvlText w:val="›"/>
      <w:lvlJc w:val="left"/>
      <w:pPr>
        <w:tabs>
          <w:tab w:val="num" w:pos="720"/>
        </w:tabs>
        <w:ind w:left="720" w:hanging="360"/>
      </w:pPr>
      <w:rPr>
        <w:rFonts w:ascii="Arial" w:hAnsi="Arial" w:hint="default"/>
      </w:rPr>
    </w:lvl>
    <w:lvl w:ilvl="1" w:tplc="1EA2A284" w:tentative="1">
      <w:start w:val="1"/>
      <w:numFmt w:val="bullet"/>
      <w:lvlText w:val="›"/>
      <w:lvlJc w:val="left"/>
      <w:pPr>
        <w:tabs>
          <w:tab w:val="num" w:pos="1440"/>
        </w:tabs>
        <w:ind w:left="1440" w:hanging="360"/>
      </w:pPr>
      <w:rPr>
        <w:rFonts w:ascii="Arial" w:hAnsi="Arial" w:hint="default"/>
      </w:rPr>
    </w:lvl>
    <w:lvl w:ilvl="2" w:tplc="2B0E2B64" w:tentative="1">
      <w:start w:val="1"/>
      <w:numFmt w:val="bullet"/>
      <w:lvlText w:val="›"/>
      <w:lvlJc w:val="left"/>
      <w:pPr>
        <w:tabs>
          <w:tab w:val="num" w:pos="2160"/>
        </w:tabs>
        <w:ind w:left="2160" w:hanging="360"/>
      </w:pPr>
      <w:rPr>
        <w:rFonts w:ascii="Arial" w:hAnsi="Arial" w:hint="default"/>
      </w:rPr>
    </w:lvl>
    <w:lvl w:ilvl="3" w:tplc="0248E5B8" w:tentative="1">
      <w:start w:val="1"/>
      <w:numFmt w:val="bullet"/>
      <w:lvlText w:val="›"/>
      <w:lvlJc w:val="left"/>
      <w:pPr>
        <w:tabs>
          <w:tab w:val="num" w:pos="2880"/>
        </w:tabs>
        <w:ind w:left="2880" w:hanging="360"/>
      </w:pPr>
      <w:rPr>
        <w:rFonts w:ascii="Arial" w:hAnsi="Arial" w:hint="default"/>
      </w:rPr>
    </w:lvl>
    <w:lvl w:ilvl="4" w:tplc="4F341294" w:tentative="1">
      <w:start w:val="1"/>
      <w:numFmt w:val="bullet"/>
      <w:lvlText w:val="›"/>
      <w:lvlJc w:val="left"/>
      <w:pPr>
        <w:tabs>
          <w:tab w:val="num" w:pos="3600"/>
        </w:tabs>
        <w:ind w:left="3600" w:hanging="360"/>
      </w:pPr>
      <w:rPr>
        <w:rFonts w:ascii="Arial" w:hAnsi="Arial" w:hint="default"/>
      </w:rPr>
    </w:lvl>
    <w:lvl w:ilvl="5" w:tplc="1D4C5626" w:tentative="1">
      <w:start w:val="1"/>
      <w:numFmt w:val="bullet"/>
      <w:lvlText w:val="›"/>
      <w:lvlJc w:val="left"/>
      <w:pPr>
        <w:tabs>
          <w:tab w:val="num" w:pos="4320"/>
        </w:tabs>
        <w:ind w:left="4320" w:hanging="360"/>
      </w:pPr>
      <w:rPr>
        <w:rFonts w:ascii="Arial" w:hAnsi="Arial" w:hint="default"/>
      </w:rPr>
    </w:lvl>
    <w:lvl w:ilvl="6" w:tplc="8AA4303C" w:tentative="1">
      <w:start w:val="1"/>
      <w:numFmt w:val="bullet"/>
      <w:lvlText w:val="›"/>
      <w:lvlJc w:val="left"/>
      <w:pPr>
        <w:tabs>
          <w:tab w:val="num" w:pos="5040"/>
        </w:tabs>
        <w:ind w:left="5040" w:hanging="360"/>
      </w:pPr>
      <w:rPr>
        <w:rFonts w:ascii="Arial" w:hAnsi="Arial" w:hint="default"/>
      </w:rPr>
    </w:lvl>
    <w:lvl w:ilvl="7" w:tplc="B42A297C" w:tentative="1">
      <w:start w:val="1"/>
      <w:numFmt w:val="bullet"/>
      <w:lvlText w:val="›"/>
      <w:lvlJc w:val="left"/>
      <w:pPr>
        <w:tabs>
          <w:tab w:val="num" w:pos="5760"/>
        </w:tabs>
        <w:ind w:left="5760" w:hanging="360"/>
      </w:pPr>
      <w:rPr>
        <w:rFonts w:ascii="Arial" w:hAnsi="Arial" w:hint="default"/>
      </w:rPr>
    </w:lvl>
    <w:lvl w:ilvl="8" w:tplc="D15E944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A162FB"/>
    <w:multiLevelType w:val="hybridMultilevel"/>
    <w:tmpl w:val="144280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080B3C"/>
    <w:multiLevelType w:val="hybridMultilevel"/>
    <w:tmpl w:val="6A8A9088"/>
    <w:lvl w:ilvl="0" w:tplc="3B18863A">
      <w:start w:val="1"/>
      <w:numFmt w:val="bullet"/>
      <w:lvlText w:val="–"/>
      <w:lvlJc w:val="left"/>
      <w:pPr>
        <w:tabs>
          <w:tab w:val="num" w:pos="720"/>
        </w:tabs>
        <w:ind w:left="720" w:hanging="360"/>
      </w:pPr>
      <w:rPr>
        <w:rFonts w:ascii="Ericsson Capital TT" w:hAnsi="Ericsson Capital TT" w:hint="default"/>
      </w:rPr>
    </w:lvl>
    <w:lvl w:ilvl="1" w:tplc="DCE83124">
      <w:start w:val="1"/>
      <w:numFmt w:val="bullet"/>
      <w:lvlText w:val="–"/>
      <w:lvlJc w:val="left"/>
      <w:pPr>
        <w:tabs>
          <w:tab w:val="num" w:pos="1440"/>
        </w:tabs>
        <w:ind w:left="1440" w:hanging="360"/>
      </w:pPr>
      <w:rPr>
        <w:rFonts w:ascii="Ericsson Capital TT" w:hAnsi="Ericsson Capital TT" w:hint="default"/>
      </w:rPr>
    </w:lvl>
    <w:lvl w:ilvl="2" w:tplc="B25E4E18" w:tentative="1">
      <w:start w:val="1"/>
      <w:numFmt w:val="bullet"/>
      <w:lvlText w:val="–"/>
      <w:lvlJc w:val="left"/>
      <w:pPr>
        <w:tabs>
          <w:tab w:val="num" w:pos="2160"/>
        </w:tabs>
        <w:ind w:left="2160" w:hanging="360"/>
      </w:pPr>
      <w:rPr>
        <w:rFonts w:ascii="Ericsson Capital TT" w:hAnsi="Ericsson Capital TT" w:hint="default"/>
      </w:rPr>
    </w:lvl>
    <w:lvl w:ilvl="3" w:tplc="3E8A82A0" w:tentative="1">
      <w:start w:val="1"/>
      <w:numFmt w:val="bullet"/>
      <w:lvlText w:val="–"/>
      <w:lvlJc w:val="left"/>
      <w:pPr>
        <w:tabs>
          <w:tab w:val="num" w:pos="2880"/>
        </w:tabs>
        <w:ind w:left="2880" w:hanging="360"/>
      </w:pPr>
      <w:rPr>
        <w:rFonts w:ascii="Ericsson Capital TT" w:hAnsi="Ericsson Capital TT" w:hint="default"/>
      </w:rPr>
    </w:lvl>
    <w:lvl w:ilvl="4" w:tplc="974CCE32" w:tentative="1">
      <w:start w:val="1"/>
      <w:numFmt w:val="bullet"/>
      <w:lvlText w:val="–"/>
      <w:lvlJc w:val="left"/>
      <w:pPr>
        <w:tabs>
          <w:tab w:val="num" w:pos="3600"/>
        </w:tabs>
        <w:ind w:left="3600" w:hanging="360"/>
      </w:pPr>
      <w:rPr>
        <w:rFonts w:ascii="Ericsson Capital TT" w:hAnsi="Ericsson Capital TT" w:hint="default"/>
      </w:rPr>
    </w:lvl>
    <w:lvl w:ilvl="5" w:tplc="03B20990" w:tentative="1">
      <w:start w:val="1"/>
      <w:numFmt w:val="bullet"/>
      <w:lvlText w:val="–"/>
      <w:lvlJc w:val="left"/>
      <w:pPr>
        <w:tabs>
          <w:tab w:val="num" w:pos="4320"/>
        </w:tabs>
        <w:ind w:left="4320" w:hanging="360"/>
      </w:pPr>
      <w:rPr>
        <w:rFonts w:ascii="Ericsson Capital TT" w:hAnsi="Ericsson Capital TT" w:hint="default"/>
      </w:rPr>
    </w:lvl>
    <w:lvl w:ilvl="6" w:tplc="18062742" w:tentative="1">
      <w:start w:val="1"/>
      <w:numFmt w:val="bullet"/>
      <w:lvlText w:val="–"/>
      <w:lvlJc w:val="left"/>
      <w:pPr>
        <w:tabs>
          <w:tab w:val="num" w:pos="5040"/>
        </w:tabs>
        <w:ind w:left="5040" w:hanging="360"/>
      </w:pPr>
      <w:rPr>
        <w:rFonts w:ascii="Ericsson Capital TT" w:hAnsi="Ericsson Capital TT" w:hint="default"/>
      </w:rPr>
    </w:lvl>
    <w:lvl w:ilvl="7" w:tplc="6E7269EA" w:tentative="1">
      <w:start w:val="1"/>
      <w:numFmt w:val="bullet"/>
      <w:lvlText w:val="–"/>
      <w:lvlJc w:val="left"/>
      <w:pPr>
        <w:tabs>
          <w:tab w:val="num" w:pos="5760"/>
        </w:tabs>
        <w:ind w:left="5760" w:hanging="360"/>
      </w:pPr>
      <w:rPr>
        <w:rFonts w:ascii="Ericsson Capital TT" w:hAnsi="Ericsson Capital TT" w:hint="default"/>
      </w:rPr>
    </w:lvl>
    <w:lvl w:ilvl="8" w:tplc="A690690C" w:tentative="1">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cs="Times New Roman"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cs="Times New Roman" w:hint="default"/>
      </w:rPr>
    </w:lvl>
    <w:lvl w:ilvl="3" w:tplc="027CBD2A">
      <w:start w:val="1"/>
      <w:numFmt w:val="bullet"/>
      <w:lvlText w:val="›"/>
      <w:lvlJc w:val="left"/>
      <w:pPr>
        <w:tabs>
          <w:tab w:val="num" w:pos="2880"/>
        </w:tabs>
        <w:ind w:left="2880" w:hanging="360"/>
      </w:pPr>
      <w:rPr>
        <w:rFonts w:ascii="Arial" w:hAnsi="Arial" w:cs="Times New Roman" w:hint="default"/>
      </w:rPr>
    </w:lvl>
    <w:lvl w:ilvl="4" w:tplc="7EA88F2A">
      <w:start w:val="1"/>
      <w:numFmt w:val="bullet"/>
      <w:lvlText w:val="›"/>
      <w:lvlJc w:val="left"/>
      <w:pPr>
        <w:tabs>
          <w:tab w:val="num" w:pos="3600"/>
        </w:tabs>
        <w:ind w:left="3600" w:hanging="360"/>
      </w:pPr>
      <w:rPr>
        <w:rFonts w:ascii="Arial" w:hAnsi="Arial" w:cs="Times New Roman" w:hint="default"/>
      </w:rPr>
    </w:lvl>
    <w:lvl w:ilvl="5" w:tplc="E744AA56">
      <w:start w:val="1"/>
      <w:numFmt w:val="bullet"/>
      <w:lvlText w:val="›"/>
      <w:lvlJc w:val="left"/>
      <w:pPr>
        <w:tabs>
          <w:tab w:val="num" w:pos="4320"/>
        </w:tabs>
        <w:ind w:left="4320" w:hanging="360"/>
      </w:pPr>
      <w:rPr>
        <w:rFonts w:ascii="Arial" w:hAnsi="Arial" w:cs="Times New Roman" w:hint="default"/>
      </w:rPr>
    </w:lvl>
    <w:lvl w:ilvl="6" w:tplc="4936FBF0">
      <w:start w:val="1"/>
      <w:numFmt w:val="bullet"/>
      <w:lvlText w:val="›"/>
      <w:lvlJc w:val="left"/>
      <w:pPr>
        <w:tabs>
          <w:tab w:val="num" w:pos="5040"/>
        </w:tabs>
        <w:ind w:left="5040" w:hanging="360"/>
      </w:pPr>
      <w:rPr>
        <w:rFonts w:ascii="Arial" w:hAnsi="Arial" w:cs="Times New Roman" w:hint="default"/>
      </w:rPr>
    </w:lvl>
    <w:lvl w:ilvl="7" w:tplc="D062FDDC">
      <w:start w:val="1"/>
      <w:numFmt w:val="bullet"/>
      <w:lvlText w:val="›"/>
      <w:lvlJc w:val="left"/>
      <w:pPr>
        <w:tabs>
          <w:tab w:val="num" w:pos="5760"/>
        </w:tabs>
        <w:ind w:left="5760" w:hanging="360"/>
      </w:pPr>
      <w:rPr>
        <w:rFonts w:ascii="Arial" w:hAnsi="Arial" w:cs="Times New Roman" w:hint="default"/>
      </w:rPr>
    </w:lvl>
    <w:lvl w:ilvl="8" w:tplc="8AD80BCE">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CA82087"/>
    <w:multiLevelType w:val="hybridMultilevel"/>
    <w:tmpl w:val="1CB0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0613F5"/>
    <w:multiLevelType w:val="hybridMultilevel"/>
    <w:tmpl w:val="BE705D2E"/>
    <w:lvl w:ilvl="0" w:tplc="28FCCDFC">
      <w:numFmt w:val="bullet"/>
      <w:lvlText w:val="-"/>
      <w:lvlJc w:val="left"/>
      <w:pPr>
        <w:ind w:left="720" w:hanging="360"/>
      </w:pPr>
      <w:rPr>
        <w:rFonts w:ascii="Segoe UI" w:eastAsia="Times New Roman" w:hAnsi="Segoe UI" w:cs="Segoe U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04E2B37"/>
    <w:multiLevelType w:val="hybridMultilevel"/>
    <w:tmpl w:val="61DCD0AA"/>
    <w:lvl w:ilvl="0" w:tplc="2A46491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842497"/>
    <w:multiLevelType w:val="hybridMultilevel"/>
    <w:tmpl w:val="00BA15E6"/>
    <w:lvl w:ilvl="0" w:tplc="28FCCDFC">
      <w:numFmt w:val="bullet"/>
      <w:lvlText w:val="-"/>
      <w:lvlJc w:val="left"/>
      <w:pPr>
        <w:ind w:left="720" w:hanging="360"/>
      </w:pPr>
      <w:rPr>
        <w:rFonts w:ascii="Segoe UI" w:eastAsia="Times New Roman" w:hAnsi="Segoe UI" w:cs="Segoe U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324EA1"/>
    <w:multiLevelType w:val="hybridMultilevel"/>
    <w:tmpl w:val="97DA1C28"/>
    <w:lvl w:ilvl="0" w:tplc="D0F6ED78">
      <w:start w:val="6"/>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FB4B5E"/>
    <w:multiLevelType w:val="hybridMultilevel"/>
    <w:tmpl w:val="33F46F10"/>
    <w:lvl w:ilvl="0" w:tplc="1C6E31FA">
      <w:start w:val="1"/>
      <w:numFmt w:val="bullet"/>
      <w:lvlText w:val="›"/>
      <w:lvlJc w:val="left"/>
      <w:pPr>
        <w:tabs>
          <w:tab w:val="num" w:pos="720"/>
        </w:tabs>
        <w:ind w:left="720" w:hanging="360"/>
      </w:pPr>
      <w:rPr>
        <w:rFonts w:ascii="Arial" w:hAnsi="Arial" w:hint="default"/>
      </w:rPr>
    </w:lvl>
    <w:lvl w:ilvl="1" w:tplc="CC7EA43C" w:tentative="1">
      <w:start w:val="1"/>
      <w:numFmt w:val="bullet"/>
      <w:lvlText w:val="›"/>
      <w:lvlJc w:val="left"/>
      <w:pPr>
        <w:tabs>
          <w:tab w:val="num" w:pos="1440"/>
        </w:tabs>
        <w:ind w:left="1440" w:hanging="360"/>
      </w:pPr>
      <w:rPr>
        <w:rFonts w:ascii="Arial" w:hAnsi="Arial" w:hint="default"/>
      </w:rPr>
    </w:lvl>
    <w:lvl w:ilvl="2" w:tplc="049059EA" w:tentative="1">
      <w:start w:val="1"/>
      <w:numFmt w:val="bullet"/>
      <w:lvlText w:val="›"/>
      <w:lvlJc w:val="left"/>
      <w:pPr>
        <w:tabs>
          <w:tab w:val="num" w:pos="2160"/>
        </w:tabs>
        <w:ind w:left="2160" w:hanging="360"/>
      </w:pPr>
      <w:rPr>
        <w:rFonts w:ascii="Arial" w:hAnsi="Arial" w:hint="default"/>
      </w:rPr>
    </w:lvl>
    <w:lvl w:ilvl="3" w:tplc="F39AF22C" w:tentative="1">
      <w:start w:val="1"/>
      <w:numFmt w:val="bullet"/>
      <w:lvlText w:val="›"/>
      <w:lvlJc w:val="left"/>
      <w:pPr>
        <w:tabs>
          <w:tab w:val="num" w:pos="2880"/>
        </w:tabs>
        <w:ind w:left="2880" w:hanging="360"/>
      </w:pPr>
      <w:rPr>
        <w:rFonts w:ascii="Arial" w:hAnsi="Arial" w:hint="default"/>
      </w:rPr>
    </w:lvl>
    <w:lvl w:ilvl="4" w:tplc="1F5E9FD0" w:tentative="1">
      <w:start w:val="1"/>
      <w:numFmt w:val="bullet"/>
      <w:lvlText w:val="›"/>
      <w:lvlJc w:val="left"/>
      <w:pPr>
        <w:tabs>
          <w:tab w:val="num" w:pos="3600"/>
        </w:tabs>
        <w:ind w:left="3600" w:hanging="360"/>
      </w:pPr>
      <w:rPr>
        <w:rFonts w:ascii="Arial" w:hAnsi="Arial" w:hint="default"/>
      </w:rPr>
    </w:lvl>
    <w:lvl w:ilvl="5" w:tplc="9E0E16C4" w:tentative="1">
      <w:start w:val="1"/>
      <w:numFmt w:val="bullet"/>
      <w:lvlText w:val="›"/>
      <w:lvlJc w:val="left"/>
      <w:pPr>
        <w:tabs>
          <w:tab w:val="num" w:pos="4320"/>
        </w:tabs>
        <w:ind w:left="4320" w:hanging="360"/>
      </w:pPr>
      <w:rPr>
        <w:rFonts w:ascii="Arial" w:hAnsi="Arial" w:hint="default"/>
      </w:rPr>
    </w:lvl>
    <w:lvl w:ilvl="6" w:tplc="E22087C0" w:tentative="1">
      <w:start w:val="1"/>
      <w:numFmt w:val="bullet"/>
      <w:lvlText w:val="›"/>
      <w:lvlJc w:val="left"/>
      <w:pPr>
        <w:tabs>
          <w:tab w:val="num" w:pos="5040"/>
        </w:tabs>
        <w:ind w:left="5040" w:hanging="360"/>
      </w:pPr>
      <w:rPr>
        <w:rFonts w:ascii="Arial" w:hAnsi="Arial" w:hint="default"/>
      </w:rPr>
    </w:lvl>
    <w:lvl w:ilvl="7" w:tplc="793C5ED0" w:tentative="1">
      <w:start w:val="1"/>
      <w:numFmt w:val="bullet"/>
      <w:lvlText w:val="›"/>
      <w:lvlJc w:val="left"/>
      <w:pPr>
        <w:tabs>
          <w:tab w:val="num" w:pos="5760"/>
        </w:tabs>
        <w:ind w:left="5760" w:hanging="360"/>
      </w:pPr>
      <w:rPr>
        <w:rFonts w:ascii="Arial" w:hAnsi="Arial" w:hint="default"/>
      </w:rPr>
    </w:lvl>
    <w:lvl w:ilvl="8" w:tplc="B5E2504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865BE6"/>
    <w:multiLevelType w:val="hybridMultilevel"/>
    <w:tmpl w:val="E9505DE4"/>
    <w:lvl w:ilvl="0" w:tplc="28FCCDFC">
      <w:numFmt w:val="bullet"/>
      <w:lvlText w:val="-"/>
      <w:lvlJc w:val="left"/>
      <w:pPr>
        <w:ind w:left="720" w:hanging="360"/>
      </w:pPr>
      <w:rPr>
        <w:rFonts w:ascii="Segoe UI" w:eastAsia="Times New Roman" w:hAnsi="Segoe UI" w:cs="Segoe U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77346860"/>
    <w:multiLevelType w:val="hybridMultilevel"/>
    <w:tmpl w:val="3664E7CE"/>
    <w:lvl w:ilvl="0" w:tplc="D2D6D12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996A11"/>
    <w:multiLevelType w:val="hybridMultilevel"/>
    <w:tmpl w:val="AB52EE8C"/>
    <w:lvl w:ilvl="0" w:tplc="36BC4D86">
      <w:start w:val="1"/>
      <w:numFmt w:val="bullet"/>
      <w:lvlText w:val="›"/>
      <w:lvlJc w:val="left"/>
      <w:pPr>
        <w:tabs>
          <w:tab w:val="num" w:pos="720"/>
        </w:tabs>
        <w:ind w:left="720" w:hanging="360"/>
      </w:pPr>
      <w:rPr>
        <w:rFonts w:ascii="Arial" w:hAnsi="Arial" w:hint="default"/>
      </w:rPr>
    </w:lvl>
    <w:lvl w:ilvl="1" w:tplc="616CC292" w:tentative="1">
      <w:start w:val="1"/>
      <w:numFmt w:val="bullet"/>
      <w:lvlText w:val="›"/>
      <w:lvlJc w:val="left"/>
      <w:pPr>
        <w:tabs>
          <w:tab w:val="num" w:pos="1440"/>
        </w:tabs>
        <w:ind w:left="1440" w:hanging="360"/>
      </w:pPr>
      <w:rPr>
        <w:rFonts w:ascii="Arial" w:hAnsi="Arial" w:hint="default"/>
      </w:rPr>
    </w:lvl>
    <w:lvl w:ilvl="2" w:tplc="0AD869D8" w:tentative="1">
      <w:start w:val="1"/>
      <w:numFmt w:val="bullet"/>
      <w:lvlText w:val="›"/>
      <w:lvlJc w:val="left"/>
      <w:pPr>
        <w:tabs>
          <w:tab w:val="num" w:pos="2160"/>
        </w:tabs>
        <w:ind w:left="2160" w:hanging="360"/>
      </w:pPr>
      <w:rPr>
        <w:rFonts w:ascii="Arial" w:hAnsi="Arial" w:hint="default"/>
      </w:rPr>
    </w:lvl>
    <w:lvl w:ilvl="3" w:tplc="F55A2B88" w:tentative="1">
      <w:start w:val="1"/>
      <w:numFmt w:val="bullet"/>
      <w:lvlText w:val="›"/>
      <w:lvlJc w:val="left"/>
      <w:pPr>
        <w:tabs>
          <w:tab w:val="num" w:pos="2880"/>
        </w:tabs>
        <w:ind w:left="2880" w:hanging="360"/>
      </w:pPr>
      <w:rPr>
        <w:rFonts w:ascii="Arial" w:hAnsi="Arial" w:hint="default"/>
      </w:rPr>
    </w:lvl>
    <w:lvl w:ilvl="4" w:tplc="48041390" w:tentative="1">
      <w:start w:val="1"/>
      <w:numFmt w:val="bullet"/>
      <w:lvlText w:val="›"/>
      <w:lvlJc w:val="left"/>
      <w:pPr>
        <w:tabs>
          <w:tab w:val="num" w:pos="3600"/>
        </w:tabs>
        <w:ind w:left="3600" w:hanging="360"/>
      </w:pPr>
      <w:rPr>
        <w:rFonts w:ascii="Arial" w:hAnsi="Arial" w:hint="default"/>
      </w:rPr>
    </w:lvl>
    <w:lvl w:ilvl="5" w:tplc="C6AE9C48" w:tentative="1">
      <w:start w:val="1"/>
      <w:numFmt w:val="bullet"/>
      <w:lvlText w:val="›"/>
      <w:lvlJc w:val="left"/>
      <w:pPr>
        <w:tabs>
          <w:tab w:val="num" w:pos="4320"/>
        </w:tabs>
        <w:ind w:left="4320" w:hanging="360"/>
      </w:pPr>
      <w:rPr>
        <w:rFonts w:ascii="Arial" w:hAnsi="Arial" w:hint="default"/>
      </w:rPr>
    </w:lvl>
    <w:lvl w:ilvl="6" w:tplc="06F4160C" w:tentative="1">
      <w:start w:val="1"/>
      <w:numFmt w:val="bullet"/>
      <w:lvlText w:val="›"/>
      <w:lvlJc w:val="left"/>
      <w:pPr>
        <w:tabs>
          <w:tab w:val="num" w:pos="5040"/>
        </w:tabs>
        <w:ind w:left="5040" w:hanging="360"/>
      </w:pPr>
      <w:rPr>
        <w:rFonts w:ascii="Arial" w:hAnsi="Arial" w:hint="default"/>
      </w:rPr>
    </w:lvl>
    <w:lvl w:ilvl="7" w:tplc="296CA26E" w:tentative="1">
      <w:start w:val="1"/>
      <w:numFmt w:val="bullet"/>
      <w:lvlText w:val="›"/>
      <w:lvlJc w:val="left"/>
      <w:pPr>
        <w:tabs>
          <w:tab w:val="num" w:pos="5760"/>
        </w:tabs>
        <w:ind w:left="5760" w:hanging="360"/>
      </w:pPr>
      <w:rPr>
        <w:rFonts w:ascii="Arial" w:hAnsi="Arial" w:hint="default"/>
      </w:rPr>
    </w:lvl>
    <w:lvl w:ilvl="8" w:tplc="C4A6A1FC"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1"/>
  </w:num>
  <w:num w:numId="3">
    <w:abstractNumId w:val="15"/>
  </w:num>
  <w:num w:numId="4">
    <w:abstractNumId w:val="16"/>
  </w:num>
  <w:num w:numId="5">
    <w:abstractNumId w:val="13"/>
  </w:num>
  <w:num w:numId="6">
    <w:abstractNumId w:val="18"/>
  </w:num>
  <w:num w:numId="7">
    <w:abstractNumId w:val="24"/>
  </w:num>
  <w:num w:numId="8">
    <w:abstractNumId w:val="14"/>
  </w:num>
  <w:num w:numId="9">
    <w:abstractNumId w:val="22"/>
  </w:num>
  <w:num w:numId="10">
    <w:abstractNumId w:val="8"/>
  </w:num>
  <w:num w:numId="11">
    <w:abstractNumId w:val="20"/>
  </w:num>
  <w:num w:numId="12">
    <w:abstractNumId w:val="17"/>
  </w:num>
  <w:num w:numId="13">
    <w:abstractNumId w:val="11"/>
  </w:num>
  <w:num w:numId="14">
    <w:abstractNumId w:val="12"/>
  </w:num>
  <w:num w:numId="15">
    <w:abstractNumId w:val="3"/>
  </w:num>
  <w:num w:numId="16">
    <w:abstractNumId w:val="2"/>
  </w:num>
  <w:num w:numId="17">
    <w:abstractNumId w:val="1"/>
  </w:num>
  <w:num w:numId="18">
    <w:abstractNumId w:val="0"/>
  </w:num>
  <w:num w:numId="19">
    <w:abstractNumId w:val="26"/>
  </w:num>
  <w:num w:numId="20">
    <w:abstractNumId w:val="28"/>
  </w:num>
  <w:num w:numId="21">
    <w:abstractNumId w:val="9"/>
  </w:num>
  <w:num w:numId="22">
    <w:abstractNumId w:val="5"/>
  </w:num>
  <w:num w:numId="23">
    <w:abstractNumId w:val="23"/>
  </w:num>
  <w:num w:numId="24">
    <w:abstractNumId w:val="7"/>
  </w:num>
  <w:num w:numId="25">
    <w:abstractNumId w:val="15"/>
  </w:num>
  <w:num w:numId="26">
    <w:abstractNumId w:val="4"/>
  </w:num>
  <w:num w:numId="27">
    <w:abstractNumId w:val="27"/>
  </w:num>
  <w:num w:numId="28">
    <w:abstractNumId w:val="25"/>
  </w:num>
  <w:num w:numId="29">
    <w:abstractNumId w:val="10"/>
  </w:num>
  <w:num w:numId="30">
    <w:abstractNumId w:val="6"/>
  </w:num>
  <w:num w:numId="31">
    <w:abstractNumId w:val="6"/>
  </w:num>
  <w:num w:numId="32">
    <w:abstractNumId w:val="19"/>
  </w:num>
  <w:num w:numId="33">
    <w:abstractNumId w:val="22"/>
    <w:lvlOverride w:ilvl="0">
      <w:startOverride w:val="1"/>
    </w:lvlOverride>
  </w:num>
  <w:num w:numId="34">
    <w:abstractNumId w:val="15"/>
    <w:lvlOverride w:ilvl="0">
      <w:startOverride w:val="1"/>
    </w:lvlOverride>
  </w:num>
  <w:num w:numId="35">
    <w:abstractNumId w:val="22"/>
  </w:num>
  <w:num w:numId="36">
    <w:abstractNumId w:val="15"/>
  </w:num>
  <w:num w:numId="37">
    <w:abstractNumId w:val="22"/>
    <w:lvlOverride w:ilvl="0">
      <w:startOverride w:val="1"/>
    </w:lvlOverride>
  </w:num>
  <w:num w:numId="38">
    <w:abstractNumId w:val="15"/>
    <w:lvlOverride w:ilvl="0">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num>
  <w:num w:numId="41">
    <w:abstractNumId w:val="15"/>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F4B"/>
    <w:rsid w:val="000006E1"/>
    <w:rsid w:val="00002A37"/>
    <w:rsid w:val="000039F4"/>
    <w:rsid w:val="0000621F"/>
    <w:rsid w:val="00006446"/>
    <w:rsid w:val="00006896"/>
    <w:rsid w:val="00007CDC"/>
    <w:rsid w:val="00011B28"/>
    <w:rsid w:val="00015D15"/>
    <w:rsid w:val="0002564D"/>
    <w:rsid w:val="00025ECA"/>
    <w:rsid w:val="000325B8"/>
    <w:rsid w:val="000339E1"/>
    <w:rsid w:val="00034C15"/>
    <w:rsid w:val="00036BA1"/>
    <w:rsid w:val="000422E2"/>
    <w:rsid w:val="00042F22"/>
    <w:rsid w:val="000444EF"/>
    <w:rsid w:val="00045698"/>
    <w:rsid w:val="0005115F"/>
    <w:rsid w:val="00052A07"/>
    <w:rsid w:val="000534E3"/>
    <w:rsid w:val="0005606A"/>
    <w:rsid w:val="00057117"/>
    <w:rsid w:val="000616E7"/>
    <w:rsid w:val="0006487E"/>
    <w:rsid w:val="00065E1A"/>
    <w:rsid w:val="000719C3"/>
    <w:rsid w:val="0007784E"/>
    <w:rsid w:val="00077E5F"/>
    <w:rsid w:val="0008036A"/>
    <w:rsid w:val="00081AE6"/>
    <w:rsid w:val="000855EB"/>
    <w:rsid w:val="00085B52"/>
    <w:rsid w:val="000866F2"/>
    <w:rsid w:val="0009009F"/>
    <w:rsid w:val="00091557"/>
    <w:rsid w:val="000924C1"/>
    <w:rsid w:val="000924F0"/>
    <w:rsid w:val="00093474"/>
    <w:rsid w:val="0009510F"/>
    <w:rsid w:val="00097904"/>
    <w:rsid w:val="000A09E6"/>
    <w:rsid w:val="000A1B7B"/>
    <w:rsid w:val="000A3088"/>
    <w:rsid w:val="000A56F2"/>
    <w:rsid w:val="000B2719"/>
    <w:rsid w:val="000B3A8F"/>
    <w:rsid w:val="000B4AB9"/>
    <w:rsid w:val="000B58C3"/>
    <w:rsid w:val="000B61E9"/>
    <w:rsid w:val="000C165A"/>
    <w:rsid w:val="000C2E19"/>
    <w:rsid w:val="000D0D07"/>
    <w:rsid w:val="000D423F"/>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0BB8"/>
    <w:rsid w:val="001219F5"/>
    <w:rsid w:val="00121A20"/>
    <w:rsid w:val="0012377F"/>
    <w:rsid w:val="00124314"/>
    <w:rsid w:val="00126B4A"/>
    <w:rsid w:val="00132FD0"/>
    <w:rsid w:val="0013383D"/>
    <w:rsid w:val="001344C0"/>
    <w:rsid w:val="001346FA"/>
    <w:rsid w:val="00135252"/>
    <w:rsid w:val="001353BC"/>
    <w:rsid w:val="00135A45"/>
    <w:rsid w:val="00137AB5"/>
    <w:rsid w:val="00137F0B"/>
    <w:rsid w:val="00140EF3"/>
    <w:rsid w:val="00151E23"/>
    <w:rsid w:val="001526E0"/>
    <w:rsid w:val="001551B5"/>
    <w:rsid w:val="0015615D"/>
    <w:rsid w:val="001659C1"/>
    <w:rsid w:val="0016755A"/>
    <w:rsid w:val="00173A8E"/>
    <w:rsid w:val="00173ECA"/>
    <w:rsid w:val="00177795"/>
    <w:rsid w:val="0018143F"/>
    <w:rsid w:val="00190AC1"/>
    <w:rsid w:val="0019341A"/>
    <w:rsid w:val="00197DF9"/>
    <w:rsid w:val="001A1987"/>
    <w:rsid w:val="001A2564"/>
    <w:rsid w:val="001A6173"/>
    <w:rsid w:val="001A6CBA"/>
    <w:rsid w:val="001B0D97"/>
    <w:rsid w:val="001B1C06"/>
    <w:rsid w:val="001B5A5D"/>
    <w:rsid w:val="001C1CE5"/>
    <w:rsid w:val="001C23AB"/>
    <w:rsid w:val="001C3D2A"/>
    <w:rsid w:val="001D2DEA"/>
    <w:rsid w:val="001D51BA"/>
    <w:rsid w:val="001D6342"/>
    <w:rsid w:val="001D6D53"/>
    <w:rsid w:val="001E58E2"/>
    <w:rsid w:val="001E7AED"/>
    <w:rsid w:val="001E7C5B"/>
    <w:rsid w:val="001F3916"/>
    <w:rsid w:val="001F3BAB"/>
    <w:rsid w:val="001F54C5"/>
    <w:rsid w:val="001F662C"/>
    <w:rsid w:val="001F7074"/>
    <w:rsid w:val="00200490"/>
    <w:rsid w:val="00201F3A"/>
    <w:rsid w:val="00203F96"/>
    <w:rsid w:val="00204B4A"/>
    <w:rsid w:val="002069B2"/>
    <w:rsid w:val="00207FA3"/>
    <w:rsid w:val="002127F5"/>
    <w:rsid w:val="00214DA8"/>
    <w:rsid w:val="00215423"/>
    <w:rsid w:val="002158FA"/>
    <w:rsid w:val="00220600"/>
    <w:rsid w:val="002224DB"/>
    <w:rsid w:val="00223FCB"/>
    <w:rsid w:val="0022470E"/>
    <w:rsid w:val="002252C3"/>
    <w:rsid w:val="00225C54"/>
    <w:rsid w:val="002262CF"/>
    <w:rsid w:val="00230765"/>
    <w:rsid w:val="002319E4"/>
    <w:rsid w:val="00235632"/>
    <w:rsid w:val="00235872"/>
    <w:rsid w:val="00241559"/>
    <w:rsid w:val="00242626"/>
    <w:rsid w:val="002435B3"/>
    <w:rsid w:val="002458EB"/>
    <w:rsid w:val="0024599D"/>
    <w:rsid w:val="002500C8"/>
    <w:rsid w:val="00256492"/>
    <w:rsid w:val="00257543"/>
    <w:rsid w:val="002617E7"/>
    <w:rsid w:val="00264228"/>
    <w:rsid w:val="00264334"/>
    <w:rsid w:val="0026473E"/>
    <w:rsid w:val="00266214"/>
    <w:rsid w:val="00266C25"/>
    <w:rsid w:val="00267C83"/>
    <w:rsid w:val="0027144F"/>
    <w:rsid w:val="00271F3A"/>
    <w:rsid w:val="00273278"/>
    <w:rsid w:val="002737F4"/>
    <w:rsid w:val="00273B26"/>
    <w:rsid w:val="00275844"/>
    <w:rsid w:val="002805F5"/>
    <w:rsid w:val="00280751"/>
    <w:rsid w:val="0028280A"/>
    <w:rsid w:val="002835F2"/>
    <w:rsid w:val="00286ACD"/>
    <w:rsid w:val="00287838"/>
    <w:rsid w:val="002907B5"/>
    <w:rsid w:val="00291F26"/>
    <w:rsid w:val="00291F3B"/>
    <w:rsid w:val="00292EB7"/>
    <w:rsid w:val="00296227"/>
    <w:rsid w:val="00296D0D"/>
    <w:rsid w:val="00296F44"/>
    <w:rsid w:val="0029777D"/>
    <w:rsid w:val="002A055E"/>
    <w:rsid w:val="002A1D4E"/>
    <w:rsid w:val="002A1F25"/>
    <w:rsid w:val="002A2869"/>
    <w:rsid w:val="002A2E7C"/>
    <w:rsid w:val="002B24D6"/>
    <w:rsid w:val="002C1106"/>
    <w:rsid w:val="002C41E6"/>
    <w:rsid w:val="002C5F4B"/>
    <w:rsid w:val="002C7218"/>
    <w:rsid w:val="002D0254"/>
    <w:rsid w:val="002D071A"/>
    <w:rsid w:val="002D34B2"/>
    <w:rsid w:val="002D7637"/>
    <w:rsid w:val="002E17F2"/>
    <w:rsid w:val="002E7CAE"/>
    <w:rsid w:val="002F2771"/>
    <w:rsid w:val="002F37A9"/>
    <w:rsid w:val="00301CE6"/>
    <w:rsid w:val="0030256B"/>
    <w:rsid w:val="0030501F"/>
    <w:rsid w:val="00307220"/>
    <w:rsid w:val="00307BA1"/>
    <w:rsid w:val="00311702"/>
    <w:rsid w:val="00311D53"/>
    <w:rsid w:val="00311E82"/>
    <w:rsid w:val="00313120"/>
    <w:rsid w:val="00313FD6"/>
    <w:rsid w:val="003143BD"/>
    <w:rsid w:val="003203ED"/>
    <w:rsid w:val="00322C9F"/>
    <w:rsid w:val="00324D23"/>
    <w:rsid w:val="0032567F"/>
    <w:rsid w:val="00327739"/>
    <w:rsid w:val="0033067A"/>
    <w:rsid w:val="00331751"/>
    <w:rsid w:val="00334579"/>
    <w:rsid w:val="00335858"/>
    <w:rsid w:val="00336BDA"/>
    <w:rsid w:val="00342BD7"/>
    <w:rsid w:val="00343A07"/>
    <w:rsid w:val="00344E25"/>
    <w:rsid w:val="00346DB5"/>
    <w:rsid w:val="003477B1"/>
    <w:rsid w:val="00357380"/>
    <w:rsid w:val="003602D9"/>
    <w:rsid w:val="003604CE"/>
    <w:rsid w:val="00370E47"/>
    <w:rsid w:val="003742AC"/>
    <w:rsid w:val="00377CE1"/>
    <w:rsid w:val="00385BF0"/>
    <w:rsid w:val="00392D89"/>
    <w:rsid w:val="003939FF"/>
    <w:rsid w:val="003A150C"/>
    <w:rsid w:val="003A2223"/>
    <w:rsid w:val="003A2A0F"/>
    <w:rsid w:val="003A45A1"/>
    <w:rsid w:val="003A5B0A"/>
    <w:rsid w:val="003A6BAC"/>
    <w:rsid w:val="003A7A59"/>
    <w:rsid w:val="003A7EF3"/>
    <w:rsid w:val="003B159C"/>
    <w:rsid w:val="003B2927"/>
    <w:rsid w:val="003B369F"/>
    <w:rsid w:val="003B36A3"/>
    <w:rsid w:val="003B460B"/>
    <w:rsid w:val="003B7FE5"/>
    <w:rsid w:val="003C11C8"/>
    <w:rsid w:val="003C2702"/>
    <w:rsid w:val="003C7806"/>
    <w:rsid w:val="003D109F"/>
    <w:rsid w:val="003D122B"/>
    <w:rsid w:val="003D2478"/>
    <w:rsid w:val="003D3C45"/>
    <w:rsid w:val="003D5B1F"/>
    <w:rsid w:val="003E15FA"/>
    <w:rsid w:val="003E55E4"/>
    <w:rsid w:val="003E74E3"/>
    <w:rsid w:val="003F05C7"/>
    <w:rsid w:val="003F2CD4"/>
    <w:rsid w:val="003F32CA"/>
    <w:rsid w:val="003F6BBE"/>
    <w:rsid w:val="003F77AD"/>
    <w:rsid w:val="004000E8"/>
    <w:rsid w:val="00402E2B"/>
    <w:rsid w:val="0040512B"/>
    <w:rsid w:val="00405CA5"/>
    <w:rsid w:val="00407CD3"/>
    <w:rsid w:val="00410134"/>
    <w:rsid w:val="00410B72"/>
    <w:rsid w:val="00410EB0"/>
    <w:rsid w:val="00410F18"/>
    <w:rsid w:val="0041263E"/>
    <w:rsid w:val="00413AAC"/>
    <w:rsid w:val="0041639E"/>
    <w:rsid w:val="00421105"/>
    <w:rsid w:val="004242F4"/>
    <w:rsid w:val="00427248"/>
    <w:rsid w:val="00436933"/>
    <w:rsid w:val="00437447"/>
    <w:rsid w:val="00437D6F"/>
    <w:rsid w:val="00441A92"/>
    <w:rsid w:val="00444F56"/>
    <w:rsid w:val="00446488"/>
    <w:rsid w:val="004517AA"/>
    <w:rsid w:val="00452CAC"/>
    <w:rsid w:val="00455DA4"/>
    <w:rsid w:val="00457565"/>
    <w:rsid w:val="00457B71"/>
    <w:rsid w:val="00460C54"/>
    <w:rsid w:val="004669E2"/>
    <w:rsid w:val="00470C31"/>
    <w:rsid w:val="004734D0"/>
    <w:rsid w:val="0047556B"/>
    <w:rsid w:val="00477768"/>
    <w:rsid w:val="004871C2"/>
    <w:rsid w:val="00492BC5"/>
    <w:rsid w:val="004964F1"/>
    <w:rsid w:val="004A16BC"/>
    <w:rsid w:val="004A2B94"/>
    <w:rsid w:val="004B5247"/>
    <w:rsid w:val="004B7C0C"/>
    <w:rsid w:val="004C2DB9"/>
    <w:rsid w:val="004C3898"/>
    <w:rsid w:val="004D2E73"/>
    <w:rsid w:val="004D2F04"/>
    <w:rsid w:val="004D36B1"/>
    <w:rsid w:val="004D7EBD"/>
    <w:rsid w:val="004E2680"/>
    <w:rsid w:val="004E28F9"/>
    <w:rsid w:val="004E462E"/>
    <w:rsid w:val="004E56DC"/>
    <w:rsid w:val="004E76F4"/>
    <w:rsid w:val="004F0B4E"/>
    <w:rsid w:val="004F0B6C"/>
    <w:rsid w:val="004F2078"/>
    <w:rsid w:val="004F4DA3"/>
    <w:rsid w:val="004F4E33"/>
    <w:rsid w:val="00506557"/>
    <w:rsid w:val="0050677A"/>
    <w:rsid w:val="005108D8"/>
    <w:rsid w:val="005116F9"/>
    <w:rsid w:val="005153A7"/>
    <w:rsid w:val="005219CF"/>
    <w:rsid w:val="00521C79"/>
    <w:rsid w:val="00523036"/>
    <w:rsid w:val="005261DA"/>
    <w:rsid w:val="00534B59"/>
    <w:rsid w:val="0053617C"/>
    <w:rsid w:val="00536759"/>
    <w:rsid w:val="00537C62"/>
    <w:rsid w:val="005435CF"/>
    <w:rsid w:val="00546970"/>
    <w:rsid w:val="00550DBC"/>
    <w:rsid w:val="00554E19"/>
    <w:rsid w:val="0056121F"/>
    <w:rsid w:val="00572505"/>
    <w:rsid w:val="0057360B"/>
    <w:rsid w:val="0057621E"/>
    <w:rsid w:val="005813BD"/>
    <w:rsid w:val="00582809"/>
    <w:rsid w:val="00585CC0"/>
    <w:rsid w:val="0058798C"/>
    <w:rsid w:val="005900FA"/>
    <w:rsid w:val="005935A4"/>
    <w:rsid w:val="005948C2"/>
    <w:rsid w:val="0059536D"/>
    <w:rsid w:val="00595DCA"/>
    <w:rsid w:val="0059779B"/>
    <w:rsid w:val="005A209A"/>
    <w:rsid w:val="005A5D13"/>
    <w:rsid w:val="005A662D"/>
    <w:rsid w:val="005B35D7"/>
    <w:rsid w:val="005B392A"/>
    <w:rsid w:val="005B3AA3"/>
    <w:rsid w:val="005B591A"/>
    <w:rsid w:val="005B6F83"/>
    <w:rsid w:val="005C0D23"/>
    <w:rsid w:val="005C74FB"/>
    <w:rsid w:val="005D0CE7"/>
    <w:rsid w:val="005D1602"/>
    <w:rsid w:val="005E385F"/>
    <w:rsid w:val="005E5B81"/>
    <w:rsid w:val="005F2CB1"/>
    <w:rsid w:val="005F3025"/>
    <w:rsid w:val="005F5209"/>
    <w:rsid w:val="005F5CB2"/>
    <w:rsid w:val="005F618C"/>
    <w:rsid w:val="005F70BD"/>
    <w:rsid w:val="006004B0"/>
    <w:rsid w:val="0060283C"/>
    <w:rsid w:val="00604A1C"/>
    <w:rsid w:val="00604F14"/>
    <w:rsid w:val="0061140B"/>
    <w:rsid w:val="00611B83"/>
    <w:rsid w:val="00613257"/>
    <w:rsid w:val="00615618"/>
    <w:rsid w:val="00620A71"/>
    <w:rsid w:val="00620D80"/>
    <w:rsid w:val="006234A6"/>
    <w:rsid w:val="00630001"/>
    <w:rsid w:val="006303D7"/>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32E"/>
    <w:rsid w:val="00656A92"/>
    <w:rsid w:val="00656DDE"/>
    <w:rsid w:val="0066011D"/>
    <w:rsid w:val="006607C0"/>
    <w:rsid w:val="006613A6"/>
    <w:rsid w:val="006627A2"/>
    <w:rsid w:val="006634E6"/>
    <w:rsid w:val="006655EE"/>
    <w:rsid w:val="00666C20"/>
    <w:rsid w:val="00667EE7"/>
    <w:rsid w:val="00670922"/>
    <w:rsid w:val="00670BE1"/>
    <w:rsid w:val="0067218F"/>
    <w:rsid w:val="006741F2"/>
    <w:rsid w:val="00674CC3"/>
    <w:rsid w:val="00675C72"/>
    <w:rsid w:val="006771F9"/>
    <w:rsid w:val="006776D7"/>
    <w:rsid w:val="00681003"/>
    <w:rsid w:val="006817C9"/>
    <w:rsid w:val="00683ECE"/>
    <w:rsid w:val="00695126"/>
    <w:rsid w:val="00695FC2"/>
    <w:rsid w:val="00696949"/>
    <w:rsid w:val="00697052"/>
    <w:rsid w:val="006A0A20"/>
    <w:rsid w:val="006A46FB"/>
    <w:rsid w:val="006A5E28"/>
    <w:rsid w:val="006A697B"/>
    <w:rsid w:val="006A7AFF"/>
    <w:rsid w:val="006B1816"/>
    <w:rsid w:val="006B2099"/>
    <w:rsid w:val="006B50CF"/>
    <w:rsid w:val="006C03B8"/>
    <w:rsid w:val="006C0E38"/>
    <w:rsid w:val="006C5EC9"/>
    <w:rsid w:val="006C6059"/>
    <w:rsid w:val="006C7522"/>
    <w:rsid w:val="006D4C77"/>
    <w:rsid w:val="006D6F08"/>
    <w:rsid w:val="006E062C"/>
    <w:rsid w:val="006E28B7"/>
    <w:rsid w:val="006E3310"/>
    <w:rsid w:val="006E4E39"/>
    <w:rsid w:val="006E531C"/>
    <w:rsid w:val="006E565E"/>
    <w:rsid w:val="006E673D"/>
    <w:rsid w:val="006E7D3B"/>
    <w:rsid w:val="006F1B70"/>
    <w:rsid w:val="006F1C0A"/>
    <w:rsid w:val="006F341D"/>
    <w:rsid w:val="006F3CDE"/>
    <w:rsid w:val="006F41FD"/>
    <w:rsid w:val="006F58D4"/>
    <w:rsid w:val="0070346E"/>
    <w:rsid w:val="00704EDB"/>
    <w:rsid w:val="00706101"/>
    <w:rsid w:val="00707072"/>
    <w:rsid w:val="00707D61"/>
    <w:rsid w:val="00711DBA"/>
    <w:rsid w:val="00712287"/>
    <w:rsid w:val="00712772"/>
    <w:rsid w:val="007148D3"/>
    <w:rsid w:val="00715B9A"/>
    <w:rsid w:val="00726EA6"/>
    <w:rsid w:val="00727208"/>
    <w:rsid w:val="00727680"/>
    <w:rsid w:val="007348B1"/>
    <w:rsid w:val="007362A6"/>
    <w:rsid w:val="00736D7D"/>
    <w:rsid w:val="007376BA"/>
    <w:rsid w:val="00740E58"/>
    <w:rsid w:val="007445A0"/>
    <w:rsid w:val="0074524B"/>
    <w:rsid w:val="00747D8B"/>
    <w:rsid w:val="00751228"/>
    <w:rsid w:val="007571E1"/>
    <w:rsid w:val="007604B2"/>
    <w:rsid w:val="0076216E"/>
    <w:rsid w:val="00765281"/>
    <w:rsid w:val="00766BAD"/>
    <w:rsid w:val="00770115"/>
    <w:rsid w:val="007730BD"/>
    <w:rsid w:val="007755F2"/>
    <w:rsid w:val="00776971"/>
    <w:rsid w:val="0078177E"/>
    <w:rsid w:val="0078304C"/>
    <w:rsid w:val="00783673"/>
    <w:rsid w:val="00785490"/>
    <w:rsid w:val="00791C2B"/>
    <w:rsid w:val="007925EA"/>
    <w:rsid w:val="00793CD8"/>
    <w:rsid w:val="00795C92"/>
    <w:rsid w:val="00796231"/>
    <w:rsid w:val="007A1CB3"/>
    <w:rsid w:val="007A306F"/>
    <w:rsid w:val="007A4140"/>
    <w:rsid w:val="007A43A6"/>
    <w:rsid w:val="007A58A6"/>
    <w:rsid w:val="007A7319"/>
    <w:rsid w:val="007B3D2D"/>
    <w:rsid w:val="007B50AE"/>
    <w:rsid w:val="007B51DF"/>
    <w:rsid w:val="007B53CB"/>
    <w:rsid w:val="007B68FC"/>
    <w:rsid w:val="007C05DD"/>
    <w:rsid w:val="007C3D18"/>
    <w:rsid w:val="007C60BF"/>
    <w:rsid w:val="007C6A07"/>
    <w:rsid w:val="007C75A1"/>
    <w:rsid w:val="007C77A5"/>
    <w:rsid w:val="007D04E5"/>
    <w:rsid w:val="007D5901"/>
    <w:rsid w:val="007D7176"/>
    <w:rsid w:val="007D7526"/>
    <w:rsid w:val="007E0B8F"/>
    <w:rsid w:val="007E4610"/>
    <w:rsid w:val="007E4715"/>
    <w:rsid w:val="007E505B"/>
    <w:rsid w:val="007E7091"/>
    <w:rsid w:val="007F542B"/>
    <w:rsid w:val="00803FAE"/>
    <w:rsid w:val="0080605F"/>
    <w:rsid w:val="00807786"/>
    <w:rsid w:val="00811FCB"/>
    <w:rsid w:val="008142E6"/>
    <w:rsid w:val="008158D6"/>
    <w:rsid w:val="00817196"/>
    <w:rsid w:val="008235DB"/>
    <w:rsid w:val="00824AB4"/>
    <w:rsid w:val="00825C42"/>
    <w:rsid w:val="00825D25"/>
    <w:rsid w:val="00827D6F"/>
    <w:rsid w:val="008376AC"/>
    <w:rsid w:val="00841F37"/>
    <w:rsid w:val="008444E8"/>
    <w:rsid w:val="00844E80"/>
    <w:rsid w:val="00846FE7"/>
    <w:rsid w:val="008515CE"/>
    <w:rsid w:val="00851EEF"/>
    <w:rsid w:val="00854F97"/>
    <w:rsid w:val="00855191"/>
    <w:rsid w:val="00856911"/>
    <w:rsid w:val="008600A3"/>
    <w:rsid w:val="008677FD"/>
    <w:rsid w:val="008706D4"/>
    <w:rsid w:val="00870F8A"/>
    <w:rsid w:val="008719A4"/>
    <w:rsid w:val="00871D23"/>
    <w:rsid w:val="00874312"/>
    <w:rsid w:val="0087437C"/>
    <w:rsid w:val="00875CD7"/>
    <w:rsid w:val="00876B4D"/>
    <w:rsid w:val="00877F18"/>
    <w:rsid w:val="00894A88"/>
    <w:rsid w:val="00895386"/>
    <w:rsid w:val="008A1F6E"/>
    <w:rsid w:val="008A21FF"/>
    <w:rsid w:val="008A2CE2"/>
    <w:rsid w:val="008A30AC"/>
    <w:rsid w:val="008A44B8"/>
    <w:rsid w:val="008A51A8"/>
    <w:rsid w:val="008A54C7"/>
    <w:rsid w:val="008A77D8"/>
    <w:rsid w:val="008B0483"/>
    <w:rsid w:val="008B120C"/>
    <w:rsid w:val="008B3C0A"/>
    <w:rsid w:val="008B51A0"/>
    <w:rsid w:val="008B592A"/>
    <w:rsid w:val="008B7B5C"/>
    <w:rsid w:val="008C0C99"/>
    <w:rsid w:val="008C2017"/>
    <w:rsid w:val="008C4958"/>
    <w:rsid w:val="008C4BAA"/>
    <w:rsid w:val="008C4F37"/>
    <w:rsid w:val="008C6AE8"/>
    <w:rsid w:val="008C7573"/>
    <w:rsid w:val="008D34F1"/>
    <w:rsid w:val="008D39D8"/>
    <w:rsid w:val="008D6D1A"/>
    <w:rsid w:val="008E065E"/>
    <w:rsid w:val="008E0927"/>
    <w:rsid w:val="008E1909"/>
    <w:rsid w:val="008E7D8C"/>
    <w:rsid w:val="008F1EAB"/>
    <w:rsid w:val="008F33DC"/>
    <w:rsid w:val="008F477F"/>
    <w:rsid w:val="008F787E"/>
    <w:rsid w:val="00902350"/>
    <w:rsid w:val="0090336B"/>
    <w:rsid w:val="009053AA"/>
    <w:rsid w:val="00906939"/>
    <w:rsid w:val="00910B7D"/>
    <w:rsid w:val="00911DFB"/>
    <w:rsid w:val="009139D9"/>
    <w:rsid w:val="00914AD8"/>
    <w:rsid w:val="00914DB8"/>
    <w:rsid w:val="00916079"/>
    <w:rsid w:val="00917CE9"/>
    <w:rsid w:val="00920BF2"/>
    <w:rsid w:val="00922010"/>
    <w:rsid w:val="009244E1"/>
    <w:rsid w:val="00931BD9"/>
    <w:rsid w:val="009368F3"/>
    <w:rsid w:val="00941636"/>
    <w:rsid w:val="00941A47"/>
    <w:rsid w:val="00943742"/>
    <w:rsid w:val="00945C05"/>
    <w:rsid w:val="00946945"/>
    <w:rsid w:val="00947713"/>
    <w:rsid w:val="00950DE7"/>
    <w:rsid w:val="00953920"/>
    <w:rsid w:val="00953D47"/>
    <w:rsid w:val="0095681E"/>
    <w:rsid w:val="009572D4"/>
    <w:rsid w:val="00961921"/>
    <w:rsid w:val="009620B3"/>
    <w:rsid w:val="009637D9"/>
    <w:rsid w:val="0096430A"/>
    <w:rsid w:val="0096554B"/>
    <w:rsid w:val="0096584A"/>
    <w:rsid w:val="00971F08"/>
    <w:rsid w:val="0097603D"/>
    <w:rsid w:val="00976949"/>
    <w:rsid w:val="00980477"/>
    <w:rsid w:val="00984FE3"/>
    <w:rsid w:val="00985253"/>
    <w:rsid w:val="0098529D"/>
    <w:rsid w:val="009853B3"/>
    <w:rsid w:val="00985C4C"/>
    <w:rsid w:val="00990630"/>
    <w:rsid w:val="00991761"/>
    <w:rsid w:val="009932F0"/>
    <w:rsid w:val="00994DCA"/>
    <w:rsid w:val="009960EC"/>
    <w:rsid w:val="009970DD"/>
    <w:rsid w:val="009A0FBA"/>
    <w:rsid w:val="009A1601"/>
    <w:rsid w:val="009A462D"/>
    <w:rsid w:val="009A5CBA"/>
    <w:rsid w:val="009A7274"/>
    <w:rsid w:val="009B1F30"/>
    <w:rsid w:val="009B2394"/>
    <w:rsid w:val="009B3AC2"/>
    <w:rsid w:val="009B4DF4"/>
    <w:rsid w:val="009B564E"/>
    <w:rsid w:val="009B7E87"/>
    <w:rsid w:val="009C0B57"/>
    <w:rsid w:val="009C1C59"/>
    <w:rsid w:val="009C1E96"/>
    <w:rsid w:val="009C403E"/>
    <w:rsid w:val="009D4FF0"/>
    <w:rsid w:val="009D703C"/>
    <w:rsid w:val="009D718F"/>
    <w:rsid w:val="009E068F"/>
    <w:rsid w:val="009E1070"/>
    <w:rsid w:val="009E14E0"/>
    <w:rsid w:val="009E35DB"/>
    <w:rsid w:val="009E47A3"/>
    <w:rsid w:val="009F08F3"/>
    <w:rsid w:val="009F113F"/>
    <w:rsid w:val="009F344F"/>
    <w:rsid w:val="00A01B7D"/>
    <w:rsid w:val="00A048A8"/>
    <w:rsid w:val="00A04F49"/>
    <w:rsid w:val="00A07393"/>
    <w:rsid w:val="00A116DF"/>
    <w:rsid w:val="00A13E54"/>
    <w:rsid w:val="00A17F63"/>
    <w:rsid w:val="00A2052C"/>
    <w:rsid w:val="00A2193B"/>
    <w:rsid w:val="00A2351A"/>
    <w:rsid w:val="00A25529"/>
    <w:rsid w:val="00A264A9"/>
    <w:rsid w:val="00A27785"/>
    <w:rsid w:val="00A30187"/>
    <w:rsid w:val="00A3448A"/>
    <w:rsid w:val="00A36297"/>
    <w:rsid w:val="00A41E2B"/>
    <w:rsid w:val="00A45B74"/>
    <w:rsid w:val="00A47E0C"/>
    <w:rsid w:val="00A52E1D"/>
    <w:rsid w:val="00A55B7E"/>
    <w:rsid w:val="00A56357"/>
    <w:rsid w:val="00A608CC"/>
    <w:rsid w:val="00A61499"/>
    <w:rsid w:val="00A62A77"/>
    <w:rsid w:val="00A63483"/>
    <w:rsid w:val="00A657D7"/>
    <w:rsid w:val="00A660AC"/>
    <w:rsid w:val="00A66E8D"/>
    <w:rsid w:val="00A66F55"/>
    <w:rsid w:val="00A67E6C"/>
    <w:rsid w:val="00A71B99"/>
    <w:rsid w:val="00A739D0"/>
    <w:rsid w:val="00A761D4"/>
    <w:rsid w:val="00A77EC4"/>
    <w:rsid w:val="00A92879"/>
    <w:rsid w:val="00A9442A"/>
    <w:rsid w:val="00A95E9B"/>
    <w:rsid w:val="00AA016F"/>
    <w:rsid w:val="00AA1ED6"/>
    <w:rsid w:val="00AA267C"/>
    <w:rsid w:val="00AA51D6"/>
    <w:rsid w:val="00AB0BC8"/>
    <w:rsid w:val="00AB11CA"/>
    <w:rsid w:val="00AB14D9"/>
    <w:rsid w:val="00AB4AB8"/>
    <w:rsid w:val="00AB655E"/>
    <w:rsid w:val="00AC007F"/>
    <w:rsid w:val="00AC2ECD"/>
    <w:rsid w:val="00AC3119"/>
    <w:rsid w:val="00AC372C"/>
    <w:rsid w:val="00AC49FB"/>
    <w:rsid w:val="00AC5A10"/>
    <w:rsid w:val="00AD0AA3"/>
    <w:rsid w:val="00AD3F94"/>
    <w:rsid w:val="00AD4A5A"/>
    <w:rsid w:val="00AE27AC"/>
    <w:rsid w:val="00AE3743"/>
    <w:rsid w:val="00AE40E0"/>
    <w:rsid w:val="00AE4DBA"/>
    <w:rsid w:val="00AE4F07"/>
    <w:rsid w:val="00AE6BB5"/>
    <w:rsid w:val="00AF1C5D"/>
    <w:rsid w:val="00AF2C58"/>
    <w:rsid w:val="00AF42D7"/>
    <w:rsid w:val="00B006FE"/>
    <w:rsid w:val="00B007CB"/>
    <w:rsid w:val="00B02AA9"/>
    <w:rsid w:val="00B02FA3"/>
    <w:rsid w:val="00B05084"/>
    <w:rsid w:val="00B141A3"/>
    <w:rsid w:val="00B157F9"/>
    <w:rsid w:val="00B20256"/>
    <w:rsid w:val="00B20D09"/>
    <w:rsid w:val="00B20FC3"/>
    <w:rsid w:val="00B2763F"/>
    <w:rsid w:val="00B27AAC"/>
    <w:rsid w:val="00B30929"/>
    <w:rsid w:val="00B372AA"/>
    <w:rsid w:val="00B40445"/>
    <w:rsid w:val="00B41888"/>
    <w:rsid w:val="00B45A52"/>
    <w:rsid w:val="00B46175"/>
    <w:rsid w:val="00B5081A"/>
    <w:rsid w:val="00B519BD"/>
    <w:rsid w:val="00B569D7"/>
    <w:rsid w:val="00B6188F"/>
    <w:rsid w:val="00B664C7"/>
    <w:rsid w:val="00B739F6"/>
    <w:rsid w:val="00B754B5"/>
    <w:rsid w:val="00B761EB"/>
    <w:rsid w:val="00B81A6C"/>
    <w:rsid w:val="00B85DE5"/>
    <w:rsid w:val="00B90F73"/>
    <w:rsid w:val="00B93B59"/>
    <w:rsid w:val="00B9406A"/>
    <w:rsid w:val="00BA0F50"/>
    <w:rsid w:val="00BA2280"/>
    <w:rsid w:val="00BA2A08"/>
    <w:rsid w:val="00BA5234"/>
    <w:rsid w:val="00BA56D2"/>
    <w:rsid w:val="00BA5C25"/>
    <w:rsid w:val="00BA76E0"/>
    <w:rsid w:val="00BB2A25"/>
    <w:rsid w:val="00BB51E9"/>
    <w:rsid w:val="00BC0FDC"/>
    <w:rsid w:val="00BC3053"/>
    <w:rsid w:val="00BC4D2E"/>
    <w:rsid w:val="00BC4D88"/>
    <w:rsid w:val="00BD2189"/>
    <w:rsid w:val="00BD48AC"/>
    <w:rsid w:val="00BD5F1A"/>
    <w:rsid w:val="00BE1234"/>
    <w:rsid w:val="00BE2A3C"/>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5DC"/>
    <w:rsid w:val="00C14D4B"/>
    <w:rsid w:val="00C154BB"/>
    <w:rsid w:val="00C15E7E"/>
    <w:rsid w:val="00C24345"/>
    <w:rsid w:val="00C279B5"/>
    <w:rsid w:val="00C27C45"/>
    <w:rsid w:val="00C3719D"/>
    <w:rsid w:val="00C37CC4"/>
    <w:rsid w:val="00C54995"/>
    <w:rsid w:val="00C54D41"/>
    <w:rsid w:val="00C60783"/>
    <w:rsid w:val="00C64672"/>
    <w:rsid w:val="00C7051F"/>
    <w:rsid w:val="00C70697"/>
    <w:rsid w:val="00C72EF4"/>
    <w:rsid w:val="00C75D2F"/>
    <w:rsid w:val="00C767BE"/>
    <w:rsid w:val="00C76E3C"/>
    <w:rsid w:val="00C81568"/>
    <w:rsid w:val="00C9027A"/>
    <w:rsid w:val="00C9068E"/>
    <w:rsid w:val="00C93C4B"/>
    <w:rsid w:val="00C944AB"/>
    <w:rsid w:val="00C95B40"/>
    <w:rsid w:val="00CA1ED8"/>
    <w:rsid w:val="00CA6BF4"/>
    <w:rsid w:val="00CB1F63"/>
    <w:rsid w:val="00CB7170"/>
    <w:rsid w:val="00CC040E"/>
    <w:rsid w:val="00CC111F"/>
    <w:rsid w:val="00CC2011"/>
    <w:rsid w:val="00CC3EA0"/>
    <w:rsid w:val="00CC7B45"/>
    <w:rsid w:val="00CD1188"/>
    <w:rsid w:val="00CD2ED1"/>
    <w:rsid w:val="00CD337B"/>
    <w:rsid w:val="00CE0424"/>
    <w:rsid w:val="00CE197F"/>
    <w:rsid w:val="00CE7561"/>
    <w:rsid w:val="00CF1354"/>
    <w:rsid w:val="00CF2FF4"/>
    <w:rsid w:val="00CF3B1F"/>
    <w:rsid w:val="00CF3BF6"/>
    <w:rsid w:val="00CF625B"/>
    <w:rsid w:val="00CF687E"/>
    <w:rsid w:val="00D0349B"/>
    <w:rsid w:val="00D10249"/>
    <w:rsid w:val="00D115C3"/>
    <w:rsid w:val="00D11897"/>
    <w:rsid w:val="00D13135"/>
    <w:rsid w:val="00D1334F"/>
    <w:rsid w:val="00D13E4E"/>
    <w:rsid w:val="00D159F7"/>
    <w:rsid w:val="00D239A7"/>
    <w:rsid w:val="00D23F47"/>
    <w:rsid w:val="00D24067"/>
    <w:rsid w:val="00D36E71"/>
    <w:rsid w:val="00D37D87"/>
    <w:rsid w:val="00D40B33"/>
    <w:rsid w:val="00D4318F"/>
    <w:rsid w:val="00D438BF"/>
    <w:rsid w:val="00D440F8"/>
    <w:rsid w:val="00D50F97"/>
    <w:rsid w:val="00D546FF"/>
    <w:rsid w:val="00D55AD5"/>
    <w:rsid w:val="00D576CA"/>
    <w:rsid w:val="00D61AF5"/>
    <w:rsid w:val="00D652B5"/>
    <w:rsid w:val="00D66155"/>
    <w:rsid w:val="00D666C9"/>
    <w:rsid w:val="00D676DA"/>
    <w:rsid w:val="00D708B0"/>
    <w:rsid w:val="00D775A8"/>
    <w:rsid w:val="00D77B1D"/>
    <w:rsid w:val="00D8021F"/>
    <w:rsid w:val="00D80383"/>
    <w:rsid w:val="00D823C6"/>
    <w:rsid w:val="00D86CA3"/>
    <w:rsid w:val="00D871CE"/>
    <w:rsid w:val="00D9196D"/>
    <w:rsid w:val="00D92982"/>
    <w:rsid w:val="00D973D0"/>
    <w:rsid w:val="00DA243C"/>
    <w:rsid w:val="00DA305E"/>
    <w:rsid w:val="00DA5417"/>
    <w:rsid w:val="00DA56E8"/>
    <w:rsid w:val="00DB0A9F"/>
    <w:rsid w:val="00DB377D"/>
    <w:rsid w:val="00DC2D36"/>
    <w:rsid w:val="00DC53EF"/>
    <w:rsid w:val="00DD048E"/>
    <w:rsid w:val="00DD2B54"/>
    <w:rsid w:val="00DE5608"/>
    <w:rsid w:val="00DE58D0"/>
    <w:rsid w:val="00DE654F"/>
    <w:rsid w:val="00DF0B6E"/>
    <w:rsid w:val="00DF15E0"/>
    <w:rsid w:val="00DF37A0"/>
    <w:rsid w:val="00E00768"/>
    <w:rsid w:val="00E05CEE"/>
    <w:rsid w:val="00E110E7"/>
    <w:rsid w:val="00E11B20"/>
    <w:rsid w:val="00E17FA2"/>
    <w:rsid w:val="00E22330"/>
    <w:rsid w:val="00E258EF"/>
    <w:rsid w:val="00E30B5A"/>
    <w:rsid w:val="00E3123D"/>
    <w:rsid w:val="00E31461"/>
    <w:rsid w:val="00E31D14"/>
    <w:rsid w:val="00E31D43"/>
    <w:rsid w:val="00E32608"/>
    <w:rsid w:val="00E34188"/>
    <w:rsid w:val="00E34B6E"/>
    <w:rsid w:val="00E35559"/>
    <w:rsid w:val="00E3629A"/>
    <w:rsid w:val="00E3661C"/>
    <w:rsid w:val="00E3723A"/>
    <w:rsid w:val="00E37860"/>
    <w:rsid w:val="00E446F1"/>
    <w:rsid w:val="00E46886"/>
    <w:rsid w:val="00E47AEF"/>
    <w:rsid w:val="00E50A17"/>
    <w:rsid w:val="00E53B75"/>
    <w:rsid w:val="00E54E3B"/>
    <w:rsid w:val="00E57565"/>
    <w:rsid w:val="00E63838"/>
    <w:rsid w:val="00E64434"/>
    <w:rsid w:val="00E67C51"/>
    <w:rsid w:val="00E72EFC"/>
    <w:rsid w:val="00E758EC"/>
    <w:rsid w:val="00E8234C"/>
    <w:rsid w:val="00E83AA9"/>
    <w:rsid w:val="00E85928"/>
    <w:rsid w:val="00E87612"/>
    <w:rsid w:val="00E87822"/>
    <w:rsid w:val="00E90395"/>
    <w:rsid w:val="00E90E49"/>
    <w:rsid w:val="00E917F9"/>
    <w:rsid w:val="00E9269D"/>
    <w:rsid w:val="00E9291C"/>
    <w:rsid w:val="00E93FFE"/>
    <w:rsid w:val="00E94F8A"/>
    <w:rsid w:val="00EA7A41"/>
    <w:rsid w:val="00EB077B"/>
    <w:rsid w:val="00EB31C6"/>
    <w:rsid w:val="00EB4EA2"/>
    <w:rsid w:val="00EC27C6"/>
    <w:rsid w:val="00EC4207"/>
    <w:rsid w:val="00EC5653"/>
    <w:rsid w:val="00EC5C3A"/>
    <w:rsid w:val="00EC71CE"/>
    <w:rsid w:val="00ED1006"/>
    <w:rsid w:val="00EF1132"/>
    <w:rsid w:val="00EF18FE"/>
    <w:rsid w:val="00EF5787"/>
    <w:rsid w:val="00EF60D0"/>
    <w:rsid w:val="00F02BB1"/>
    <w:rsid w:val="00F0528D"/>
    <w:rsid w:val="00F0610B"/>
    <w:rsid w:val="00F06C67"/>
    <w:rsid w:val="00F06DFD"/>
    <w:rsid w:val="00F071D1"/>
    <w:rsid w:val="00F07533"/>
    <w:rsid w:val="00F10629"/>
    <w:rsid w:val="00F12351"/>
    <w:rsid w:val="00F15FA5"/>
    <w:rsid w:val="00F209B7"/>
    <w:rsid w:val="00F2376F"/>
    <w:rsid w:val="00F243D8"/>
    <w:rsid w:val="00F3054B"/>
    <w:rsid w:val="00F30828"/>
    <w:rsid w:val="00F313D6"/>
    <w:rsid w:val="00F31424"/>
    <w:rsid w:val="00F351BB"/>
    <w:rsid w:val="00F36AC9"/>
    <w:rsid w:val="00F40F0C"/>
    <w:rsid w:val="00F46ADB"/>
    <w:rsid w:val="00F4700D"/>
    <w:rsid w:val="00F4766C"/>
    <w:rsid w:val="00F507D1"/>
    <w:rsid w:val="00F519CE"/>
    <w:rsid w:val="00F51ADA"/>
    <w:rsid w:val="00F607C5"/>
    <w:rsid w:val="00F60DEA"/>
    <w:rsid w:val="00F6302A"/>
    <w:rsid w:val="00F64C2B"/>
    <w:rsid w:val="00F651BE"/>
    <w:rsid w:val="00F67F53"/>
    <w:rsid w:val="00F703BE"/>
    <w:rsid w:val="00F70966"/>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6FF4"/>
    <w:rsid w:val="00FB385D"/>
    <w:rsid w:val="00FB4C80"/>
    <w:rsid w:val="00FB6A6A"/>
    <w:rsid w:val="00FC7429"/>
    <w:rsid w:val="00FD07F6"/>
    <w:rsid w:val="00FD14DB"/>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4EFCE"/>
  <w15:chartTrackingRefBased/>
  <w15:docId w15:val="{B80890D0-582B-4535-A271-A4E2CE3A8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600A3"/>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8600A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aliases w:val="H2,h2,Head2A,2,UNDERRUBRIK 1-2,DO NOT USE_h2,h21,H2 Char,h2 Char,标题 2"/>
    <w:basedOn w:val="1"/>
    <w:next w:val="a0"/>
    <w:qFormat/>
    <w:rsid w:val="008600A3"/>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8600A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8600A3"/>
    <w:pPr>
      <w:numPr>
        <w:ilvl w:val="3"/>
      </w:numPr>
      <w:outlineLvl w:val="3"/>
    </w:pPr>
    <w:rPr>
      <w:sz w:val="24"/>
      <w:szCs w:val="24"/>
    </w:rPr>
  </w:style>
  <w:style w:type="paragraph" w:styleId="5">
    <w:name w:val="heading 5"/>
    <w:basedOn w:val="4"/>
    <w:next w:val="a0"/>
    <w:qFormat/>
    <w:rsid w:val="008600A3"/>
    <w:pPr>
      <w:numPr>
        <w:ilvl w:val="4"/>
      </w:numPr>
      <w:outlineLvl w:val="4"/>
    </w:pPr>
    <w:rPr>
      <w:sz w:val="22"/>
      <w:szCs w:val="22"/>
    </w:rPr>
  </w:style>
  <w:style w:type="paragraph" w:styleId="6">
    <w:name w:val="heading 6"/>
    <w:basedOn w:val="a0"/>
    <w:next w:val="a0"/>
    <w:qFormat/>
    <w:rsid w:val="008600A3"/>
    <w:pPr>
      <w:keepNext/>
      <w:keepLines/>
      <w:numPr>
        <w:ilvl w:val="5"/>
        <w:numId w:val="1"/>
      </w:numPr>
      <w:spacing w:before="120"/>
      <w:outlineLvl w:val="5"/>
    </w:pPr>
    <w:rPr>
      <w:rFonts w:cs="Arial"/>
    </w:rPr>
  </w:style>
  <w:style w:type="paragraph" w:styleId="7">
    <w:name w:val="heading 7"/>
    <w:basedOn w:val="a0"/>
    <w:next w:val="a0"/>
    <w:qFormat/>
    <w:rsid w:val="008600A3"/>
    <w:pPr>
      <w:keepNext/>
      <w:keepLines/>
      <w:numPr>
        <w:ilvl w:val="6"/>
        <w:numId w:val="1"/>
      </w:numPr>
      <w:spacing w:before="120"/>
      <w:outlineLvl w:val="6"/>
    </w:pPr>
    <w:rPr>
      <w:rFonts w:cs="Arial"/>
    </w:rPr>
  </w:style>
  <w:style w:type="paragraph" w:styleId="8">
    <w:name w:val="heading 8"/>
    <w:basedOn w:val="7"/>
    <w:next w:val="a0"/>
    <w:qFormat/>
    <w:rsid w:val="008600A3"/>
    <w:pPr>
      <w:numPr>
        <w:ilvl w:val="7"/>
      </w:numPr>
      <w:outlineLvl w:val="7"/>
    </w:pPr>
  </w:style>
  <w:style w:type="paragraph" w:styleId="9">
    <w:name w:val="heading 9"/>
    <w:basedOn w:val="8"/>
    <w:next w:val="a0"/>
    <w:qFormat/>
    <w:rsid w:val="008600A3"/>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8600A3"/>
    <w:pPr>
      <w:spacing w:before="180"/>
      <w:ind w:left="2693" w:hanging="2693"/>
    </w:pPr>
    <w:rPr>
      <w:b w:val="0"/>
      <w:bCs/>
    </w:rPr>
  </w:style>
  <w:style w:type="paragraph" w:styleId="10">
    <w:name w:val="toc 1"/>
    <w:aliases w:val="Observation TOC2"/>
    <w:uiPriority w:val="39"/>
    <w:rsid w:val="008600A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8600A3"/>
    <w:pPr>
      <w:keepNext/>
      <w:keepLines/>
      <w:spacing w:before="180"/>
      <w:jc w:val="center"/>
    </w:pPr>
  </w:style>
  <w:style w:type="paragraph" w:styleId="a4">
    <w:name w:val="caption"/>
    <w:basedOn w:val="a0"/>
    <w:next w:val="a0"/>
    <w:qFormat/>
    <w:rsid w:val="008600A3"/>
    <w:pPr>
      <w:spacing w:after="240"/>
      <w:jc w:val="center"/>
    </w:pPr>
    <w:rPr>
      <w:b/>
      <w:bCs/>
    </w:rPr>
  </w:style>
  <w:style w:type="paragraph" w:styleId="51">
    <w:name w:val="toc 5"/>
    <w:aliases w:val="Observation TOC"/>
    <w:basedOn w:val="41"/>
    <w:semiHidden/>
    <w:rsid w:val="008600A3"/>
    <w:pPr>
      <w:tabs>
        <w:tab w:val="right" w:pos="1701"/>
      </w:tabs>
      <w:ind w:left="1701" w:hanging="1701"/>
    </w:pPr>
  </w:style>
  <w:style w:type="paragraph" w:styleId="41">
    <w:name w:val="toc 4"/>
    <w:basedOn w:val="31"/>
    <w:semiHidden/>
    <w:rsid w:val="008600A3"/>
    <w:pPr>
      <w:ind w:left="1418" w:hanging="1418"/>
    </w:pPr>
  </w:style>
  <w:style w:type="paragraph" w:styleId="31">
    <w:name w:val="toc 3"/>
    <w:basedOn w:val="21"/>
    <w:semiHidden/>
    <w:rsid w:val="008600A3"/>
    <w:pPr>
      <w:ind w:left="1134" w:hanging="1134"/>
    </w:pPr>
  </w:style>
  <w:style w:type="paragraph" w:styleId="21">
    <w:name w:val="toc 2"/>
    <w:basedOn w:val="10"/>
    <w:semiHidden/>
    <w:rsid w:val="008600A3"/>
    <w:pPr>
      <w:keepNext w:val="0"/>
      <w:spacing w:before="0"/>
      <w:ind w:left="851" w:hanging="851"/>
    </w:pPr>
    <w:rPr>
      <w:szCs w:val="20"/>
    </w:rPr>
  </w:style>
  <w:style w:type="paragraph" w:styleId="22">
    <w:name w:val="index 2"/>
    <w:basedOn w:val="11"/>
    <w:semiHidden/>
    <w:rsid w:val="008600A3"/>
    <w:pPr>
      <w:ind w:left="284"/>
    </w:pPr>
  </w:style>
  <w:style w:type="paragraph" w:styleId="11">
    <w:name w:val="index 1"/>
    <w:basedOn w:val="a0"/>
    <w:semiHidden/>
    <w:rsid w:val="008600A3"/>
    <w:pPr>
      <w:keepLines/>
      <w:spacing w:after="0"/>
    </w:pPr>
  </w:style>
  <w:style w:type="paragraph" w:styleId="a5">
    <w:name w:val="Document Map"/>
    <w:basedOn w:val="a0"/>
    <w:semiHidden/>
    <w:rsid w:val="008600A3"/>
    <w:pPr>
      <w:shd w:val="clear" w:color="auto" w:fill="000080"/>
    </w:pPr>
    <w:rPr>
      <w:rFonts w:ascii="Tahoma" w:hAnsi="Tahoma" w:cs="Tahoma"/>
    </w:rPr>
  </w:style>
  <w:style w:type="paragraph" w:styleId="23">
    <w:name w:val="List Number 2"/>
    <w:basedOn w:val="a6"/>
    <w:rsid w:val="008600A3"/>
    <w:pPr>
      <w:ind w:left="851"/>
    </w:pPr>
  </w:style>
  <w:style w:type="paragraph" w:styleId="a6">
    <w:name w:val="List Number"/>
    <w:basedOn w:val="a7"/>
    <w:rsid w:val="008600A3"/>
  </w:style>
  <w:style w:type="paragraph" w:styleId="a7">
    <w:name w:val="List"/>
    <w:basedOn w:val="a0"/>
    <w:rsid w:val="008600A3"/>
    <w:pPr>
      <w:ind w:left="568" w:hanging="284"/>
    </w:pPr>
  </w:style>
  <w:style w:type="paragraph" w:styleId="a8">
    <w:name w:val="header"/>
    <w:rsid w:val="008600A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8600A3"/>
    <w:rPr>
      <w:b/>
      <w:bCs/>
      <w:position w:val="6"/>
      <w:sz w:val="16"/>
      <w:szCs w:val="16"/>
    </w:rPr>
  </w:style>
  <w:style w:type="paragraph" w:styleId="aa">
    <w:name w:val="footnote text"/>
    <w:basedOn w:val="a0"/>
    <w:semiHidden/>
    <w:rsid w:val="008600A3"/>
    <w:pPr>
      <w:keepLines/>
      <w:spacing w:after="0"/>
      <w:ind w:left="454" w:hanging="454"/>
    </w:pPr>
    <w:rPr>
      <w:sz w:val="16"/>
      <w:szCs w:val="16"/>
    </w:rPr>
  </w:style>
  <w:style w:type="paragraph" w:customStyle="1" w:styleId="3GPPHeader">
    <w:name w:val="3GPP_Header"/>
    <w:basedOn w:val="a0"/>
    <w:rsid w:val="008600A3"/>
    <w:pPr>
      <w:tabs>
        <w:tab w:val="left" w:pos="1701"/>
        <w:tab w:val="right" w:pos="9639"/>
      </w:tabs>
      <w:spacing w:after="240"/>
    </w:pPr>
    <w:rPr>
      <w:b/>
      <w:sz w:val="24"/>
    </w:rPr>
  </w:style>
  <w:style w:type="paragraph" w:styleId="90">
    <w:name w:val="toc 9"/>
    <w:basedOn w:val="80"/>
    <w:semiHidden/>
    <w:rsid w:val="008600A3"/>
    <w:pPr>
      <w:ind w:left="1418" w:hanging="1418"/>
    </w:pPr>
  </w:style>
  <w:style w:type="paragraph" w:styleId="60">
    <w:name w:val="toc 6"/>
    <w:basedOn w:val="51"/>
    <w:next w:val="a0"/>
    <w:semiHidden/>
    <w:rsid w:val="008600A3"/>
    <w:pPr>
      <w:ind w:left="1985" w:hanging="1985"/>
    </w:pPr>
  </w:style>
  <w:style w:type="paragraph" w:styleId="70">
    <w:name w:val="toc 7"/>
    <w:basedOn w:val="60"/>
    <w:next w:val="a0"/>
    <w:semiHidden/>
    <w:rsid w:val="008600A3"/>
    <w:pPr>
      <w:ind w:left="2268" w:hanging="2268"/>
    </w:pPr>
  </w:style>
  <w:style w:type="paragraph" w:styleId="20">
    <w:name w:val="List Bullet 2"/>
    <w:basedOn w:val="a"/>
    <w:rsid w:val="008600A3"/>
    <w:pPr>
      <w:numPr>
        <w:numId w:val="6"/>
      </w:numPr>
    </w:pPr>
  </w:style>
  <w:style w:type="paragraph" w:styleId="a">
    <w:name w:val="List Bullet"/>
    <w:basedOn w:val="ab"/>
    <w:rsid w:val="008600A3"/>
    <w:pPr>
      <w:numPr>
        <w:numId w:val="5"/>
      </w:numPr>
    </w:pPr>
  </w:style>
  <w:style w:type="paragraph" w:styleId="30">
    <w:name w:val="List Bullet 3"/>
    <w:basedOn w:val="20"/>
    <w:rsid w:val="008600A3"/>
    <w:pPr>
      <w:numPr>
        <w:numId w:val="7"/>
      </w:numPr>
    </w:pPr>
  </w:style>
  <w:style w:type="paragraph" w:customStyle="1" w:styleId="EQ">
    <w:name w:val="EQ"/>
    <w:basedOn w:val="a0"/>
    <w:next w:val="a0"/>
    <w:rsid w:val="008600A3"/>
    <w:pPr>
      <w:keepLines/>
      <w:tabs>
        <w:tab w:val="center" w:pos="4536"/>
        <w:tab w:val="right" w:pos="9072"/>
      </w:tabs>
      <w:spacing w:after="180"/>
      <w:jc w:val="left"/>
    </w:pPr>
    <w:rPr>
      <w:noProof/>
      <w:lang w:eastAsia="en-US"/>
    </w:rPr>
  </w:style>
  <w:style w:type="paragraph" w:styleId="24">
    <w:name w:val="List 2"/>
    <w:basedOn w:val="a7"/>
    <w:rsid w:val="008600A3"/>
    <w:pPr>
      <w:ind w:left="851"/>
    </w:pPr>
  </w:style>
  <w:style w:type="paragraph" w:styleId="32">
    <w:name w:val="List 3"/>
    <w:basedOn w:val="24"/>
    <w:rsid w:val="008600A3"/>
    <w:pPr>
      <w:ind w:left="1135"/>
    </w:pPr>
  </w:style>
  <w:style w:type="paragraph" w:styleId="42">
    <w:name w:val="List 4"/>
    <w:basedOn w:val="32"/>
    <w:rsid w:val="008600A3"/>
    <w:pPr>
      <w:ind w:left="1418"/>
    </w:pPr>
  </w:style>
  <w:style w:type="paragraph" w:styleId="52">
    <w:name w:val="List 5"/>
    <w:basedOn w:val="42"/>
    <w:rsid w:val="008600A3"/>
    <w:pPr>
      <w:ind w:left="1702"/>
    </w:pPr>
  </w:style>
  <w:style w:type="paragraph" w:customStyle="1" w:styleId="EditorsNote">
    <w:name w:val="Editor's Note"/>
    <w:basedOn w:val="a0"/>
    <w:rsid w:val="008600A3"/>
    <w:pPr>
      <w:keepLines/>
      <w:spacing w:after="180"/>
      <w:ind w:left="1135" w:hanging="851"/>
      <w:jc w:val="left"/>
    </w:pPr>
    <w:rPr>
      <w:color w:val="FF0000"/>
      <w:lang w:eastAsia="en-US"/>
    </w:rPr>
  </w:style>
  <w:style w:type="paragraph" w:styleId="40">
    <w:name w:val="List Bullet 4"/>
    <w:basedOn w:val="30"/>
    <w:rsid w:val="008600A3"/>
    <w:pPr>
      <w:numPr>
        <w:numId w:val="8"/>
      </w:numPr>
    </w:pPr>
  </w:style>
  <w:style w:type="paragraph" w:styleId="50">
    <w:name w:val="List Bullet 5"/>
    <w:basedOn w:val="40"/>
    <w:rsid w:val="008600A3"/>
    <w:pPr>
      <w:numPr>
        <w:numId w:val="4"/>
      </w:numPr>
    </w:pPr>
  </w:style>
  <w:style w:type="paragraph" w:styleId="ac">
    <w:name w:val="footer"/>
    <w:basedOn w:val="a8"/>
    <w:semiHidden/>
    <w:rsid w:val="008600A3"/>
    <w:pPr>
      <w:jc w:val="center"/>
    </w:pPr>
    <w:rPr>
      <w:i/>
      <w:iCs/>
    </w:rPr>
  </w:style>
  <w:style w:type="paragraph" w:customStyle="1" w:styleId="Reference">
    <w:name w:val="Reference"/>
    <w:basedOn w:val="a0"/>
    <w:link w:val="ReferenceChar"/>
    <w:qFormat/>
    <w:rsid w:val="008600A3"/>
    <w:pPr>
      <w:numPr>
        <w:numId w:val="2"/>
      </w:numPr>
    </w:pPr>
  </w:style>
  <w:style w:type="paragraph" w:styleId="ad">
    <w:name w:val="Balloon Text"/>
    <w:basedOn w:val="a0"/>
    <w:semiHidden/>
    <w:rsid w:val="008600A3"/>
    <w:rPr>
      <w:rFonts w:ascii="Tahoma" w:hAnsi="Tahoma" w:cs="Tahoma"/>
      <w:sz w:val="16"/>
      <w:szCs w:val="16"/>
    </w:rPr>
  </w:style>
  <w:style w:type="character" w:styleId="ae">
    <w:name w:val="page number"/>
    <w:basedOn w:val="a1"/>
    <w:semiHidden/>
    <w:rsid w:val="008600A3"/>
  </w:style>
  <w:style w:type="paragraph" w:styleId="ab">
    <w:name w:val="Body Text"/>
    <w:basedOn w:val="a0"/>
    <w:link w:val="Char"/>
    <w:rsid w:val="008600A3"/>
  </w:style>
  <w:style w:type="character" w:styleId="af">
    <w:name w:val="Hyperlink"/>
    <w:uiPriority w:val="99"/>
    <w:rsid w:val="008600A3"/>
    <w:rPr>
      <w:color w:val="0000FF"/>
      <w:u w:val="single"/>
      <w:lang w:val="en-GB"/>
    </w:rPr>
  </w:style>
  <w:style w:type="character" w:styleId="af0">
    <w:name w:val="FollowedHyperlink"/>
    <w:semiHidden/>
    <w:rsid w:val="008600A3"/>
    <w:rPr>
      <w:color w:val="FF0000"/>
      <w:u w:val="single"/>
    </w:rPr>
  </w:style>
  <w:style w:type="character" w:styleId="af1">
    <w:name w:val="annotation reference"/>
    <w:semiHidden/>
    <w:rsid w:val="008600A3"/>
    <w:rPr>
      <w:sz w:val="16"/>
      <w:szCs w:val="16"/>
    </w:rPr>
  </w:style>
  <w:style w:type="paragraph" w:styleId="af2">
    <w:name w:val="annotation text"/>
    <w:basedOn w:val="a0"/>
    <w:semiHidden/>
    <w:rsid w:val="008600A3"/>
  </w:style>
  <w:style w:type="paragraph" w:styleId="af3">
    <w:name w:val="annotation subject"/>
    <w:basedOn w:val="af2"/>
    <w:next w:val="af2"/>
    <w:semiHidden/>
    <w:rsid w:val="008600A3"/>
    <w:rPr>
      <w:b/>
      <w:bCs/>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8600A3"/>
    <w:rPr>
      <w:rFonts w:ascii="Arial" w:hAnsi="Arial" w:cs="Arial"/>
      <w:sz w:val="36"/>
      <w:szCs w:val="36"/>
      <w:lang w:val="en-GB" w:eastAsia="zh-CN"/>
    </w:rPr>
  </w:style>
  <w:style w:type="paragraph" w:customStyle="1" w:styleId="B1">
    <w:name w:val="B1"/>
    <w:basedOn w:val="a7"/>
    <w:rsid w:val="008600A3"/>
    <w:pPr>
      <w:spacing w:after="180"/>
      <w:jc w:val="left"/>
    </w:pPr>
    <w:rPr>
      <w:lang w:eastAsia="en-US"/>
    </w:rPr>
  </w:style>
  <w:style w:type="paragraph" w:customStyle="1" w:styleId="B2">
    <w:name w:val="B2"/>
    <w:basedOn w:val="24"/>
    <w:rsid w:val="008600A3"/>
    <w:pPr>
      <w:spacing w:after="180"/>
      <w:jc w:val="left"/>
    </w:pPr>
    <w:rPr>
      <w:lang w:eastAsia="en-US"/>
    </w:rPr>
  </w:style>
  <w:style w:type="paragraph" w:customStyle="1" w:styleId="B3">
    <w:name w:val="B3"/>
    <w:basedOn w:val="32"/>
    <w:rsid w:val="008600A3"/>
    <w:pPr>
      <w:spacing w:after="180"/>
      <w:jc w:val="left"/>
    </w:pPr>
    <w:rPr>
      <w:lang w:eastAsia="en-US"/>
    </w:rPr>
  </w:style>
  <w:style w:type="paragraph" w:customStyle="1" w:styleId="B4">
    <w:name w:val="B4"/>
    <w:basedOn w:val="42"/>
    <w:rsid w:val="008600A3"/>
    <w:pPr>
      <w:spacing w:after="180"/>
      <w:jc w:val="left"/>
    </w:pPr>
    <w:rPr>
      <w:lang w:eastAsia="en-US"/>
    </w:rPr>
  </w:style>
  <w:style w:type="paragraph" w:customStyle="1" w:styleId="Proposal">
    <w:name w:val="Proposal"/>
    <w:basedOn w:val="a0"/>
    <w:rsid w:val="008600A3"/>
    <w:pPr>
      <w:numPr>
        <w:numId w:val="3"/>
      </w:numPr>
      <w:tabs>
        <w:tab w:val="left" w:pos="1701"/>
      </w:tabs>
    </w:pPr>
    <w:rPr>
      <w:b/>
      <w:bCs/>
    </w:rPr>
  </w:style>
  <w:style w:type="character" w:customStyle="1" w:styleId="Char">
    <w:name w:val="본문 Char"/>
    <w:link w:val="ab"/>
    <w:rsid w:val="008600A3"/>
    <w:rPr>
      <w:rFonts w:ascii="Arial" w:hAnsi="Arial"/>
      <w:lang w:val="en-GB" w:eastAsia="zh-CN"/>
    </w:rPr>
  </w:style>
  <w:style w:type="paragraph" w:customStyle="1" w:styleId="B5">
    <w:name w:val="B5"/>
    <w:basedOn w:val="52"/>
    <w:rsid w:val="008600A3"/>
    <w:pPr>
      <w:spacing w:after="180"/>
      <w:jc w:val="left"/>
    </w:pPr>
    <w:rPr>
      <w:lang w:eastAsia="en-US"/>
    </w:rPr>
  </w:style>
  <w:style w:type="paragraph" w:customStyle="1" w:styleId="EX">
    <w:name w:val="EX"/>
    <w:basedOn w:val="a0"/>
    <w:rsid w:val="008600A3"/>
    <w:pPr>
      <w:keepLines/>
      <w:spacing w:after="180"/>
      <w:ind w:left="1702" w:hanging="1418"/>
      <w:jc w:val="left"/>
    </w:pPr>
    <w:rPr>
      <w:lang w:eastAsia="en-US"/>
    </w:rPr>
  </w:style>
  <w:style w:type="paragraph" w:customStyle="1" w:styleId="EW">
    <w:name w:val="EW"/>
    <w:basedOn w:val="EX"/>
    <w:rsid w:val="008600A3"/>
    <w:pPr>
      <w:spacing w:after="0"/>
    </w:pPr>
  </w:style>
  <w:style w:type="paragraph" w:customStyle="1" w:styleId="TAL">
    <w:name w:val="TAL"/>
    <w:basedOn w:val="a0"/>
    <w:rsid w:val="008600A3"/>
    <w:pPr>
      <w:keepNext/>
      <w:keepLines/>
      <w:spacing w:after="0"/>
      <w:jc w:val="left"/>
    </w:pPr>
    <w:rPr>
      <w:sz w:val="18"/>
      <w:lang w:eastAsia="en-US"/>
    </w:rPr>
  </w:style>
  <w:style w:type="paragraph" w:customStyle="1" w:styleId="TAC">
    <w:name w:val="TAC"/>
    <w:basedOn w:val="TAL"/>
    <w:rsid w:val="008600A3"/>
    <w:pPr>
      <w:jc w:val="center"/>
    </w:pPr>
  </w:style>
  <w:style w:type="paragraph" w:customStyle="1" w:styleId="TAH">
    <w:name w:val="TAH"/>
    <w:basedOn w:val="TAC"/>
    <w:rsid w:val="008600A3"/>
    <w:rPr>
      <w:b/>
    </w:rPr>
  </w:style>
  <w:style w:type="paragraph" w:customStyle="1" w:styleId="TAN">
    <w:name w:val="TAN"/>
    <w:basedOn w:val="TAL"/>
    <w:rsid w:val="008600A3"/>
    <w:pPr>
      <w:ind w:left="851" w:hanging="851"/>
    </w:pPr>
  </w:style>
  <w:style w:type="paragraph" w:customStyle="1" w:styleId="TAR">
    <w:name w:val="TAR"/>
    <w:basedOn w:val="TAL"/>
    <w:rsid w:val="008600A3"/>
    <w:pPr>
      <w:jc w:val="right"/>
    </w:pPr>
  </w:style>
  <w:style w:type="paragraph" w:customStyle="1" w:styleId="TH">
    <w:name w:val="TH"/>
    <w:basedOn w:val="a0"/>
    <w:rsid w:val="008600A3"/>
    <w:pPr>
      <w:keepNext/>
      <w:keepLines/>
      <w:spacing w:before="60" w:after="180"/>
      <w:jc w:val="center"/>
    </w:pPr>
    <w:rPr>
      <w:b/>
      <w:lang w:eastAsia="en-US"/>
    </w:rPr>
  </w:style>
  <w:style w:type="paragraph" w:customStyle="1" w:styleId="TF">
    <w:name w:val="TF"/>
    <w:basedOn w:val="TH"/>
    <w:rsid w:val="008600A3"/>
    <w:pPr>
      <w:keepNext w:val="0"/>
      <w:spacing w:before="0" w:after="240"/>
    </w:pPr>
  </w:style>
  <w:style w:type="paragraph" w:customStyle="1" w:styleId="TT">
    <w:name w:val="TT"/>
    <w:basedOn w:val="1"/>
    <w:next w:val="a0"/>
    <w:rsid w:val="008600A3"/>
    <w:pPr>
      <w:numPr>
        <w:numId w:val="0"/>
      </w:numPr>
      <w:ind w:left="1134" w:hanging="1134"/>
      <w:outlineLvl w:val="9"/>
    </w:pPr>
    <w:rPr>
      <w:rFonts w:cs="Times New Roman"/>
      <w:szCs w:val="20"/>
      <w:lang w:eastAsia="en-US"/>
    </w:rPr>
  </w:style>
  <w:style w:type="paragraph" w:customStyle="1" w:styleId="ZA">
    <w:name w:val="ZA"/>
    <w:rsid w:val="008600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600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600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600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600A3"/>
  </w:style>
  <w:style w:type="paragraph" w:customStyle="1" w:styleId="ZH">
    <w:name w:val="ZH"/>
    <w:rsid w:val="008600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600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600A3"/>
    <w:pPr>
      <w:framePr w:hRule="auto" w:wrap="notBeside" w:y="852"/>
    </w:pPr>
    <w:rPr>
      <w:i w:val="0"/>
      <w:sz w:val="40"/>
    </w:rPr>
  </w:style>
  <w:style w:type="paragraph" w:customStyle="1" w:styleId="ZU">
    <w:name w:val="ZU"/>
    <w:rsid w:val="008600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600A3"/>
    <w:pPr>
      <w:framePr w:wrap="notBeside" w:y="16161"/>
    </w:pPr>
  </w:style>
  <w:style w:type="paragraph" w:customStyle="1" w:styleId="FP">
    <w:name w:val="FP"/>
    <w:basedOn w:val="a0"/>
    <w:rsid w:val="008600A3"/>
    <w:pPr>
      <w:spacing w:after="0"/>
      <w:jc w:val="left"/>
    </w:pPr>
    <w:rPr>
      <w:lang w:eastAsia="en-US"/>
    </w:rPr>
  </w:style>
  <w:style w:type="paragraph" w:customStyle="1" w:styleId="Observation">
    <w:name w:val="Observation"/>
    <w:basedOn w:val="Proposal"/>
    <w:qFormat/>
    <w:rsid w:val="008600A3"/>
    <w:pPr>
      <w:numPr>
        <w:numId w:val="9"/>
      </w:numPr>
    </w:pPr>
  </w:style>
  <w:style w:type="paragraph" w:styleId="af4">
    <w:name w:val="table of figures"/>
    <w:basedOn w:val="a0"/>
    <w:next w:val="a0"/>
    <w:uiPriority w:val="99"/>
    <w:rsid w:val="008600A3"/>
    <w:pPr>
      <w:ind w:left="1418" w:hanging="1418"/>
      <w:jc w:val="left"/>
    </w:pPr>
    <w:rPr>
      <w:b/>
    </w:rPr>
  </w:style>
  <w:style w:type="paragraph" w:customStyle="1" w:styleId="Doc-text2">
    <w:name w:val="Doc-text2"/>
    <w:basedOn w:val="a0"/>
    <w:link w:val="Doc-text2Char"/>
    <w:qFormat/>
    <w:rsid w:val="00860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600A3"/>
    <w:rPr>
      <w:rFonts w:ascii="Arial" w:eastAsia="MS Mincho" w:hAnsi="Arial"/>
      <w:szCs w:val="24"/>
      <w:lang w:val="en-GB" w:eastAsia="en-GB"/>
    </w:rPr>
  </w:style>
  <w:style w:type="character" w:customStyle="1" w:styleId="Char0">
    <w:name w:val="목록 단락 Char"/>
    <w:link w:val="af5"/>
    <w:uiPriority w:val="34"/>
    <w:locked/>
    <w:rsid w:val="00A56357"/>
    <w:rPr>
      <w:rFonts w:ascii="Times" w:eastAsia="바탕" w:hAnsi="Times" w:cs="Times"/>
      <w:szCs w:val="24"/>
      <w:lang w:val="en-GB"/>
    </w:rPr>
  </w:style>
  <w:style w:type="paragraph" w:styleId="af5">
    <w:name w:val="List Paragraph"/>
    <w:basedOn w:val="a0"/>
    <w:link w:val="Char0"/>
    <w:uiPriority w:val="34"/>
    <w:qFormat/>
    <w:rsid w:val="00A56357"/>
    <w:pPr>
      <w:overflowPunct/>
      <w:autoSpaceDE/>
      <w:autoSpaceDN/>
      <w:adjustRightInd/>
      <w:spacing w:after="0"/>
      <w:ind w:leftChars="400" w:left="840" w:hanging="1440"/>
      <w:jc w:val="left"/>
      <w:textAlignment w:val="auto"/>
    </w:pPr>
    <w:rPr>
      <w:rFonts w:ascii="Times" w:hAnsi="Times" w:cs="Times"/>
      <w:szCs w:val="24"/>
      <w:lang w:eastAsia="en-US"/>
    </w:rPr>
  </w:style>
  <w:style w:type="character" w:customStyle="1" w:styleId="IvDInstructiontextChar">
    <w:name w:val="IvD Instructiontext Char"/>
    <w:link w:val="IvDInstructiontext"/>
    <w:uiPriority w:val="99"/>
    <w:locked/>
    <w:rsid w:val="00F0610B"/>
    <w:rPr>
      <w:rFonts w:ascii="Arial" w:hAnsi="Arial" w:cs="Arial"/>
      <w:i/>
      <w:color w:val="7F7F7F" w:themeColor="text1" w:themeTint="80"/>
      <w:spacing w:val="2"/>
      <w:sz w:val="18"/>
      <w:szCs w:val="18"/>
    </w:rPr>
  </w:style>
  <w:style w:type="paragraph" w:customStyle="1" w:styleId="IvDInstructiontext">
    <w:name w:val="IvD Instructiontext"/>
    <w:basedOn w:val="ab"/>
    <w:link w:val="IvDInstructiontextChar"/>
    <w:uiPriority w:val="99"/>
    <w:qFormat/>
    <w:rsid w:val="00F0610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val="en-US" w:eastAsia="en-US"/>
    </w:rPr>
  </w:style>
  <w:style w:type="character" w:customStyle="1" w:styleId="IvDbodytextChar">
    <w:name w:val="IvD bodytext Char"/>
    <w:basedOn w:val="a1"/>
    <w:link w:val="IvDbodytext"/>
    <w:locked/>
    <w:rsid w:val="00F0610B"/>
    <w:rPr>
      <w:rFonts w:ascii="Arial" w:hAnsi="Arial" w:cs="Arial"/>
      <w:spacing w:val="2"/>
    </w:rPr>
  </w:style>
  <w:style w:type="paragraph" w:customStyle="1" w:styleId="IvDbodytext">
    <w:name w:val="IvD bodytext"/>
    <w:basedOn w:val="ab"/>
    <w:link w:val="IvDbodytextChar"/>
    <w:qFormat/>
    <w:rsid w:val="00F0610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eastAsia="en-US"/>
    </w:rPr>
  </w:style>
  <w:style w:type="paragraph" w:styleId="af6">
    <w:name w:val="Revision"/>
    <w:hidden/>
    <w:uiPriority w:val="99"/>
    <w:semiHidden/>
    <w:rsid w:val="00B519BD"/>
    <w:rPr>
      <w:rFonts w:ascii="Arial" w:hAnsi="Arial"/>
      <w:lang w:val="en-GB" w:eastAsia="zh-CN"/>
    </w:rPr>
  </w:style>
  <w:style w:type="paragraph" w:customStyle="1" w:styleId="TdocHeader2">
    <w:name w:val="Tdoc_Header_2"/>
    <w:basedOn w:val="a0"/>
    <w:rsid w:val="002C7218"/>
    <w:pPr>
      <w:widowControl w:val="0"/>
      <w:tabs>
        <w:tab w:val="left" w:pos="1701"/>
        <w:tab w:val="right" w:pos="9072"/>
        <w:tab w:val="right" w:pos="10206"/>
      </w:tabs>
      <w:overflowPunct/>
      <w:autoSpaceDE/>
      <w:autoSpaceDN/>
      <w:adjustRightInd/>
      <w:spacing w:after="0" w:line="259" w:lineRule="auto"/>
      <w:jc w:val="left"/>
      <w:textAlignment w:val="auto"/>
    </w:pPr>
    <w:rPr>
      <w:rFonts w:asciiTheme="minorHAnsi" w:hAnsiTheme="minorHAnsi" w:cstheme="minorBidi"/>
      <w:b/>
      <w:sz w:val="18"/>
      <w:szCs w:val="22"/>
      <w:lang w:val="en-US" w:eastAsia="en-US"/>
    </w:rPr>
  </w:style>
  <w:style w:type="character" w:customStyle="1" w:styleId="ReferenceChar">
    <w:name w:val="Reference Char"/>
    <w:link w:val="Reference"/>
    <w:rsid w:val="002C7218"/>
    <w:rPr>
      <w:rFonts w:ascii="Arial" w:hAnsi="Arial"/>
      <w:lang w:val="en-GB" w:eastAsia="zh-CN"/>
    </w:rPr>
  </w:style>
  <w:style w:type="paragraph" w:styleId="af7">
    <w:name w:val="Normal (Web)"/>
    <w:basedOn w:val="a0"/>
    <w:uiPriority w:val="99"/>
    <w:unhideWhenUsed/>
    <w:rsid w:val="00E3661C"/>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75729">
      <w:bodyDiv w:val="1"/>
      <w:marLeft w:val="0"/>
      <w:marRight w:val="0"/>
      <w:marTop w:val="0"/>
      <w:marBottom w:val="0"/>
      <w:divBdr>
        <w:top w:val="none" w:sz="0" w:space="0" w:color="auto"/>
        <w:left w:val="none" w:sz="0" w:space="0" w:color="auto"/>
        <w:bottom w:val="none" w:sz="0" w:space="0" w:color="auto"/>
        <w:right w:val="none" w:sz="0" w:space="0" w:color="auto"/>
      </w:divBdr>
    </w:div>
    <w:div w:id="57440261">
      <w:bodyDiv w:val="1"/>
      <w:marLeft w:val="0"/>
      <w:marRight w:val="0"/>
      <w:marTop w:val="0"/>
      <w:marBottom w:val="0"/>
      <w:divBdr>
        <w:top w:val="none" w:sz="0" w:space="0" w:color="auto"/>
        <w:left w:val="none" w:sz="0" w:space="0" w:color="auto"/>
        <w:bottom w:val="none" w:sz="0" w:space="0" w:color="auto"/>
        <w:right w:val="none" w:sz="0" w:space="0" w:color="auto"/>
      </w:divBdr>
    </w:div>
    <w:div w:id="103154277">
      <w:bodyDiv w:val="1"/>
      <w:marLeft w:val="0"/>
      <w:marRight w:val="0"/>
      <w:marTop w:val="0"/>
      <w:marBottom w:val="0"/>
      <w:divBdr>
        <w:top w:val="none" w:sz="0" w:space="0" w:color="auto"/>
        <w:left w:val="none" w:sz="0" w:space="0" w:color="auto"/>
        <w:bottom w:val="none" w:sz="0" w:space="0" w:color="auto"/>
        <w:right w:val="none" w:sz="0" w:space="0" w:color="auto"/>
      </w:divBdr>
    </w:div>
    <w:div w:id="245576108">
      <w:bodyDiv w:val="1"/>
      <w:marLeft w:val="0"/>
      <w:marRight w:val="0"/>
      <w:marTop w:val="0"/>
      <w:marBottom w:val="0"/>
      <w:divBdr>
        <w:top w:val="none" w:sz="0" w:space="0" w:color="auto"/>
        <w:left w:val="none" w:sz="0" w:space="0" w:color="auto"/>
        <w:bottom w:val="none" w:sz="0" w:space="0" w:color="auto"/>
        <w:right w:val="none" w:sz="0" w:space="0" w:color="auto"/>
      </w:divBdr>
    </w:div>
    <w:div w:id="797799270">
      <w:bodyDiv w:val="1"/>
      <w:marLeft w:val="0"/>
      <w:marRight w:val="0"/>
      <w:marTop w:val="0"/>
      <w:marBottom w:val="0"/>
      <w:divBdr>
        <w:top w:val="none" w:sz="0" w:space="0" w:color="auto"/>
        <w:left w:val="none" w:sz="0" w:space="0" w:color="auto"/>
        <w:bottom w:val="none" w:sz="0" w:space="0" w:color="auto"/>
        <w:right w:val="none" w:sz="0" w:space="0" w:color="auto"/>
      </w:divBdr>
      <w:divsChild>
        <w:div w:id="1647969592">
          <w:marLeft w:val="1973"/>
          <w:marRight w:val="0"/>
          <w:marTop w:val="67"/>
          <w:marBottom w:val="0"/>
          <w:divBdr>
            <w:top w:val="none" w:sz="0" w:space="0" w:color="auto"/>
            <w:left w:val="none" w:sz="0" w:space="0" w:color="auto"/>
            <w:bottom w:val="none" w:sz="0" w:space="0" w:color="auto"/>
            <w:right w:val="none" w:sz="0" w:space="0" w:color="auto"/>
          </w:divBdr>
        </w:div>
      </w:divsChild>
    </w:div>
    <w:div w:id="877085913">
      <w:bodyDiv w:val="1"/>
      <w:marLeft w:val="0"/>
      <w:marRight w:val="0"/>
      <w:marTop w:val="0"/>
      <w:marBottom w:val="0"/>
      <w:divBdr>
        <w:top w:val="none" w:sz="0" w:space="0" w:color="auto"/>
        <w:left w:val="none" w:sz="0" w:space="0" w:color="auto"/>
        <w:bottom w:val="none" w:sz="0" w:space="0" w:color="auto"/>
        <w:right w:val="none" w:sz="0" w:space="0" w:color="auto"/>
      </w:divBdr>
    </w:div>
    <w:div w:id="903837184">
      <w:bodyDiv w:val="1"/>
      <w:marLeft w:val="0"/>
      <w:marRight w:val="0"/>
      <w:marTop w:val="0"/>
      <w:marBottom w:val="0"/>
      <w:divBdr>
        <w:top w:val="none" w:sz="0" w:space="0" w:color="auto"/>
        <w:left w:val="none" w:sz="0" w:space="0" w:color="auto"/>
        <w:bottom w:val="none" w:sz="0" w:space="0" w:color="auto"/>
        <w:right w:val="none" w:sz="0" w:space="0" w:color="auto"/>
      </w:divBdr>
    </w:div>
    <w:div w:id="997807467">
      <w:bodyDiv w:val="1"/>
      <w:marLeft w:val="0"/>
      <w:marRight w:val="0"/>
      <w:marTop w:val="0"/>
      <w:marBottom w:val="0"/>
      <w:divBdr>
        <w:top w:val="none" w:sz="0" w:space="0" w:color="auto"/>
        <w:left w:val="none" w:sz="0" w:space="0" w:color="auto"/>
        <w:bottom w:val="none" w:sz="0" w:space="0" w:color="auto"/>
        <w:right w:val="none" w:sz="0" w:space="0" w:color="auto"/>
      </w:divBdr>
    </w:div>
    <w:div w:id="1097865539">
      <w:bodyDiv w:val="1"/>
      <w:marLeft w:val="0"/>
      <w:marRight w:val="0"/>
      <w:marTop w:val="0"/>
      <w:marBottom w:val="0"/>
      <w:divBdr>
        <w:top w:val="none" w:sz="0" w:space="0" w:color="auto"/>
        <w:left w:val="none" w:sz="0" w:space="0" w:color="auto"/>
        <w:bottom w:val="none" w:sz="0" w:space="0" w:color="auto"/>
        <w:right w:val="none" w:sz="0" w:space="0" w:color="auto"/>
      </w:divBdr>
    </w:div>
    <w:div w:id="1196700032">
      <w:bodyDiv w:val="1"/>
      <w:marLeft w:val="0"/>
      <w:marRight w:val="0"/>
      <w:marTop w:val="0"/>
      <w:marBottom w:val="0"/>
      <w:divBdr>
        <w:top w:val="none" w:sz="0" w:space="0" w:color="auto"/>
        <w:left w:val="none" w:sz="0" w:space="0" w:color="auto"/>
        <w:bottom w:val="none" w:sz="0" w:space="0" w:color="auto"/>
        <w:right w:val="none" w:sz="0" w:space="0" w:color="auto"/>
      </w:divBdr>
      <w:divsChild>
        <w:div w:id="2090615050">
          <w:marLeft w:val="274"/>
          <w:marRight w:val="0"/>
          <w:marTop w:val="77"/>
          <w:marBottom w:val="0"/>
          <w:divBdr>
            <w:top w:val="none" w:sz="0" w:space="0" w:color="auto"/>
            <w:left w:val="none" w:sz="0" w:space="0" w:color="auto"/>
            <w:bottom w:val="none" w:sz="0" w:space="0" w:color="auto"/>
            <w:right w:val="none" w:sz="0" w:space="0" w:color="auto"/>
          </w:divBdr>
        </w:div>
      </w:divsChild>
    </w:div>
    <w:div w:id="1200972987">
      <w:bodyDiv w:val="1"/>
      <w:marLeft w:val="0"/>
      <w:marRight w:val="0"/>
      <w:marTop w:val="0"/>
      <w:marBottom w:val="0"/>
      <w:divBdr>
        <w:top w:val="none" w:sz="0" w:space="0" w:color="auto"/>
        <w:left w:val="none" w:sz="0" w:space="0" w:color="auto"/>
        <w:bottom w:val="none" w:sz="0" w:space="0" w:color="auto"/>
        <w:right w:val="none" w:sz="0" w:space="0" w:color="auto"/>
      </w:divBdr>
      <w:divsChild>
        <w:div w:id="1040744128">
          <w:marLeft w:val="835"/>
          <w:marRight w:val="0"/>
          <w:marTop w:val="65"/>
          <w:marBottom w:val="0"/>
          <w:divBdr>
            <w:top w:val="none" w:sz="0" w:space="0" w:color="auto"/>
            <w:left w:val="none" w:sz="0" w:space="0" w:color="auto"/>
            <w:bottom w:val="none" w:sz="0" w:space="0" w:color="auto"/>
            <w:right w:val="none" w:sz="0" w:space="0" w:color="auto"/>
          </w:divBdr>
        </w:div>
      </w:divsChild>
    </w:div>
    <w:div w:id="1230262882">
      <w:bodyDiv w:val="1"/>
      <w:marLeft w:val="0"/>
      <w:marRight w:val="0"/>
      <w:marTop w:val="0"/>
      <w:marBottom w:val="0"/>
      <w:divBdr>
        <w:top w:val="none" w:sz="0" w:space="0" w:color="auto"/>
        <w:left w:val="none" w:sz="0" w:space="0" w:color="auto"/>
        <w:bottom w:val="none" w:sz="0" w:space="0" w:color="auto"/>
        <w:right w:val="none" w:sz="0" w:space="0" w:color="auto"/>
      </w:divBdr>
    </w:div>
    <w:div w:id="1316228345">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96708457">
      <w:bodyDiv w:val="1"/>
      <w:marLeft w:val="0"/>
      <w:marRight w:val="0"/>
      <w:marTop w:val="0"/>
      <w:marBottom w:val="0"/>
      <w:divBdr>
        <w:top w:val="none" w:sz="0" w:space="0" w:color="auto"/>
        <w:left w:val="none" w:sz="0" w:space="0" w:color="auto"/>
        <w:bottom w:val="none" w:sz="0" w:space="0" w:color="auto"/>
        <w:right w:val="none" w:sz="0" w:space="0" w:color="auto"/>
      </w:divBdr>
    </w:div>
    <w:div w:id="1551072728">
      <w:bodyDiv w:val="1"/>
      <w:marLeft w:val="0"/>
      <w:marRight w:val="0"/>
      <w:marTop w:val="0"/>
      <w:marBottom w:val="0"/>
      <w:divBdr>
        <w:top w:val="none" w:sz="0" w:space="0" w:color="auto"/>
        <w:left w:val="none" w:sz="0" w:space="0" w:color="auto"/>
        <w:bottom w:val="none" w:sz="0" w:space="0" w:color="auto"/>
        <w:right w:val="none" w:sz="0" w:space="0" w:color="auto"/>
      </w:divBdr>
    </w:div>
    <w:div w:id="1622415640">
      <w:bodyDiv w:val="1"/>
      <w:marLeft w:val="0"/>
      <w:marRight w:val="0"/>
      <w:marTop w:val="0"/>
      <w:marBottom w:val="0"/>
      <w:divBdr>
        <w:top w:val="none" w:sz="0" w:space="0" w:color="auto"/>
        <w:left w:val="none" w:sz="0" w:space="0" w:color="auto"/>
        <w:bottom w:val="none" w:sz="0" w:space="0" w:color="auto"/>
        <w:right w:val="none" w:sz="0" w:space="0" w:color="auto"/>
      </w:divBdr>
    </w:div>
    <w:div w:id="1667780888">
      <w:bodyDiv w:val="1"/>
      <w:marLeft w:val="0"/>
      <w:marRight w:val="0"/>
      <w:marTop w:val="0"/>
      <w:marBottom w:val="0"/>
      <w:divBdr>
        <w:top w:val="none" w:sz="0" w:space="0" w:color="auto"/>
        <w:left w:val="none" w:sz="0" w:space="0" w:color="auto"/>
        <w:bottom w:val="none" w:sz="0" w:space="0" w:color="auto"/>
        <w:right w:val="none" w:sz="0" w:space="0" w:color="auto"/>
      </w:divBdr>
      <w:divsChild>
        <w:div w:id="2103719385">
          <w:marLeft w:val="274"/>
          <w:marRight w:val="0"/>
          <w:marTop w:val="77"/>
          <w:marBottom w:val="0"/>
          <w:divBdr>
            <w:top w:val="none" w:sz="0" w:space="0" w:color="auto"/>
            <w:left w:val="none" w:sz="0" w:space="0" w:color="auto"/>
            <w:bottom w:val="none" w:sz="0" w:space="0" w:color="auto"/>
            <w:right w:val="none" w:sz="0" w:space="0" w:color="auto"/>
          </w:divBdr>
        </w:div>
      </w:divsChild>
    </w:div>
    <w:div w:id="1832064473">
      <w:bodyDiv w:val="1"/>
      <w:marLeft w:val="0"/>
      <w:marRight w:val="0"/>
      <w:marTop w:val="0"/>
      <w:marBottom w:val="0"/>
      <w:divBdr>
        <w:top w:val="none" w:sz="0" w:space="0" w:color="auto"/>
        <w:left w:val="none" w:sz="0" w:space="0" w:color="auto"/>
        <w:bottom w:val="none" w:sz="0" w:space="0" w:color="auto"/>
        <w:right w:val="none" w:sz="0" w:space="0" w:color="auto"/>
      </w:divBdr>
    </w:div>
    <w:div w:id="1883976023">
      <w:bodyDiv w:val="1"/>
      <w:marLeft w:val="0"/>
      <w:marRight w:val="0"/>
      <w:marTop w:val="0"/>
      <w:marBottom w:val="0"/>
      <w:divBdr>
        <w:top w:val="none" w:sz="0" w:space="0" w:color="auto"/>
        <w:left w:val="none" w:sz="0" w:space="0" w:color="auto"/>
        <w:bottom w:val="none" w:sz="0" w:space="0" w:color="auto"/>
        <w:right w:val="none" w:sz="0" w:space="0" w:color="auto"/>
      </w:divBdr>
      <w:divsChild>
        <w:div w:id="1667244354">
          <w:marLeft w:val="274"/>
          <w:marRight w:val="0"/>
          <w:marTop w:val="115"/>
          <w:marBottom w:val="0"/>
          <w:divBdr>
            <w:top w:val="none" w:sz="0" w:space="0" w:color="auto"/>
            <w:left w:val="none" w:sz="0" w:space="0" w:color="auto"/>
            <w:bottom w:val="none" w:sz="0" w:space="0" w:color="auto"/>
            <w:right w:val="none" w:sz="0" w:space="0" w:color="auto"/>
          </w:divBdr>
        </w:div>
      </w:divsChild>
    </w:div>
    <w:div w:id="1897930293">
      <w:bodyDiv w:val="1"/>
      <w:marLeft w:val="0"/>
      <w:marRight w:val="0"/>
      <w:marTop w:val="0"/>
      <w:marBottom w:val="0"/>
      <w:divBdr>
        <w:top w:val="none" w:sz="0" w:space="0" w:color="auto"/>
        <w:left w:val="none" w:sz="0" w:space="0" w:color="auto"/>
        <w:bottom w:val="none" w:sz="0" w:space="0" w:color="auto"/>
        <w:right w:val="none" w:sz="0" w:space="0" w:color="auto"/>
      </w:divBdr>
    </w:div>
    <w:div w:id="1911620104">
      <w:bodyDiv w:val="1"/>
      <w:marLeft w:val="0"/>
      <w:marRight w:val="0"/>
      <w:marTop w:val="0"/>
      <w:marBottom w:val="0"/>
      <w:divBdr>
        <w:top w:val="none" w:sz="0" w:space="0" w:color="auto"/>
        <w:left w:val="none" w:sz="0" w:space="0" w:color="auto"/>
        <w:bottom w:val="none" w:sz="0" w:space="0" w:color="auto"/>
        <w:right w:val="none" w:sz="0" w:space="0" w:color="auto"/>
      </w:divBdr>
      <w:divsChild>
        <w:div w:id="1221792068">
          <w:marLeft w:val="274"/>
          <w:marRight w:val="0"/>
          <w:marTop w:val="86"/>
          <w:marBottom w:val="0"/>
          <w:divBdr>
            <w:top w:val="none" w:sz="0" w:space="0" w:color="auto"/>
            <w:left w:val="none" w:sz="0" w:space="0" w:color="auto"/>
            <w:bottom w:val="none" w:sz="0" w:space="0" w:color="auto"/>
            <w:right w:val="none" w:sz="0" w:space="0" w:color="auto"/>
          </w:divBdr>
        </w:div>
      </w:divsChild>
    </w:div>
    <w:div w:id="1943217797">
      <w:bodyDiv w:val="1"/>
      <w:marLeft w:val="0"/>
      <w:marRight w:val="0"/>
      <w:marTop w:val="0"/>
      <w:marBottom w:val="0"/>
      <w:divBdr>
        <w:top w:val="none" w:sz="0" w:space="0" w:color="auto"/>
        <w:left w:val="none" w:sz="0" w:space="0" w:color="auto"/>
        <w:bottom w:val="none" w:sz="0" w:space="0" w:color="auto"/>
        <w:right w:val="none" w:sz="0" w:space="0" w:color="auto"/>
      </w:divBdr>
    </w:div>
    <w:div w:id="2037195840">
      <w:bodyDiv w:val="1"/>
      <w:marLeft w:val="0"/>
      <w:marRight w:val="0"/>
      <w:marTop w:val="0"/>
      <w:marBottom w:val="0"/>
      <w:divBdr>
        <w:top w:val="none" w:sz="0" w:space="0" w:color="auto"/>
        <w:left w:val="none" w:sz="0" w:space="0" w:color="auto"/>
        <w:bottom w:val="none" w:sz="0" w:space="0" w:color="auto"/>
        <w:right w:val="none" w:sz="0" w:space="0" w:color="auto"/>
      </w:divBdr>
      <w:divsChild>
        <w:div w:id="1784691976">
          <w:marLeft w:val="274"/>
          <w:marRight w:val="0"/>
          <w:marTop w:val="96"/>
          <w:marBottom w:val="0"/>
          <w:divBdr>
            <w:top w:val="none" w:sz="0" w:space="0" w:color="auto"/>
            <w:left w:val="none" w:sz="0" w:space="0" w:color="auto"/>
            <w:bottom w:val="none" w:sz="0" w:space="0" w:color="auto"/>
            <w:right w:val="none" w:sz="0" w:space="0" w:color="auto"/>
          </w:divBdr>
        </w:div>
      </w:divsChild>
    </w:div>
    <w:div w:id="2040088679">
      <w:bodyDiv w:val="1"/>
      <w:marLeft w:val="0"/>
      <w:marRight w:val="0"/>
      <w:marTop w:val="0"/>
      <w:marBottom w:val="0"/>
      <w:divBdr>
        <w:top w:val="none" w:sz="0" w:space="0" w:color="auto"/>
        <w:left w:val="none" w:sz="0" w:space="0" w:color="auto"/>
        <w:bottom w:val="none" w:sz="0" w:space="0" w:color="auto"/>
        <w:right w:val="none" w:sz="0" w:space="0" w:color="auto"/>
      </w:divBdr>
    </w:div>
    <w:div w:id="2079160920">
      <w:bodyDiv w:val="1"/>
      <w:marLeft w:val="0"/>
      <w:marRight w:val="0"/>
      <w:marTop w:val="0"/>
      <w:marBottom w:val="0"/>
      <w:divBdr>
        <w:top w:val="none" w:sz="0" w:space="0" w:color="auto"/>
        <w:left w:val="none" w:sz="0" w:space="0" w:color="auto"/>
        <w:bottom w:val="none" w:sz="0" w:space="0" w:color="auto"/>
        <w:right w:val="none" w:sz="0" w:space="0" w:color="auto"/>
      </w:divBdr>
    </w:div>
    <w:div w:id="2082025376">
      <w:bodyDiv w:val="1"/>
      <w:marLeft w:val="0"/>
      <w:marRight w:val="0"/>
      <w:marTop w:val="0"/>
      <w:marBottom w:val="0"/>
      <w:divBdr>
        <w:top w:val="none" w:sz="0" w:space="0" w:color="auto"/>
        <w:left w:val="none" w:sz="0" w:space="0" w:color="auto"/>
        <w:bottom w:val="none" w:sz="0" w:space="0" w:color="auto"/>
        <w:right w:val="none" w:sz="0" w:space="0" w:color="auto"/>
      </w:divBdr>
    </w:div>
    <w:div w:id="2102796958">
      <w:bodyDiv w:val="1"/>
      <w:marLeft w:val="0"/>
      <w:marRight w:val="0"/>
      <w:marTop w:val="0"/>
      <w:marBottom w:val="0"/>
      <w:divBdr>
        <w:top w:val="none" w:sz="0" w:space="0" w:color="auto"/>
        <w:left w:val="none" w:sz="0" w:space="0" w:color="auto"/>
        <w:bottom w:val="none" w:sz="0" w:space="0" w:color="auto"/>
        <w:right w:val="none" w:sz="0" w:space="0" w:color="auto"/>
      </w:divBdr>
      <w:divsChild>
        <w:div w:id="186213973">
          <w:marLeft w:val="274"/>
          <w:marRight w:val="0"/>
          <w:marTop w:val="72"/>
          <w:marBottom w:val="0"/>
          <w:divBdr>
            <w:top w:val="none" w:sz="0" w:space="0" w:color="auto"/>
            <w:left w:val="none" w:sz="0" w:space="0" w:color="auto"/>
            <w:bottom w:val="none" w:sz="0" w:space="0" w:color="auto"/>
            <w:right w:val="none" w:sz="0" w:space="0" w:color="auto"/>
          </w:divBdr>
        </w:div>
      </w:divsChild>
    </w:div>
    <w:div w:id="2119715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eekar\Deskto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8</Value>
      <Value>7</Value>
      <Value>6</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5NUHHDQN7SK2-1-178444</_dlc_DocId>
    <_dlc_DocIdUrl xmlns="f166a696-7b5b-4ccd-9f0c-ffde0cceec81">
      <Url>https://ericsson.sharepoint.com/sites/star/_layouts/15/DocIdRedir.aspx?ID=5NUHHDQN7SK2-1-178444</Url>
      <Description>5NUHHDQN7SK2-1-178444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1501B6-39B7-462E-BC8A-8B6B05599596}">
  <ds:schemaRefs>
    <ds:schemaRef ds:uri="Microsoft.SharePoint.Taxonomy.ContentTypeSync"/>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4DFB2032-380F-4044-B161-635798DAA5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B76EA-7325-4B2D-8A6F-DF956586CDB2}">
  <ds:schemaRefs>
    <ds:schemaRef ds:uri="http://schemas.microsoft.com/sharepoint/event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5FDDD7D0-5D25-4C55-BE2F-1E3445077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27</TotalTime>
  <Pages>3</Pages>
  <Words>987</Words>
  <Characters>5627</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6601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Reem Karaki</dc:creator>
  <cp:keywords>TDoc; Ericsson; 3GPP</cp:keywords>
  <dc:description/>
  <cp:lastModifiedBy>최승환/책임연구원/미래기술센터 C&amp;M표준(연)5G무선통신표준Task(seunghwan.choi@lge.com)</cp:lastModifiedBy>
  <cp:revision>6</cp:revision>
  <cp:lastPrinted>2008-01-31T16:09:00Z</cp:lastPrinted>
  <dcterms:created xsi:type="dcterms:W3CDTF">2020-05-15T11:39:00Z</dcterms:created>
  <dcterms:modified xsi:type="dcterms:W3CDTF">2020-05-15T12:08:00Z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6;#3GPP|76073510-bd0d-418e-b921-a79baa36539a;#8;#Ericsson|96dc0346-57d1-49d7-95a4-5992fb9ef59a;#7;#TDoc|70e00669-d53e-4f11-86e9-5b5799f0aab1</vt:lpwstr>
  </property>
  <property fmtid="{D5CDD505-2E9C-101B-9397-08002B2CF9AE}" pid="4" name="_dlc_DocId">
    <vt:lpwstr>5NUHHDQN7SK2-1-562</vt:lpwstr>
  </property>
  <property fmtid="{D5CDD505-2E9C-101B-9397-08002B2CF9AE}" pid="5" name="_dlc_DocIdItemGuid">
    <vt:lpwstr>d49ceaf1-5f66-42eb-a9b4-65f854fd4a2e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